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72" w:lineRule="exact"/>
        <w:rPr>
          <w:sz w:val="24"/>
          <w:szCs w:val="24"/>
          <w:color w:val="auto"/>
        </w:rPr>
      </w:pPr>
    </w:p>
    <w:p>
      <w:pPr>
        <w:ind w:left="4360" w:right="2080" w:hanging="4352"/>
        <w:spacing w:after="0" w:line="302"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b w:val="1"/>
          <w:bCs w:val="1"/>
          <w:color w:val="auto"/>
        </w:rPr>
        <w:t>For the fiscal year ended December 31, 2016</w:t>
      </w:r>
    </w:p>
    <w:p>
      <w:pPr>
        <w:ind w:left="5640"/>
        <w:spacing w:after="0"/>
        <w:rPr>
          <w:rFonts w:ascii="MS PGothic" w:cs="MS PGothic" w:eastAsia="MS PGothic" w:hAnsi="MS PGothic"/>
          <w:sz w:val="18"/>
          <w:szCs w:val="18"/>
          <w:color w:val="auto"/>
          <w:highlight w:val="black"/>
        </w:rPr>
      </w:pPr>
      <w:r>
        <w:rPr>
          <w:rFonts w:ascii="Arial" w:cs="Arial" w:eastAsia="Arial" w:hAnsi="Arial"/>
          <w:sz w:val="17"/>
          <w:szCs w:val="17"/>
          <w:b w:val="1"/>
          <w:bCs w:val="1"/>
          <w:color w:val="auto"/>
        </w:rPr>
        <w:t>or</w:t>
      </w:r>
    </w:p>
    <w:p>
      <w:pPr>
        <w:spacing w:after="0" w:line="67" w:lineRule="exact"/>
        <w:rPr>
          <w:sz w:val="24"/>
          <w:szCs w:val="24"/>
          <w:color w:val="auto"/>
        </w:rPr>
      </w:pPr>
    </w:p>
    <w:p>
      <w:pPr>
        <w:ind w:left="4420" w:right="1720" w:hanging="4412"/>
        <w:spacing w:after="0" w:line="324" w:lineRule="auto"/>
        <w:tabs>
          <w:tab w:leader="none" w:pos="51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7"/>
          <w:szCs w:val="17"/>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8255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8200" w:type="dxa"/>
            <w:vAlign w:val="bottom"/>
            <w:gridSpan w:val="3"/>
          </w:tcPr>
          <w:p>
            <w:pPr>
              <w:jc w:val="center"/>
              <w:ind w:left="3140"/>
              <w:spacing w:after="0"/>
              <w:rPr>
                <w:sz w:val="20"/>
                <w:szCs w:val="20"/>
                <w:color w:val="auto"/>
              </w:rPr>
            </w:pPr>
            <w:r>
              <w:rPr>
                <w:rFonts w:ascii="Arial" w:cs="Arial" w:eastAsia="Arial" w:hAnsi="Arial"/>
                <w:sz w:val="17"/>
                <w:szCs w:val="17"/>
                <w:b w:val="1"/>
                <w:bCs w:val="1"/>
                <w:color w:val="auto"/>
                <w:w w:val="91"/>
              </w:rPr>
              <w:t>(Exact Name of Registrant as Specified in Its Charter)</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80" w:type="dxa"/>
            <w:vAlign w:val="bottom"/>
          </w:tcPr>
          <w:p>
            <w:pPr>
              <w:jc w:val="center"/>
              <w:ind w:left="1060"/>
              <w:spacing w:after="0"/>
              <w:rPr>
                <w:sz w:val="20"/>
                <w:szCs w:val="20"/>
                <w:color w:val="auto"/>
              </w:rPr>
            </w:pPr>
            <w:r>
              <w:rPr>
                <w:rFonts w:ascii="Arial" w:cs="Arial" w:eastAsia="Arial" w:hAnsi="Arial"/>
                <w:sz w:val="17"/>
                <w:szCs w:val="17"/>
                <w:b w:val="1"/>
                <w:bCs w:val="1"/>
                <w:color w:val="auto"/>
                <w:w w:val="91"/>
              </w:rPr>
              <w:t>Delaware</w:t>
            </w:r>
          </w:p>
        </w:tc>
        <w:tc>
          <w:tcPr>
            <w:tcW w:w="5240" w:type="dxa"/>
            <w:vAlign w:val="bottom"/>
            <w:gridSpan w:val="4"/>
          </w:tcPr>
          <w:p>
            <w:pPr>
              <w:jc w:val="right"/>
              <w:ind w:right="755"/>
              <w:spacing w:after="0"/>
              <w:rPr>
                <w:sz w:val="20"/>
                <w:szCs w:val="20"/>
                <w:color w:val="auto"/>
              </w:rPr>
            </w:pPr>
            <w:r>
              <w:rPr>
                <w:rFonts w:ascii="Arial" w:cs="Arial" w:eastAsia="Arial" w:hAnsi="Arial"/>
                <w:sz w:val="17"/>
                <w:szCs w:val="17"/>
                <w:b w:val="1"/>
                <w:bCs w:val="1"/>
                <w:color w:val="auto"/>
              </w:rPr>
              <w:t>27-3380000</w:t>
            </w:r>
          </w:p>
        </w:tc>
        <w:tc>
          <w:tcPr>
            <w:tcW w:w="0" w:type="dxa"/>
            <w:vAlign w:val="bottom"/>
          </w:tcPr>
          <w:p>
            <w:pPr>
              <w:spacing w:after="0"/>
              <w:rPr>
                <w:sz w:val="1"/>
                <w:szCs w:val="1"/>
                <w:color w:val="auto"/>
              </w:rPr>
            </w:pPr>
          </w:p>
        </w:tc>
      </w:tr>
      <w:tr>
        <w:trPr>
          <w:trHeight w:val="149"/>
        </w:trPr>
        <w:tc>
          <w:tcPr>
            <w:tcW w:w="4580" w:type="dxa"/>
            <w:vAlign w:val="bottom"/>
          </w:tcPr>
          <w:p>
            <w:pPr>
              <w:jc w:val="center"/>
              <w:ind w:left="10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280" w:type="dxa"/>
            <w:vAlign w:val="bottom"/>
          </w:tcPr>
          <w:p>
            <w:pPr>
              <w:spacing w:after="0"/>
              <w:rPr>
                <w:sz w:val="12"/>
                <w:szCs w:val="12"/>
                <w:color w:val="auto"/>
              </w:rPr>
            </w:pPr>
          </w:p>
        </w:tc>
        <w:tc>
          <w:tcPr>
            <w:tcW w:w="2960" w:type="dxa"/>
            <w:vAlign w:val="bottom"/>
            <w:gridSpan w:val="3"/>
          </w:tcPr>
          <w:p>
            <w:pPr>
              <w:jc w:val="center"/>
              <w:ind w:left="38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4580" w:type="dxa"/>
            <w:vAlign w:val="bottom"/>
          </w:tcPr>
          <w:p>
            <w:pPr>
              <w:jc w:val="center"/>
              <w:ind w:left="1080"/>
              <w:spacing w:after="0"/>
              <w:rPr>
                <w:sz w:val="20"/>
                <w:szCs w:val="20"/>
                <w:color w:val="auto"/>
              </w:rPr>
            </w:pPr>
            <w:r>
              <w:rPr>
                <w:rFonts w:ascii="Arial" w:cs="Arial" w:eastAsia="Arial" w:hAnsi="Arial"/>
                <w:sz w:val="14"/>
                <w:szCs w:val="14"/>
                <w:b w:val="1"/>
                <w:bCs w:val="1"/>
                <w:color w:val="auto"/>
                <w:w w:val="89"/>
              </w:rPr>
              <w:t>Incorporation or Organization)</w:t>
            </w:r>
          </w:p>
        </w:tc>
        <w:tc>
          <w:tcPr>
            <w:tcW w:w="2280" w:type="dxa"/>
            <w:vAlign w:val="bottom"/>
          </w:tcPr>
          <w:p>
            <w:pPr>
              <w:spacing w:after="0"/>
              <w:rPr>
                <w:sz w:val="15"/>
                <w:szCs w:val="15"/>
                <w:color w:val="auto"/>
              </w:rPr>
            </w:pPr>
          </w:p>
        </w:tc>
        <w:tc>
          <w:tcPr>
            <w:tcW w:w="29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233"/>
        </w:trPr>
        <w:tc>
          <w:tcPr>
            <w:tcW w:w="4580" w:type="dxa"/>
            <w:vAlign w:val="bottom"/>
          </w:tcPr>
          <w:p>
            <w:pPr>
              <w:jc w:val="center"/>
              <w:ind w:left="1080"/>
              <w:spacing w:after="0"/>
              <w:rPr>
                <w:sz w:val="20"/>
                <w:szCs w:val="20"/>
                <w:color w:val="auto"/>
              </w:rPr>
            </w:pPr>
            <w:r>
              <w:rPr>
                <w:rFonts w:ascii="Arial" w:cs="Arial" w:eastAsia="Arial" w:hAnsi="Arial"/>
                <w:sz w:val="17"/>
                <w:szCs w:val="17"/>
                <w:b w:val="1"/>
                <w:bCs w:val="1"/>
                <w:color w:val="auto"/>
                <w:w w:val="90"/>
              </w:rPr>
              <w:t>301 Commerce Street, Suite 3300,</w:t>
            </w:r>
          </w:p>
        </w:tc>
        <w:tc>
          <w:tcPr>
            <w:tcW w:w="2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80" w:type="dxa"/>
            <w:vAlign w:val="bottom"/>
          </w:tcPr>
          <w:p>
            <w:pPr>
              <w:jc w:val="center"/>
              <w:ind w:left="1060"/>
              <w:spacing w:after="0"/>
              <w:rPr>
                <w:sz w:val="20"/>
                <w:szCs w:val="20"/>
                <w:color w:val="auto"/>
              </w:rPr>
            </w:pPr>
            <w:r>
              <w:rPr>
                <w:rFonts w:ascii="Arial" w:cs="Arial" w:eastAsia="Arial" w:hAnsi="Arial"/>
                <w:sz w:val="17"/>
                <w:szCs w:val="17"/>
                <w:b w:val="1"/>
                <w:bCs w:val="1"/>
                <w:color w:val="auto"/>
                <w:w w:val="98"/>
              </w:rPr>
              <w:t>Fort Worth, TX</w:t>
            </w:r>
          </w:p>
        </w:tc>
        <w:tc>
          <w:tcPr>
            <w:tcW w:w="2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7"/>
                <w:szCs w:val="17"/>
                <w:b w:val="1"/>
                <w:bCs w:val="1"/>
                <w:color w:val="auto"/>
              </w:rPr>
              <w:t>76102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580" w:type="dxa"/>
            <w:vAlign w:val="bottom"/>
          </w:tcPr>
          <w:p>
            <w:pPr>
              <w:jc w:val="center"/>
              <w:ind w:left="10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920" w:type="dxa"/>
            <w:vAlign w:val="bottom"/>
            <w:gridSpan w:val="4"/>
          </w:tcPr>
          <w:p>
            <w:pPr>
              <w:jc w:val="center"/>
              <w:ind w:left="2440"/>
              <w:spacing w:after="0"/>
              <w:rPr>
                <w:sz w:val="20"/>
                <w:szCs w:val="20"/>
                <w:color w:val="auto"/>
              </w:rPr>
            </w:pPr>
            <w:r>
              <w:rPr>
                <w:rFonts w:ascii="Arial" w:cs="Arial" w:eastAsia="Arial" w:hAnsi="Arial"/>
                <w:sz w:val="17"/>
                <w:szCs w:val="17"/>
                <w:b w:val="1"/>
                <w:bCs w:val="1"/>
                <w:color w:val="auto"/>
                <w:w w:val="90"/>
              </w:rPr>
              <w:t>Registrant’s Telephone Number, Including Area Code: (817) 871-4000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00" w:type="dxa"/>
            <w:vAlign w:val="bottom"/>
            <w:gridSpan w:val="3"/>
          </w:tcPr>
          <w:p>
            <w:pPr>
              <w:jc w:val="center"/>
              <w:ind w:left="3140"/>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580" w:type="dxa"/>
            <w:vAlign w:val="bottom"/>
          </w:tcPr>
          <w:p>
            <w:pPr>
              <w:jc w:val="center"/>
              <w:ind w:left="1080"/>
              <w:spacing w:after="0"/>
              <w:rPr>
                <w:sz w:val="20"/>
                <w:szCs w:val="20"/>
                <w:color w:val="auto"/>
              </w:rPr>
            </w:pPr>
            <w:r>
              <w:rPr>
                <w:rFonts w:ascii="Arial" w:cs="Arial" w:eastAsia="Arial" w:hAnsi="Arial"/>
                <w:sz w:val="14"/>
                <w:szCs w:val="14"/>
                <w:b w:val="1"/>
                <w:bCs w:val="1"/>
                <w:color w:val="auto"/>
                <w:w w:val="84"/>
              </w:rPr>
              <w:t>Title of each class</w:t>
            </w:r>
          </w:p>
        </w:tc>
        <w:tc>
          <w:tcPr>
            <w:tcW w:w="2280" w:type="dxa"/>
            <w:vAlign w:val="bottom"/>
          </w:tcPr>
          <w:p>
            <w:pPr>
              <w:spacing w:after="0"/>
              <w:rPr>
                <w:sz w:val="20"/>
                <w:szCs w:val="20"/>
                <w:color w:val="auto"/>
              </w:rPr>
            </w:pPr>
          </w:p>
        </w:tc>
        <w:tc>
          <w:tcPr>
            <w:tcW w:w="29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40"/>
        </w:trPr>
        <w:tc>
          <w:tcPr>
            <w:tcW w:w="4580" w:type="dxa"/>
            <w:vAlign w:val="bottom"/>
          </w:tcPr>
          <w:p>
            <w:pPr>
              <w:jc w:val="center"/>
              <w:ind w:left="1080"/>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2280" w:type="dxa"/>
            <w:vAlign w:val="bottom"/>
          </w:tcPr>
          <w:p>
            <w:pPr>
              <w:spacing w:after="0"/>
              <w:rPr>
                <w:sz w:val="20"/>
                <w:szCs w:val="20"/>
                <w:color w:val="auto"/>
              </w:rPr>
            </w:pPr>
          </w:p>
        </w:tc>
        <w:tc>
          <w:tcPr>
            <w:tcW w:w="2960" w:type="dxa"/>
            <w:vAlign w:val="bottom"/>
            <w:gridSpan w:val="3"/>
          </w:tcPr>
          <w:p>
            <w:pPr>
              <w:jc w:val="center"/>
              <w:ind w:left="388"/>
              <w:spacing w:after="0"/>
              <w:rPr>
                <w:sz w:val="20"/>
                <w:szCs w:val="20"/>
                <w:color w:val="auto"/>
              </w:rPr>
            </w:pPr>
            <w:r>
              <w:rPr>
                <w:rFonts w:ascii="Arial" w:cs="Arial" w:eastAsia="Arial" w:hAnsi="Arial"/>
                <w:sz w:val="17"/>
                <w:szCs w:val="17"/>
                <w:b w:val="1"/>
                <w:bCs w:val="1"/>
                <w:color w:val="auto"/>
                <w:w w:val="90"/>
              </w:rPr>
              <w:t>The New York Stock Exchange</w:t>
            </w:r>
          </w:p>
        </w:tc>
        <w:tc>
          <w:tcPr>
            <w:tcW w:w="0" w:type="dxa"/>
            <w:vAlign w:val="bottom"/>
          </w:tcPr>
          <w:p>
            <w:pPr>
              <w:spacing w:after="0"/>
              <w:rPr>
                <w:sz w:val="1"/>
                <w:szCs w:val="1"/>
                <w:color w:val="auto"/>
              </w:rPr>
            </w:pPr>
          </w:p>
        </w:tc>
      </w:tr>
      <w:tr>
        <w:trPr>
          <w:trHeight w:val="257"/>
        </w:trPr>
        <w:tc>
          <w:tcPr>
            <w:tcW w:w="8200" w:type="dxa"/>
            <w:vAlign w:val="bottom"/>
            <w:gridSpan w:val="3"/>
          </w:tcPr>
          <w:p>
            <w:pPr>
              <w:jc w:val="center"/>
              <w:ind w:left="3140"/>
              <w:spacing w:after="0"/>
              <w:rPr>
                <w:sz w:val="20"/>
                <w:szCs w:val="20"/>
                <w:color w:val="auto"/>
              </w:rPr>
            </w:pPr>
            <w:r>
              <w:rPr>
                <w:rFonts w:ascii="Arial" w:cs="Arial" w:eastAsia="Arial" w:hAnsi="Arial"/>
                <w:sz w:val="17"/>
                <w:szCs w:val="17"/>
                <w:b w:val="1"/>
                <w:bCs w:val="1"/>
                <w:color w:val="auto"/>
                <w:w w:val="89"/>
              </w:rPr>
              <w:t>Securities registered pursuant to Section 12(g) of the Act:</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3620" w:type="dxa"/>
            <w:vAlign w:val="bottom"/>
            <w:gridSpan w:val="2"/>
          </w:tcPr>
          <w:p>
            <w:pPr>
              <w:jc w:val="center"/>
              <w:ind w:right="1288"/>
              <w:spacing w:after="0"/>
              <w:rPr>
                <w:sz w:val="20"/>
                <w:szCs w:val="20"/>
                <w:color w:val="auto"/>
              </w:rPr>
            </w:pPr>
            <w:r>
              <w:rPr>
                <w:rFonts w:ascii="Arial" w:cs="Arial" w:eastAsia="Arial" w:hAnsi="Arial"/>
                <w:sz w:val="17"/>
                <w:szCs w:val="17"/>
                <w:b w:val="1"/>
                <w:bCs w:val="1"/>
                <w:color w:val="auto"/>
                <w:w w:val="89"/>
              </w:rPr>
              <w:t>None</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3620" w:type="dxa"/>
            <w:vAlign w:val="bottom"/>
            <w:gridSpan w:val="2"/>
          </w:tcPr>
          <w:p>
            <w:pPr>
              <w:jc w:val="center"/>
              <w:ind w:right="1288"/>
              <w:spacing w:after="0"/>
              <w:rPr>
                <w:sz w:val="20"/>
                <w:szCs w:val="20"/>
                <w:color w:val="auto"/>
              </w:rPr>
            </w:pPr>
            <w:r>
              <w:rPr>
                <w:rFonts w:ascii="Arial" w:cs="Arial" w:eastAsia="Arial" w:hAnsi="Arial"/>
                <w:sz w:val="17"/>
                <w:szCs w:val="17"/>
                <w:b w:val="1"/>
                <w:bCs w:val="1"/>
                <w:color w:val="auto"/>
                <w:w w:val="89"/>
              </w:rPr>
              <w:t>(Title of class)</w:t>
            </w: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458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6"/>
                <w:szCs w:val="16"/>
                <w:color w:val="auto"/>
              </w:rPr>
              <w:t>☐</w:t>
            </w:r>
          </w:p>
        </w:tc>
        <w:tc>
          <w:tcPr>
            <w:tcW w:w="90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8200" w:type="dxa"/>
            <w:vAlign w:val="bottom"/>
            <w:gridSpan w:val="3"/>
          </w:tcPr>
          <w:p>
            <w:pPr>
              <w:spacing w:after="0"/>
              <w:rPr>
                <w:sz w:val="20"/>
                <w:szCs w:val="20"/>
                <w:color w:val="auto"/>
              </w:rPr>
            </w:pPr>
            <w:r>
              <w:rPr>
                <w:rFonts w:ascii="Arial" w:cs="Arial" w:eastAsia="Arial" w:hAnsi="Arial"/>
                <w:sz w:val="17"/>
                <w:szCs w:val="17"/>
                <w:color w:val="auto"/>
                <w:w w:val="93"/>
              </w:rPr>
              <w:t>Indicate by check mark if the registrant is a well-known seasoned issuer, as defined in Rule 405 of the Securities Act.</w:t>
            </w:r>
          </w:p>
        </w:tc>
        <w:tc>
          <w:tcPr>
            <w:tcW w:w="7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00" w:type="dxa"/>
            <w:vAlign w:val="bottom"/>
            <w:gridSpan w:val="3"/>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Act.</w:t>
            </w:r>
          </w:p>
        </w:tc>
        <w:tc>
          <w:tcPr>
            <w:tcW w:w="720" w:type="dxa"/>
            <w:vAlign w:val="bottom"/>
          </w:tcPr>
          <w:p>
            <w:pPr>
              <w:ind w:left="160"/>
              <w:spacing w:after="0" w:line="196" w:lineRule="exact"/>
              <w:rPr>
                <w:sz w:val="20"/>
                <w:szCs w:val="20"/>
                <w:color w:val="auto"/>
              </w:rPr>
            </w:pPr>
            <w:r>
              <w:rPr>
                <w:rFonts w:ascii="Arial" w:cs="Arial" w:eastAsia="Arial" w:hAnsi="Arial"/>
                <w:sz w:val="17"/>
                <w:szCs w:val="17"/>
                <w:color w:val="auto"/>
                <w:w w:val="98"/>
              </w:rPr>
              <w:t xml:space="preserve">YES </w:t>
            </w:r>
            <w:r>
              <w:rPr>
                <w:rFonts w:ascii="MS PGothic" w:cs="MS PGothic" w:eastAsia="MS PGothic" w:hAnsi="MS PGothic"/>
                <w:sz w:val="16"/>
                <w:szCs w:val="16"/>
                <w:color w:val="auto"/>
                <w:w w:val="98"/>
              </w:rPr>
              <w:t>☐</w:t>
            </w:r>
          </w:p>
        </w:tc>
        <w:tc>
          <w:tcPr>
            <w:tcW w:w="90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right="160"/>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26" w:lineRule="exact"/>
        <w:rPr>
          <w:sz w:val="24"/>
          <w:szCs w:val="24"/>
          <w:color w:val="auto"/>
        </w:rPr>
      </w:pPr>
    </w:p>
    <w:p>
      <w:pPr>
        <w:ind w:right="80"/>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26" w:lineRule="exact"/>
        <w:rPr>
          <w:sz w:val="24"/>
          <w:szCs w:val="24"/>
          <w:color w:val="auto"/>
        </w:rPr>
      </w:pPr>
    </w:p>
    <w:p>
      <w:pPr>
        <w:ind w:right="40"/>
        <w:spacing w:after="0" w:line="218"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5" w:lineRule="exact"/>
        <w:rPr>
          <w:sz w:val="24"/>
          <w:szCs w:val="24"/>
          <w:color w:val="auto"/>
        </w:rPr>
      </w:pPr>
    </w:p>
    <w:p>
      <w:pPr>
        <w:ind w:right="2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Securities Exchange Act. (Check one):</w:t>
      </w:r>
    </w:p>
    <w:p>
      <w:pPr>
        <w:sectPr>
          <w:pgSz w:w="11900" w:h="16838" w:orient="portrait"/>
          <w:cols w:equalWidth="0" w:num="1">
            <w:col w:w="11400"/>
          </w:cols>
          <w:pgMar w:left="240" w:top="310" w:right="259" w:bottom="1440" w:gutter="0" w:footer="0" w:header="0"/>
        </w:sectPr>
      </w:pPr>
    </w:p>
    <w:p>
      <w:pPr>
        <w:spacing w:after="0" w:line="2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1860" w:space="720"/>
            <w:col w:w="4760" w:space="720"/>
            <w:col w:w="2400" w:space="720"/>
            <w:col w:w="220"/>
          </w:cols>
          <w:pgMar w:left="240" w:top="310" w:right="25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5"/>
          <w:szCs w:val="15"/>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860" w:space="720"/>
            <w:col w:w="4760" w:space="720"/>
            <w:col w:w="2400" w:space="720"/>
            <w:col w:w="220"/>
          </w:cols>
          <w:pgMar w:left="240" w:top="310" w:right="25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8" w:lineRule="exact"/>
        <w:rPr>
          <w:sz w:val="24"/>
          <w:szCs w:val="24"/>
          <w:color w:val="auto"/>
        </w:rPr>
      </w:pPr>
    </w:p>
    <w:p>
      <w:pPr>
        <w:sectPr>
          <w:pgSz w:w="11900" w:h="16838" w:orient="portrait"/>
          <w:cols w:equalWidth="0" w:num="5">
            <w:col w:w="7060" w:space="160"/>
            <w:col w:w="320" w:space="80"/>
            <w:col w:w="160" w:space="160"/>
            <w:col w:w="260" w:space="80"/>
            <w:col w:w="3120"/>
          </w:cols>
          <w:pgMar w:left="240" w:top="310" w:right="259" w:bottom="1440" w:gutter="0" w:footer="0" w:header="0"/>
          <w:type w:val="continuous"/>
        </w:sectPr>
      </w:pPr>
    </w:p>
    <w:p>
      <w:pPr>
        <w:jc w:val="both"/>
        <w:spacing w:after="0" w:line="261" w:lineRule="auto"/>
        <w:rPr>
          <w:sz w:val="20"/>
          <w:szCs w:val="20"/>
          <w:color w:val="auto"/>
        </w:rPr>
      </w:pPr>
      <w:r>
        <w:rPr>
          <w:rFonts w:ascii="Arial" w:cs="Arial" w:eastAsia="Arial" w:hAnsi="Arial"/>
          <w:sz w:val="17"/>
          <w:szCs w:val="17"/>
          <w:color w:val="auto"/>
        </w:rPr>
        <w:t>The aggregate market value of the voting stock held by non-affiliates of the registrant on June 30, 2016, based on the closing price on that date of $16.61 on The New York Stock Exchange, was approximately $941,466,811. The number of shares of the registrant’s common stock, $.01 par value per share, outstanding at February 22, 2017 was 59,839,041.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52070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6" w:lineRule="exact"/>
        <w:rPr>
          <w:sz w:val="24"/>
          <w:szCs w:val="24"/>
          <w:color w:val="auto"/>
        </w:rPr>
      </w:pPr>
    </w:p>
    <w:p>
      <w:pPr>
        <w:ind w:left="3760"/>
        <w:spacing w:after="0"/>
        <w:rPr>
          <w:sz w:val="20"/>
          <w:szCs w:val="20"/>
          <w:color w:val="auto"/>
        </w:rPr>
      </w:pPr>
      <w:r>
        <w:rPr>
          <w:rFonts w:ascii="Arial" w:cs="Arial" w:eastAsia="Arial" w:hAnsi="Arial"/>
          <w:sz w:val="17"/>
          <w:szCs w:val="17"/>
          <w:b w:val="1"/>
          <w:bCs w:val="1"/>
          <w:color w:val="auto"/>
        </w:rPr>
        <w:t>DOCUMENTS INCORPORATED BY REFERENCE</w:t>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Registrant’s proxy statement for the 2017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551815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80" w:type="dxa"/>
            <w:vAlign w:val="bottom"/>
            <w:gridSpan w:val="11"/>
          </w:tcPr>
          <w:p>
            <w:pPr>
              <w:jc w:val="center"/>
              <w:ind w:right="2300"/>
              <w:spacing w:after="0"/>
              <w:rPr>
                <w:sz w:val="20"/>
                <w:szCs w:val="20"/>
                <w:color w:val="auto"/>
              </w:rPr>
            </w:pPr>
            <w:r>
              <w:rPr>
                <w:rFonts w:ascii="Arial" w:cs="Arial" w:eastAsia="Arial" w:hAnsi="Arial"/>
                <w:sz w:val="22"/>
                <w:szCs w:val="22"/>
                <w:b w:val="1"/>
                <w:bCs w:val="1"/>
                <w:color w:val="auto"/>
                <w:w w:val="99"/>
              </w:rPr>
              <w:t>TPG SPECIALTY LENDING, INC.</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80" w:type="dxa"/>
            <w:vAlign w:val="bottom"/>
            <w:gridSpan w:val="11"/>
          </w:tcPr>
          <w:p>
            <w:pPr>
              <w:jc w:val="center"/>
              <w:ind w:right="2280"/>
              <w:spacing w:after="0"/>
              <w:rPr>
                <w:sz w:val="20"/>
                <w:szCs w:val="20"/>
                <w:color w:val="auto"/>
              </w:rPr>
            </w:pPr>
            <w:r>
              <w:rPr>
                <w:rFonts w:ascii="Arial" w:cs="Arial" w:eastAsia="Arial" w:hAnsi="Arial"/>
                <w:sz w:val="18"/>
                <w:szCs w:val="18"/>
                <w:b w:val="1"/>
                <w:bCs w:val="1"/>
                <w:color w:val="auto"/>
                <w:w w:val="93"/>
              </w:rPr>
              <w:t>Index to Annual Report on Form 10-K for</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9"/>
          </w:tcPr>
          <w:p>
            <w:pPr>
              <w:jc w:val="center"/>
              <w:ind w:right="3380"/>
              <w:spacing w:after="0"/>
              <w:rPr>
                <w:sz w:val="20"/>
                <w:szCs w:val="20"/>
                <w:color w:val="auto"/>
              </w:rPr>
            </w:pPr>
            <w:r>
              <w:rPr>
                <w:rFonts w:ascii="Arial" w:cs="Arial" w:eastAsia="Arial" w:hAnsi="Arial"/>
                <w:sz w:val="18"/>
                <w:szCs w:val="18"/>
                <w:b w:val="1"/>
                <w:bCs w:val="1"/>
                <w:color w:val="auto"/>
                <w:w w:val="90"/>
              </w:rPr>
              <w:t>Year Ended December 31, 2016</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6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vMerge w:val="continue"/>
          </w:tcPr>
          <w:p>
            <w:pPr>
              <w:spacing w:after="0"/>
              <w:rPr>
                <w:sz w:val="13"/>
                <w:szCs w:val="13"/>
                <w:color w:val="auto"/>
              </w:rPr>
            </w:pPr>
          </w:p>
        </w:tc>
        <w:tc>
          <w:tcPr>
            <w:tcW w:w="66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14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Unresolved Staff Comments</w:t>
              </w:r>
            </w:hyperlink>
          </w:p>
        </w:tc>
        <w:tc>
          <w:tcPr>
            <w:tcW w:w="7080" w:type="dxa"/>
            <w:vAlign w:val="bottom"/>
            <w:gridSpan w:val="11"/>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Properties</w:t>
              </w:r>
            </w:hyperlink>
          </w:p>
        </w:tc>
        <w:tc>
          <w:tcPr>
            <w:tcW w:w="8400" w:type="dxa"/>
            <w:vAlign w:val="bottom"/>
            <w:gridSpan w:val="19"/>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Legal Proceedings</w:t>
              </w:r>
            </w:hyperlink>
          </w:p>
        </w:tc>
        <w:tc>
          <w:tcPr>
            <w:tcW w:w="7800" w:type="dxa"/>
            <w:vAlign w:val="bottom"/>
            <w:gridSpan w:val="1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140" w:type="dxa"/>
            <w:vAlign w:val="bottom"/>
            <w:gridSpan w:val="2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1260" w:type="dxa"/>
            <w:vAlign w:val="bottom"/>
            <w:gridSpan w:val="5"/>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600" w:type="dxa"/>
            <w:vAlign w:val="bottom"/>
            <w:gridSpan w:val="3"/>
          </w:tcPr>
          <w:p>
            <w:pPr>
              <w:spacing w:after="0"/>
              <w:rPr>
                <w:sz w:val="17"/>
                <w:szCs w:val="17"/>
                <w:color w:val="auto"/>
              </w:rPr>
            </w:pPr>
          </w:p>
        </w:tc>
        <w:tc>
          <w:tcPr>
            <w:tcW w:w="914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Market for Registrant’s Common Equity, Related Stockholder Matters and Issuer Purchases of Equity Securities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914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Management’s Discussion and Analysis of Financial Condition and Results of Operations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Quantitative and Qualitative Disclosures About Market Risk</w:t>
              </w:r>
            </w:hyperlink>
          </w:p>
        </w:tc>
        <w:tc>
          <w:tcPr>
            <w:tcW w:w="2680" w:type="dxa"/>
            <w:vAlign w:val="bottom"/>
            <w:gridSpan w:val="4"/>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15"/>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Financial Statements and Supplementary Data</w:t>
              </w:r>
            </w:hyperlink>
          </w:p>
        </w:tc>
        <w:tc>
          <w:tcPr>
            <w:tcW w:w="4780" w:type="dxa"/>
            <w:vAlign w:val="bottom"/>
            <w:gridSpan w:val="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9140" w:type="dxa"/>
            <w:vAlign w:val="bottom"/>
            <w:gridSpan w:val="21"/>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Changes in and Disagreements with Accountants on Accounting and Financial Disclosure</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117">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2660" w:type="dxa"/>
            <w:vAlign w:val="bottom"/>
            <w:gridSpan w:val="3"/>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9140" w:type="dxa"/>
            <w:vAlign w:val="bottom"/>
            <w:gridSpan w:val="21"/>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Other Information</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18"/>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PART III</w:t>
              </w:r>
            </w:hyperlink>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Directors, Executive Officers and Corporate Governance</w:t>
              </w:r>
            </w:hyperlink>
          </w:p>
        </w:tc>
        <w:tc>
          <w:tcPr>
            <w:tcW w:w="5040" w:type="dxa"/>
            <w:vAlign w:val="bottom"/>
            <w:gridSpan w:val="8"/>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9140" w:type="dxa"/>
            <w:vAlign w:val="bottom"/>
            <w:gridSpan w:val="21"/>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Executive Compensation</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Security Ownership of Certain Beneficial Owners and Management and Related Stockholder Matters</w:t>
              </w:r>
            </w:hyperlink>
          </w:p>
        </w:tc>
        <w:tc>
          <w:tcPr>
            <w:tcW w:w="1840" w:type="dxa"/>
            <w:vAlign w:val="bottom"/>
            <w:gridSpan w:val="2"/>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Certain Relationships and Related Transactions, and Director Independence</w:t>
              </w:r>
            </w:hyperlink>
          </w:p>
        </w:tc>
        <w:tc>
          <w:tcPr>
            <w:tcW w:w="3680" w:type="dxa"/>
            <w:vAlign w:val="bottom"/>
            <w:gridSpan w:val="5"/>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140" w:type="dxa"/>
            <w:vAlign w:val="bottom"/>
            <w:gridSpan w:val="21"/>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Principal Accountant Fees and Services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18"/>
        </w:trPr>
        <w:tc>
          <w:tcPr>
            <w:tcW w:w="1260" w:type="dxa"/>
            <w:vAlign w:val="bottom"/>
            <w:gridSpan w:val="5"/>
          </w:tcPr>
          <w:p>
            <w:pPr>
              <w:spacing w:after="0"/>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5"/>
              </w:rPr>
              <w:t>ITEM 15.</w:t>
            </w:r>
          </w:p>
        </w:tc>
        <w:tc>
          <w:tcPr>
            <w:tcW w:w="540" w:type="dxa"/>
            <w:vAlign w:val="bottom"/>
            <w:gridSpan w:val="2"/>
          </w:tcPr>
          <w:p>
            <w:pPr>
              <w:spacing w:after="0"/>
              <w:rPr>
                <w:sz w:val="17"/>
                <w:szCs w:val="17"/>
                <w:color w:val="auto"/>
              </w:rPr>
            </w:pPr>
          </w:p>
        </w:tc>
        <w:tc>
          <w:tcPr>
            <w:tcW w:w="9140" w:type="dxa"/>
            <w:vAlign w:val="bottom"/>
            <w:gridSpan w:val="21"/>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Exhibits and Financial Statement Schedules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20">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6"/>
          </w:tcPr>
          <w:p>
            <w:pPr>
              <w:spacing w:after="0"/>
              <w:rPr>
                <w:sz w:val="17"/>
                <w:szCs w:val="17"/>
                <w:color w:val="auto"/>
              </w:rPr>
            </w:pPr>
          </w:p>
        </w:tc>
        <w:tc>
          <w:tcPr>
            <w:tcW w:w="5980" w:type="dxa"/>
            <w:vAlign w:val="bottom"/>
            <w:gridSpan w:val="9"/>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885"/>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60" w:type="dxa"/>
            <w:vAlign w:val="bottom"/>
            <w:gridSpan w:val="16"/>
          </w:tcPr>
          <w:p>
            <w:pPr>
              <w:jc w:val="center"/>
              <w:ind w:left="335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7"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report and elsewhere in our filings with the SEC.</w:t>
      </w:r>
    </w:p>
    <w:p>
      <w:pPr>
        <w:spacing w:after="0" w:line="23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right="420" w:firstLine="259"/>
        <w:spacing w:after="0" w:line="264" w:lineRule="auto"/>
        <w:rPr>
          <w:sz w:val="20"/>
          <w:szCs w:val="20"/>
          <w:color w:val="auto"/>
        </w:rPr>
      </w:pPr>
      <w:r>
        <w:rPr>
          <w:rFonts w:ascii="Arial" w:cs="Arial" w:eastAsia="Arial" w:hAnsi="Arial"/>
          <w:sz w:val="18"/>
          <w:szCs w:val="18"/>
          <w:color w:val="auto"/>
        </w:rPr>
        <w:t>In this Annual Report, except where the context suggests otherwise, the terms “TSL,” “TSLX,” “we,” “us,” “our,” and “the Company” refer to TPG Specialty Lending, Inc. The term “Adviser” refers to TSL Advisers, LLC, a Delaware limited liability company. The term “TSSP” refers to TPG Special Situations Partners. The term “TPG” refers to TPG Global, LLC and its affiliates.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100" w:firstLine="259"/>
        <w:spacing w:after="0" w:line="270"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2016, we have originated more than $5.0 billion aggregate principal amount of investments and retained approximately $3.5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2016, our core portfolio companies, which exclude certain investments that fall outside of our typical borrower profile and represent 88.2% of our total investments based on fair value, had weighted average annual revenue of $144.1 million and weighted average annual EBITDA of $31.4 million.</w:t>
      </w:r>
    </w:p>
    <w:p>
      <w:pPr>
        <w:spacing w:after="0" w:line="182" w:lineRule="exact"/>
        <w:rPr>
          <w:sz w:val="20"/>
          <w:szCs w:val="20"/>
          <w:color w:val="auto"/>
        </w:rPr>
      </w:pPr>
    </w:p>
    <w:p>
      <w:pPr>
        <w:ind w:right="260" w:firstLine="259"/>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We have operated as a business development company, or a BDC, since we began our investment activities in July 2011, and we are currently one of the largest publicly listed BDCs by total assets. In conducting our investment activities, we believe that we benefit from the significant scale and resources of our Adviser and its affiliates.</w:t>
      </w:r>
    </w:p>
    <w:p>
      <w:pPr>
        <w:spacing w:after="0" w:line="181" w:lineRule="exact"/>
        <w:rPr>
          <w:sz w:val="20"/>
          <w:szCs w:val="20"/>
          <w:color w:val="auto"/>
        </w:rPr>
      </w:pPr>
    </w:p>
    <w:p>
      <w:pPr>
        <w:ind w:firstLine="259"/>
        <w:spacing w:after="0" w:line="284"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2016, based on fair value our portfolio consisted of 96.5% first-lien debt investments, 1.2% second-lien debt investments, 0.6% mezzanine and unsecured debt investments, and 1.7% equity and other investments. Approximately 98.4% of our debt investments based on fair value as of December 31, 2016 bore interest at floating rates (when including investment specific hedges), with</w:t>
      </w:r>
    </w:p>
    <w:p>
      <w:pPr>
        <w:spacing w:after="0" w:line="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94.8% of these subject to interest rate floors, which we believe helps act as a portfolio-wide hedge against inflation. As of December 31, 2016 we had investments in 52 portfolio companies. As of December 31, 2016, the average investment size in each of our portfolio companies was approximately $31.9 million based on fair value. As of December 31, 2016, the largest single investment based on fair value represented 4.5% of our total investment portfolio.</w:t>
      </w:r>
    </w:p>
    <w:p>
      <w:pPr>
        <w:spacing w:after="0" w:line="155" w:lineRule="exact"/>
        <w:rPr>
          <w:sz w:val="20"/>
          <w:szCs w:val="20"/>
          <w:color w:val="auto"/>
        </w:rPr>
      </w:pPr>
    </w:p>
    <w:p>
      <w:pPr>
        <w:ind w:right="180" w:firstLine="259"/>
        <w:spacing w:after="0" w:line="308" w:lineRule="auto"/>
        <w:rPr>
          <w:sz w:val="20"/>
          <w:szCs w:val="20"/>
          <w:color w:val="auto"/>
        </w:rPr>
      </w:pPr>
      <w:r>
        <w:rPr>
          <w:rFonts w:ascii="Arial" w:cs="Arial" w:eastAsia="Arial" w:hAnsi="Arial"/>
          <w:sz w:val="17"/>
          <w:szCs w:val="17"/>
          <w:color w:val="auto"/>
        </w:rPr>
        <w:t>As of December 31, 2016, our portfolio was invested across 19 different industries. The largest industries in our portfolio as of December 31, 2016 were business services and healthcare, which represented, as a percentage of our portfolio, 22.6%, and 12.2%, respectively, based on fair value.</w:t>
      </w:r>
    </w:p>
    <w:p>
      <w:pPr>
        <w:spacing w:after="0" w:line="147"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We are an externally managed, closed-end, non-diversified management investment company that has elected to be regulated as a BDC under the Investment Company Act of 1940, as amended, or the 1940 Act. In addition, for U.S. income tax purposes, we have elected to be treated as a regulated investment company, or RIC, under Subchapter M of the Internal Revenue Code of 1986, as amended, which we refer to as the Code. Because we elected to be a BDC and have elected to be treated as a RIC for U.S. tax purposes, our portfolio is and will continue to be subject to diversification and other requirements to maintain such status elections.</w:t>
      </w:r>
    </w:p>
    <w:p>
      <w:pPr>
        <w:spacing w:after="0" w:line="188"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The use of borrowed funds or the proceeds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both"/>
        <w:ind w:right="380"/>
        <w:spacing w:after="0" w:line="264" w:lineRule="auto"/>
        <w:rPr>
          <w:sz w:val="20"/>
          <w:szCs w:val="20"/>
          <w:color w:val="auto"/>
        </w:rPr>
      </w:pPr>
      <w:r>
        <w:rPr>
          <w:rFonts w:ascii="Arial" w:cs="Arial" w:eastAsia="Arial" w:hAnsi="Arial"/>
          <w:sz w:val="18"/>
          <w:szCs w:val="18"/>
          <w:color w:val="auto"/>
        </w:rPr>
        <w:t>of preferred stock offerings to make investments has its own specific set of benefits and risks, and all of the costs of borrowing funds or issuing preferred stock are borne by us, and ultimately the holders of our common stock. See “</w:t>
      </w:r>
      <w:r>
        <w:rPr>
          <w:rFonts w:ascii="Arial" w:cs="Arial" w:eastAsia="Arial" w:hAnsi="Arial"/>
          <w:sz w:val="18"/>
          <w:szCs w:val="18"/>
          <w:i w:val="1"/>
          <w:iCs w:val="1"/>
          <w:color w:val="auto"/>
        </w:rPr>
        <w:t>ITEM 1A. Risk Factors</w:t>
      </w:r>
      <w:r>
        <w:rPr>
          <w:rFonts w:ascii="Arial" w:cs="Arial" w:eastAsia="Arial" w:hAnsi="Arial"/>
          <w:sz w:val="18"/>
          <w:szCs w:val="18"/>
          <w:color w:val="auto"/>
        </w:rPr>
        <w:t>—</w:t>
      </w:r>
      <w:r>
        <w:rPr>
          <w:rFonts w:ascii="Arial" w:cs="Arial" w:eastAsia="Arial" w:hAnsi="Arial"/>
          <w:sz w:val="18"/>
          <w:szCs w:val="18"/>
          <w:i w:val="1"/>
          <w:iCs w:val="1"/>
          <w:color w:val="auto"/>
        </w:rPr>
        <w:t>Risks Related to Our Business and Structure—We</w:t>
      </w:r>
      <w:r>
        <w:rPr>
          <w:rFonts w:ascii="Arial" w:cs="Arial" w:eastAsia="Arial" w:hAnsi="Arial"/>
          <w:sz w:val="18"/>
          <w:szCs w:val="18"/>
          <w:color w:val="auto"/>
        </w:rPr>
        <w:t xml:space="preserve"> </w:t>
      </w:r>
      <w:r>
        <w:rPr>
          <w:rFonts w:ascii="Arial" w:cs="Arial" w:eastAsia="Arial" w:hAnsi="Arial"/>
          <w:sz w:val="18"/>
          <w:szCs w:val="18"/>
          <w:i w:val="1"/>
          <w:iCs w:val="1"/>
          <w:color w:val="auto"/>
        </w:rPr>
        <w:t>borrow money, which magnifies the potential for gain or loss and increases the risk of investing in us.”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operations comprise only a single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our Adviser, TSSP and TPG</w:t>
      </w:r>
    </w:p>
    <w:p>
      <w:pPr>
        <w:spacing w:after="0" w:line="121" w:lineRule="exact"/>
        <w:rPr>
          <w:sz w:val="20"/>
          <w:szCs w:val="20"/>
          <w:color w:val="auto"/>
        </w:rPr>
      </w:pPr>
    </w:p>
    <w:p>
      <w:pPr>
        <w:ind w:right="100" w:firstLine="259"/>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TPG Special Situations Partners, LLC, or “TSSP”.</w:t>
      </w:r>
    </w:p>
    <w:p>
      <w:pPr>
        <w:spacing w:after="0" w:line="189"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TSSP, with over $18 billion of assets under management as of December 31, 2016,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160 investment and operating professionals. As of December 31, 2016, twenty nine (29) of these personnel are dedicated to our business, including twenty one (21) investment professionals.</w:t>
      </w:r>
    </w:p>
    <w:p>
      <w:pPr>
        <w:spacing w:after="0" w:line="189"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TPG is a leading global private investment firm founded in 1992 with $74 billion of assets under management as of September 30, 2016,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300 professionals.</w:t>
      </w:r>
    </w:p>
    <w:p>
      <w:pPr>
        <w:spacing w:after="0" w:line="179"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 xml:space="preserve">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Arial" w:cs="Arial" w:eastAsia="Arial" w:hAnsi="Arial"/>
          <w:sz w:val="18"/>
          <w:szCs w:val="18"/>
          <w:i w:val="1"/>
          <w:iCs w:val="1"/>
          <w:color w:val="auto"/>
        </w:rPr>
        <w:t>"Regulation as a Business Development -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 with our affiliates.”</w:t>
      </w:r>
    </w:p>
    <w:p>
      <w:pPr>
        <w:spacing w:after="0" w:line="188"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right="640" w:firstLine="259"/>
        <w:spacing w:after="0" w:line="34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24"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w:t>
      </w:r>
      <w:r>
        <w:rPr>
          <w:rFonts w:ascii="Arial" w:cs="Arial" w:eastAsia="Arial" w:hAnsi="Arial"/>
          <w:sz w:val="17"/>
          <w:szCs w:val="17"/>
          <w:i w:val="1"/>
          <w:iCs w:val="1"/>
          <w:color w:val="auto"/>
        </w:rPr>
        <w:t>Management Agreements—Investment Advisory</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 Administration Agreement; License Agreement</w:t>
      </w:r>
      <w:r>
        <w:rPr>
          <w:rFonts w:ascii="Arial" w:cs="Arial" w:eastAsia="Arial" w:hAnsi="Arial"/>
          <w:sz w:val="17"/>
          <w:szCs w:val="17"/>
          <w:color w:val="auto"/>
        </w:rPr>
        <w:t>.” Our Board monitors the mix and performance of our investments over time and seeks to satisfy</w:t>
      </w:r>
      <w:r>
        <w:rPr>
          <w:rFonts w:ascii="Arial" w:cs="Arial" w:eastAsia="Arial" w:hAnsi="Arial"/>
          <w:sz w:val="17"/>
          <w:szCs w:val="17"/>
          <w:i w:val="1"/>
          <w:iCs w:val="1"/>
          <w:color w:val="auto"/>
        </w:rPr>
        <w:t xml:space="preserve"> </w:t>
      </w:r>
      <w:r>
        <w:rPr>
          <w:rFonts w:ascii="Arial" w:cs="Arial" w:eastAsia="Arial" w:hAnsi="Arial"/>
          <w:sz w:val="17"/>
          <w:szCs w:val="17"/>
          <w:color w:val="auto"/>
        </w:rPr>
        <w:t>itself that the Adviser is acting in our interests and that our fee structure appropriately incentivizes the Adviser to do so.</w:t>
      </w:r>
    </w:p>
    <w:p>
      <w:pPr>
        <w:spacing w:after="0" w:line="173"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In November 2016, our Board renewed the Investment Advisory Agreement. Unless earlier terminated, the Investment Advisory Agreement will remain in effect until November 2017, and may be extended subject to required approvals.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Decision Process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investment approach involves, among other things:</w:t>
      </w:r>
    </w:p>
    <w:p>
      <w:pPr>
        <w:spacing w:after="0" w:line="117" w:lineRule="exact"/>
        <w:rPr>
          <w:sz w:val="20"/>
          <w:szCs w:val="20"/>
          <w:color w:val="auto"/>
        </w:rPr>
      </w:pPr>
    </w:p>
    <w:p>
      <w:pPr>
        <w:ind w:left="520" w:hanging="255"/>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assessment of the markets, overall macroeconomic environment and how the assessment may impact industry and investment selection;</w:t>
      </w:r>
    </w:p>
    <w:p>
      <w:pPr>
        <w:spacing w:after="0" w:line="128" w:lineRule="exact"/>
        <w:rPr>
          <w:rFonts w:ascii="Arial" w:cs="Arial" w:eastAsia="Arial" w:hAnsi="Arial"/>
          <w:sz w:val="17"/>
          <w:szCs w:val="17"/>
          <w:color w:val="auto"/>
        </w:rPr>
      </w:pPr>
    </w:p>
    <w:p>
      <w:pPr>
        <w:ind w:left="520" w:hanging="25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ind w:right="160" w:firstLine="259"/>
        <w:spacing w:after="0" w:line="308" w:lineRule="auto"/>
        <w:rPr>
          <w:sz w:val="20"/>
          <w:szCs w:val="20"/>
          <w:color w:val="auto"/>
        </w:rPr>
      </w:pPr>
      <w:r>
        <w:rPr>
          <w:rFonts w:ascii="Arial" w:cs="Arial" w:eastAsia="Arial" w:hAnsi="Arial"/>
          <w:sz w:val="17"/>
          <w:szCs w:val="17"/>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38" w:lineRule="exact"/>
        <w:rPr>
          <w:sz w:val="20"/>
          <w:szCs w:val="20"/>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and Sourcing</w:t>
      </w:r>
    </w:p>
    <w:p>
      <w:pPr>
        <w:spacing w:after="0" w:line="11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Due Diligence Process</w:t>
      </w:r>
    </w:p>
    <w:p>
      <w:pPr>
        <w:spacing w:after="0" w:line="117"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9" w:lineRule="exact"/>
        <w:rPr>
          <w:sz w:val="20"/>
          <w:szCs w:val="20"/>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understanding the purpose of the capital requirement, the key personnel and variables, as well as the sources and uses of the proceeds;</w:t>
      </w:r>
    </w:p>
    <w:p>
      <w:pPr>
        <w:spacing w:after="0" w:line="117" w:lineRule="exact"/>
        <w:rPr>
          <w:rFonts w:ascii="Arial" w:cs="Arial" w:eastAsia="Arial" w:hAnsi="Arial"/>
          <w:sz w:val="18"/>
          <w:szCs w:val="18"/>
          <w:color w:val="auto"/>
        </w:rPr>
      </w:pPr>
    </w:p>
    <w:p>
      <w:pPr>
        <w:ind w:left="520" w:right="340" w:hanging="255"/>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performing a detailed review of historical financial performance, including performance through various economic cycles, and the quality of earnings;</w:t>
      </w:r>
    </w:p>
    <w:p>
      <w:pPr>
        <w:spacing w:after="0" w:line="140" w:lineRule="exact"/>
        <w:rPr>
          <w:rFonts w:ascii="Arial" w:cs="Arial" w:eastAsia="Arial" w:hAnsi="Arial"/>
          <w:sz w:val="16"/>
          <w:szCs w:val="16"/>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40" w:lineRule="exact"/>
        <w:rPr>
          <w:rFonts w:ascii="Arial" w:cs="Arial" w:eastAsia="Arial" w:hAnsi="Arial"/>
          <w:sz w:val="16"/>
          <w:szCs w:val="16"/>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 Investment Process</w:t>
      </w:r>
    </w:p>
    <w:p>
      <w:pPr>
        <w:spacing w:after="0" w:line="117"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Formal Commitment</w:t>
      </w:r>
    </w:p>
    <w:p>
      <w:pPr>
        <w:spacing w:after="0" w:line="117" w:lineRule="exact"/>
        <w:rPr>
          <w:sz w:val="20"/>
          <w:szCs w:val="20"/>
          <w:color w:val="auto"/>
        </w:rPr>
      </w:pPr>
    </w:p>
    <w:p>
      <w:pPr>
        <w:ind w:right="40" w:firstLine="259"/>
        <w:spacing w:after="0" w:line="312" w:lineRule="auto"/>
        <w:rPr>
          <w:sz w:val="20"/>
          <w:szCs w:val="20"/>
          <w:color w:val="auto"/>
        </w:rPr>
      </w:pPr>
      <w:r>
        <w:rPr>
          <w:rFonts w:ascii="Arial" w:cs="Arial" w:eastAsia="Arial" w:hAnsi="Arial"/>
          <w:sz w:val="16"/>
          <w:szCs w:val="16"/>
          <w:color w:val="auto"/>
        </w:rPr>
        <w:t>Approval of an investment requires the approval of the Investment Review Committee or, depending on the size and nature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Monitoring</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Adviser has a number of methods of evaluating and monitoring the performance and fair value of our investments, which may include the following:</w:t>
      </w:r>
    </w:p>
    <w:p>
      <w:pPr>
        <w:spacing w:after="0" w:line="140" w:lineRule="exact"/>
        <w:rPr>
          <w:sz w:val="20"/>
          <w:szCs w:val="20"/>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 w:name="page8"/>
    <w:bookmarkEnd w:id="7"/>
    <w:p>
      <w:pPr>
        <w:ind w:right="20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780" w:hanging="255"/>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73" w:lineRule="exact"/>
        <w:rPr>
          <w:rFonts w:ascii="Arial" w:cs="Arial" w:eastAsia="Arial" w:hAnsi="Arial"/>
          <w:sz w:val="18"/>
          <w:szCs w:val="18"/>
          <w:color w:val="auto"/>
        </w:rPr>
      </w:pPr>
    </w:p>
    <w:p>
      <w:pPr>
        <w:ind w:left="520" w:right="260" w:hanging="255"/>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hanging="255"/>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220" w:hanging="255"/>
        <w:spacing w:after="0" w:line="276"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4" w:lineRule="exact"/>
        <w:rPr>
          <w:rFonts w:ascii="Arial" w:cs="Arial" w:eastAsia="Arial" w:hAnsi="Arial"/>
          <w:sz w:val="17"/>
          <w:szCs w:val="17"/>
          <w:color w:val="auto"/>
        </w:rPr>
      </w:pPr>
    </w:p>
    <w:p>
      <w:pPr>
        <w:ind w:left="520" w:right="40" w:hanging="255"/>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investment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7"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color w:val="auto"/>
        </w:rPr>
        <w:t xml:space="preserve">For more information on the investment performance ratings of our portfolio, see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TSSP and TPG.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and unsecured loans and investments in corporate bonds and equity and other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Investments</w:t>
      </w:r>
    </w:p>
    <w:p>
      <w:pPr>
        <w:spacing w:after="0" w:line="117"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9" w:lineRule="exact"/>
        <w:rPr>
          <w:sz w:val="20"/>
          <w:szCs w:val="20"/>
          <w:color w:val="auto"/>
        </w:rPr>
      </w:pPr>
    </w:p>
    <w:p>
      <w:pPr>
        <w:ind w:left="520" w:right="80" w:hanging="255"/>
        <w:spacing w:after="0" w:line="261"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71" w:lineRule="exact"/>
        <w:rPr>
          <w:rFonts w:ascii="Arial" w:cs="Arial" w:eastAsia="Arial" w:hAnsi="Arial"/>
          <w:sz w:val="18"/>
          <w:szCs w:val="18"/>
          <w:color w:val="auto"/>
        </w:rPr>
      </w:pPr>
    </w:p>
    <w:p>
      <w:pPr>
        <w:ind w:left="780" w:right="40" w:hanging="259"/>
        <w:spacing w:after="0" w:line="282" w:lineRule="auto"/>
        <w:tabs>
          <w:tab w:leader="none" w:pos="78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subject to the first-priority security interest.</w:t>
      </w:r>
    </w:p>
    <w:p>
      <w:pPr>
        <w:spacing w:after="0" w:line="53" w:lineRule="exact"/>
        <w:rPr>
          <w:rFonts w:ascii="Arial" w:cs="Arial" w:eastAsia="Arial" w:hAnsi="Arial"/>
          <w:sz w:val="18"/>
          <w:szCs w:val="18"/>
          <w:color w:val="auto"/>
        </w:rPr>
      </w:pPr>
    </w:p>
    <w:p>
      <w:pPr>
        <w:ind w:left="780" w:right="140" w:hanging="259"/>
        <w:spacing w:after="0" w:line="266" w:lineRule="auto"/>
        <w:tabs>
          <w:tab w:leader="none" w:pos="78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“Last out” first-lien loans. </w:t>
      </w:r>
      <w:r>
        <w:rPr>
          <w:rFonts w:ascii="Arial" w:cs="Arial" w:eastAsia="Arial" w:hAnsi="Arial"/>
          <w:sz w:val="18"/>
          <w:szCs w:val="18"/>
          <w:color w:val="auto"/>
        </w:rPr>
        <w:t>“Last out” first-lien loans have a secondary priority behind super-senior “first out” first-lien loans in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securing the loans in certain circumstances. The arrangements for a “last out” first-lien loan are set forth in an “agreement among lenders,” which provides lenders with “first out” and “last out” payment streams based on a</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 w:name="page9"/>
    <w:bookmarkEnd w:id="8"/>
    <w:p>
      <w:pPr>
        <w:ind w:left="780" w:right="40"/>
        <w:spacing w:after="0" w:line="276" w:lineRule="auto"/>
        <w:rPr>
          <w:sz w:val="20"/>
          <w:szCs w:val="20"/>
          <w:color w:val="auto"/>
        </w:rPr>
      </w:pPr>
      <w:r>
        <w:rPr>
          <w:rFonts w:ascii="Arial" w:cs="Arial" w:eastAsia="Arial" w:hAnsi="Arial"/>
          <w:sz w:val="17"/>
          <w:szCs w:val="17"/>
          <w:color w:val="auto"/>
        </w:rPr>
        <w:t>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60" w:lineRule="exact"/>
        <w:rPr>
          <w:sz w:val="20"/>
          <w:szCs w:val="20"/>
          <w:color w:val="auto"/>
        </w:rPr>
      </w:pPr>
    </w:p>
    <w:p>
      <w:pPr>
        <w:ind w:left="780" w:hanging="259"/>
        <w:spacing w:after="0" w:line="289" w:lineRule="auto"/>
        <w:tabs>
          <w:tab w:leader="none" w:pos="780" w:val="left"/>
        </w:tabs>
        <w:numPr>
          <w:ilvl w:val="1"/>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“Unitranche” loans. </w:t>
      </w:r>
      <w:r>
        <w:rPr>
          <w:rFonts w:ascii="Arial" w:cs="Arial" w:eastAsia="Arial" w:hAnsi="Arial"/>
          <w:sz w:val="17"/>
          <w:szCs w:val="17"/>
          <w:color w:val="auto"/>
        </w:rPr>
        <w:t>Unitranche loans combine features of first-lien, second-lien and mezzanine debt, generally in a first-lien position. In many</w:t>
      </w:r>
      <w:r>
        <w:rPr>
          <w:rFonts w:ascii="Arial" w:cs="Arial" w:eastAsia="Arial" w:hAnsi="Arial"/>
          <w:sz w:val="17"/>
          <w:szCs w:val="17"/>
          <w:b w:val="1"/>
          <w:bCs w:val="1"/>
          <w:color w:val="auto"/>
        </w:rPr>
        <w:t xml:space="preserve"> </w:t>
      </w:r>
      <w:r>
        <w:rPr>
          <w:rFonts w:ascii="Arial" w:cs="Arial" w:eastAsia="Arial" w:hAnsi="Arial"/>
          <w:sz w:val="17"/>
          <w:szCs w:val="17"/>
          <w:color w:val="auto"/>
        </w:rPr>
        <w:t>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0" w:lineRule="exact"/>
        <w:rPr>
          <w:rFonts w:ascii="Arial" w:cs="Arial" w:eastAsia="Arial" w:hAnsi="Arial"/>
          <w:sz w:val="17"/>
          <w:szCs w:val="17"/>
          <w:color w:val="auto"/>
        </w:rPr>
      </w:pPr>
    </w:p>
    <w:p>
      <w:pPr>
        <w:ind w:left="520" w:right="160" w:hanging="255"/>
        <w:spacing w:after="0" w:line="258"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75" w:lineRule="exact"/>
        <w:rPr>
          <w:rFonts w:ascii="Arial" w:cs="Arial" w:eastAsia="Arial" w:hAnsi="Arial"/>
          <w:sz w:val="18"/>
          <w:szCs w:val="18"/>
          <w:color w:val="auto"/>
        </w:rPr>
      </w:pPr>
    </w:p>
    <w:p>
      <w:pPr>
        <w:ind w:left="520" w:right="60" w:hanging="255"/>
        <w:spacing w:after="0" w:line="291"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“Mezzanine” and “Unsecured” debt. </w:t>
      </w:r>
      <w:r>
        <w:rPr>
          <w:rFonts w:ascii="Arial" w:cs="Arial" w:eastAsia="Arial" w:hAnsi="Arial"/>
          <w:sz w:val="16"/>
          <w:szCs w:val="16"/>
          <w:color w:val="auto"/>
        </w:rPr>
        <w:t>Structurally, mezzanine debt usually ranks subordinate in priority of payment to first-lien and second-lien debt</w:t>
      </w:r>
      <w:r>
        <w:rPr>
          <w:rFonts w:ascii="Arial" w:cs="Arial" w:eastAsia="Arial" w:hAnsi="Arial"/>
          <w:sz w:val="16"/>
          <w:szCs w:val="16"/>
          <w:b w:val="1"/>
          <w:bCs w:val="1"/>
          <w:color w:val="auto"/>
        </w:rPr>
        <w:t xml:space="preserve"> </w:t>
      </w:r>
      <w:r>
        <w:rPr>
          <w:rFonts w:ascii="Arial" w:cs="Arial" w:eastAsia="Arial" w:hAnsi="Arial"/>
          <w:sz w:val="16"/>
          <w:szCs w:val="16"/>
          <w:color w:val="auto"/>
        </w:rPr>
        <w:t>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64"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62" w:lineRule="exact"/>
        <w:rPr>
          <w:sz w:val="20"/>
          <w:szCs w:val="20"/>
          <w:color w:val="auto"/>
        </w:rPr>
      </w:pPr>
    </w:p>
    <w:p>
      <w:pPr>
        <w:ind w:left="520" w:hanging="255"/>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28" w:lineRule="exact"/>
        <w:rPr>
          <w:rFonts w:ascii="Arial" w:cs="Arial" w:eastAsia="Arial" w:hAnsi="Arial"/>
          <w:sz w:val="17"/>
          <w:szCs w:val="17"/>
          <w:color w:val="auto"/>
        </w:rPr>
      </w:pPr>
    </w:p>
    <w:p>
      <w:pPr>
        <w:ind w:left="520" w:hanging="255"/>
        <w:spacing w:after="0" w:line="259"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and Other Investments</w:t>
      </w:r>
    </w:p>
    <w:p>
      <w:pPr>
        <w:spacing w:after="0" w:line="11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As of December 31, 2016 and 2015, we had made investments with an aggregate fair value of $1,657.4 million and $1,485.7 million, respectively, in 52 and 46 portfolio companies,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color w:val="auto"/>
        </w:rPr>
        <w:t>Investments consisted of the following at December 31, 2016 and 2015:</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2016</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22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280" w:type="dxa"/>
            <w:vAlign w:val="bottom"/>
            <w:gridSpan w:val="3"/>
          </w:tcPr>
          <w:p>
            <w:pPr>
              <w:ind w:left="110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2015</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280" w:type="dxa"/>
            <w:vAlign w:val="bottom"/>
            <w:gridSpan w:val="3"/>
          </w:tcPr>
          <w:p>
            <w:pPr>
              <w:ind w:left="110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1,310.2</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1,529.7</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2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December 31, 2016 and 2015 was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5"/>
              </w:rPr>
              <w:t>December 31, 2016</w:t>
            </w:r>
          </w:p>
        </w:tc>
        <w:tc>
          <w:tcPr>
            <w:tcW w:w="30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December 31, 2015</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22.6%</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Chemicals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Electronics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Healthcare</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Internet services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Office products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Real Estate</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Retail and consumer products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Transportation</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We classify the industries of our portfolio companies by end-market (such as healthcare, and business services) and not by the product or services (such as software) directed to those end-markets.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color w:val="auto"/>
        </w:rPr>
        <w:t>The geographic composition of investments at fair value at December 31, 2016 and 2015 was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December 31, 2016</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Midwest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29.3%</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South</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Canada</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2016 and 2015, we had the following commitments to fund investments in current portfolio companies: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AvidXchange, Inc. - Delayed Draw Term Loan</w:t>
            </w:r>
          </w:p>
        </w:tc>
        <w:tc>
          <w:tcPr>
            <w:tcW w:w="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15,385</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Clarabridge,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FF0FC"/>
          </w:tcPr>
          <w:p>
            <w:pPr>
              <w:spacing w:after="0"/>
              <w:rPr>
                <w:sz w:val="19"/>
                <w:szCs w:val="19"/>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rPr>
              <w:t>CrunchTime Information Systems, Inc. - Delayed Draw</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Term Loan</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12,000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20"/>
                <w:szCs w:val="20"/>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Ecommerce Industries, Inc. - Delayed Draw Term Loan</w:t>
            </w:r>
          </w:p>
        </w:tc>
        <w:tc>
          <w:tcPr>
            <w:tcW w:w="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4,800</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Heartland Automotive Holdings, LLC - Revolver</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2,833</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Helix Health, Ltd.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Highwinds Capital, Inc. - Revolver</w:t>
            </w:r>
          </w:p>
        </w:tc>
        <w:tc>
          <w:tcPr>
            <w:tcW w:w="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Marketo,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MyAlarm Center, LLC - Delayed Draw</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2,164</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Network Merchants,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PayLease, LLC - Revolver</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SailPoint Technologies,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ScentAir Technologies, Inc. - Multi Draw Term Loan</w:t>
            </w:r>
          </w:p>
        </w:tc>
        <w:tc>
          <w:tcPr>
            <w:tcW w:w="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Sears - ABL Revolver</w:t>
            </w:r>
          </w:p>
        </w:tc>
        <w:tc>
          <w:tcPr>
            <w:tcW w:w="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17,913</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78,646</w:t>
            </w: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As of December 31, 2016, we had additional unfunded commitments of $50.0 million to fund investments to new borrowers that were not current portfolio companies as of December 31, 2016. As of December 31, 2015, we did not have any unfunded commitments to fund investments to new borrowers that were not current portfolio companies as of December 31, 2015.</w:t>
      </w:r>
    </w:p>
    <w:p>
      <w:pPr>
        <w:spacing w:after="0" w:line="181" w:lineRule="exact"/>
        <w:rPr>
          <w:sz w:val="20"/>
          <w:szCs w:val="20"/>
          <w:color w:val="auto"/>
        </w:rPr>
      </w:pPr>
    </w:p>
    <w:p>
      <w:pPr>
        <w:ind w:right="700" w:firstLine="259"/>
        <w:spacing w:after="0" w:line="277" w:lineRule="auto"/>
        <w:rPr>
          <w:sz w:val="20"/>
          <w:szCs w:val="20"/>
          <w:color w:val="auto"/>
        </w:rPr>
      </w:pPr>
      <w:r>
        <w:rPr>
          <w:rFonts w:ascii="Arial" w:cs="Arial" w:eastAsia="Arial" w:hAnsi="Arial"/>
          <w:sz w:val="18"/>
          <w:szCs w:val="18"/>
          <w:color w:val="auto"/>
        </w:rPr>
        <w:t>From time to time, we may become a party to certain legal proceedings incidental to the normal course of its business. As of December 31, 2016, management is not aware of any pending or threatened litigation.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440"/>
        <w:spacing w:after="0" w:line="277" w:lineRule="auto"/>
        <w:rPr>
          <w:sz w:val="20"/>
          <w:szCs w:val="20"/>
          <w:color w:val="auto"/>
        </w:rPr>
      </w:pPr>
      <w:r>
        <w:rPr>
          <w:rFonts w:ascii="Arial" w:cs="Arial" w:eastAsia="Arial" w:hAnsi="Arial"/>
          <w:sz w:val="18"/>
          <w:szCs w:val="18"/>
          <w:color w:val="auto"/>
        </w:rPr>
        <w:t>competitive risks we expect to face, see “</w:t>
      </w:r>
      <w:r>
        <w:rPr>
          <w:rFonts w:ascii="Arial" w:cs="Arial" w:eastAsia="Arial" w:hAnsi="Arial"/>
          <w:sz w:val="18"/>
          <w:szCs w:val="18"/>
          <w:i w:val="1"/>
          <w:iCs w:val="1"/>
          <w:color w:val="auto"/>
        </w:rPr>
        <w:t>ITEM 1A. RISK FACTORS—Risks Related to Our Business and Structure—We operate in a highly competitive</w:t>
      </w:r>
      <w:r>
        <w:rPr>
          <w:rFonts w:ascii="Arial" w:cs="Arial" w:eastAsia="Arial" w:hAnsi="Arial"/>
          <w:sz w:val="18"/>
          <w:szCs w:val="18"/>
          <w:color w:val="auto"/>
        </w:rPr>
        <w:t xml:space="preserve"> </w:t>
      </w:r>
      <w:r>
        <w:rPr>
          <w:rFonts w:ascii="Arial" w:cs="Arial" w:eastAsia="Arial" w:hAnsi="Arial"/>
          <w:sz w:val="18"/>
          <w:szCs w:val="18"/>
          <w:i w:val="1"/>
          <w:iCs w:val="1"/>
          <w:color w:val="auto"/>
        </w:rPr>
        <w:t>market for investment opportunities.</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and Borrowings</w:t>
      </w:r>
    </w:p>
    <w:p>
      <w:pPr>
        <w:spacing w:after="0" w:line="11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We anticipate generating cash in the future from issuances of common stock and cash flows from operations, including interest received on our cash and cash equivalents, U.S. government securities and other high-quality debt investments that mature in one year or less.</w:t>
      </w:r>
    </w:p>
    <w:p>
      <w:pPr>
        <w:spacing w:after="0" w:line="170" w:lineRule="exact"/>
        <w:rPr>
          <w:sz w:val="20"/>
          <w:szCs w:val="20"/>
          <w:color w:val="auto"/>
        </w:rPr>
      </w:pPr>
    </w:p>
    <w:p>
      <w:pPr>
        <w:jc w:val="both"/>
        <w:ind w:firstLine="259"/>
        <w:spacing w:after="0" w:line="286" w:lineRule="auto"/>
        <w:rPr>
          <w:sz w:val="20"/>
          <w:szCs w:val="20"/>
          <w:color w:val="auto"/>
        </w:rPr>
      </w:pPr>
      <w:r>
        <w:rPr>
          <w:rFonts w:ascii="Arial" w:cs="Arial" w:eastAsia="Arial" w:hAnsi="Arial"/>
          <w:sz w:val="17"/>
          <w:szCs w:val="17"/>
          <w:color w:val="auto"/>
        </w:rPr>
        <w:t>Additionally, we are permitted, under specified conditions, to issue multiple classes of indebtedness and one class of shares senior to our common stock if our asset coverage, as defined in the 1940 Act, is at least equal to 200% immediately after each such issuance. As of December 31, 2016 and 2015, our asset coverage was 237.7% and 225.7%, respectively. See “</w:t>
      </w:r>
      <w:r>
        <w:rPr>
          <w:rFonts w:ascii="Arial" w:cs="Arial" w:eastAsia="Arial" w:hAnsi="Arial"/>
          <w:sz w:val="17"/>
          <w:szCs w:val="17"/>
          <w:i w:val="1"/>
          <w:iCs w:val="1"/>
          <w:color w:val="auto"/>
        </w:rPr>
        <w:t>Regulation as a Business Development Company—Senior Securities</w:t>
      </w:r>
      <w:r>
        <w:rPr>
          <w:rFonts w:ascii="Arial" w:cs="Arial" w:eastAsia="Arial" w:hAnsi="Arial"/>
          <w:sz w:val="17"/>
          <w:szCs w:val="17"/>
          <w:color w:val="auto"/>
        </w:rPr>
        <w:t>” below.</w:t>
      </w:r>
    </w:p>
    <w:p>
      <w:pPr>
        <w:spacing w:after="0" w:line="166"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debt obligations consisted of the following as of December 31, 2016 and 2015:</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0"/>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40" w:type="dxa"/>
            <w:vAlign w:val="bottom"/>
          </w:tcPr>
          <w:p>
            <w:pPr>
              <w:spacing w:after="0"/>
              <w:rPr>
                <w:sz w:val="15"/>
                <w:szCs w:val="15"/>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5"/>
                <w:szCs w:val="15"/>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5"/>
                <w:szCs w:val="15"/>
                <w:color w:val="auto"/>
              </w:rPr>
            </w:pPr>
          </w:p>
        </w:tc>
      </w:tr>
      <w:tr>
        <w:trPr>
          <w:trHeight w:val="219"/>
        </w:trPr>
        <w:tc>
          <w:tcPr>
            <w:tcW w:w="292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9"/>
                <w:szCs w:val="19"/>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 Committed</w:t>
            </w:r>
          </w:p>
        </w:tc>
        <w:tc>
          <w:tcPr>
            <w:tcW w:w="140" w:type="dxa"/>
            <w:vAlign w:val="bottom"/>
          </w:tcPr>
          <w:p>
            <w:pPr>
              <w:spacing w:after="0"/>
              <w:rPr>
                <w:sz w:val="19"/>
                <w:szCs w:val="19"/>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r>
      <w:tr>
        <w:trPr>
          <w:trHeight w:val="223"/>
        </w:trPr>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578.7</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9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 Obligations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2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December 31, 2015</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0"/>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40" w:type="dxa"/>
            <w:vAlign w:val="bottom"/>
          </w:tcPr>
          <w:p>
            <w:pPr>
              <w:spacing w:after="0"/>
              <w:rPr>
                <w:sz w:val="15"/>
                <w:szCs w:val="15"/>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5"/>
                <w:szCs w:val="15"/>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5"/>
                <w:szCs w:val="15"/>
                <w:color w:val="auto"/>
              </w:rPr>
            </w:pPr>
          </w:p>
        </w:tc>
      </w:tr>
      <w:tr>
        <w:trPr>
          <w:trHeight w:val="219"/>
        </w:trPr>
        <w:tc>
          <w:tcPr>
            <w:tcW w:w="292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9"/>
                <w:szCs w:val="19"/>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 Committed</w:t>
            </w:r>
          </w:p>
        </w:tc>
        <w:tc>
          <w:tcPr>
            <w:tcW w:w="140" w:type="dxa"/>
            <w:vAlign w:val="bottom"/>
          </w:tcPr>
          <w:p>
            <w:pPr>
              <w:spacing w:after="0"/>
              <w:rPr>
                <w:sz w:val="19"/>
                <w:szCs w:val="19"/>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r>
      <w:tr>
        <w:trPr>
          <w:trHeight w:val="223"/>
        </w:trPr>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9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 Obligations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25"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For the years ended December 31, 2016, 2015 and 2014, the components of interest expense were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Year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228"/>
        </w:trPr>
        <w:tc>
          <w:tcPr>
            <w:tcW w:w="38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440" w:type="dxa"/>
            <w:vAlign w:val="bottom"/>
            <w:gridSpan w:val="3"/>
          </w:tcPr>
          <w:p>
            <w:pPr>
              <w:ind w:left="1260"/>
              <w:spacing w:after="0"/>
              <w:rPr>
                <w:sz w:val="20"/>
                <w:szCs w:val="20"/>
                <w:color w:val="auto"/>
              </w:rPr>
            </w:pPr>
            <w:r>
              <w:rPr>
                <w:rFonts w:ascii="Arial" w:cs="Arial" w:eastAsia="Arial" w:hAnsi="Arial"/>
                <w:sz w:val="14"/>
                <w:szCs w:val="14"/>
                <w:b w:val="1"/>
                <w:bCs w:val="1"/>
                <w:color w:val="auto"/>
                <w:w w:val="91"/>
              </w:rPr>
              <w:t>December 31, 2016</w:t>
            </w:r>
          </w:p>
        </w:tc>
        <w:tc>
          <w:tcPr>
            <w:tcW w:w="1400" w:type="dxa"/>
            <w:vAlign w:val="bottom"/>
            <w:gridSpan w:val="3"/>
          </w:tcPr>
          <w:p>
            <w:pPr>
              <w:ind w:left="200"/>
              <w:spacing w:after="0"/>
              <w:rPr>
                <w:sz w:val="20"/>
                <w:szCs w:val="20"/>
                <w:color w:val="auto"/>
              </w:rPr>
            </w:pPr>
            <w:r>
              <w:rPr>
                <w:rFonts w:ascii="Arial" w:cs="Arial" w:eastAsia="Arial" w:hAnsi="Arial"/>
                <w:sz w:val="14"/>
                <w:szCs w:val="14"/>
                <w:b w:val="1"/>
                <w:bCs w:val="1"/>
                <w:color w:val="auto"/>
                <w:w w:val="93"/>
              </w:rPr>
              <w:t>December 31, 2015</w:t>
            </w:r>
          </w:p>
        </w:tc>
        <w:tc>
          <w:tcPr>
            <w:tcW w:w="1460" w:type="dxa"/>
            <w:vAlign w:val="bottom"/>
            <w:gridSpan w:val="4"/>
          </w:tcPr>
          <w:p>
            <w:pPr>
              <w:ind w:left="200"/>
              <w:spacing w:after="0"/>
              <w:rPr>
                <w:sz w:val="20"/>
                <w:szCs w:val="20"/>
                <w:color w:val="auto"/>
              </w:rPr>
            </w:pPr>
            <w:r>
              <w:rPr>
                <w:rFonts w:ascii="Arial" w:cs="Arial" w:eastAsia="Arial" w:hAnsi="Arial"/>
                <w:sz w:val="14"/>
                <w:szCs w:val="14"/>
                <w:b w:val="1"/>
                <w:bCs w:val="1"/>
                <w:color w:val="auto"/>
                <w:w w:val="98"/>
              </w:rPr>
              <w:t>December 31, 2014</w:t>
            </w: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Commitment fees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costs</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of original issue discount</w:t>
            </w:r>
          </w:p>
        </w:tc>
        <w:tc>
          <w:tcPr>
            <w:tcW w:w="1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For more information on our debt, see “</w:t>
      </w:r>
      <w:r>
        <w:rPr>
          <w:rFonts w:ascii="Arial" w:cs="Arial" w:eastAsia="Arial" w:hAnsi="Arial"/>
          <w:sz w:val="18"/>
          <w:szCs w:val="18"/>
          <w:i w:val="1"/>
          <w:iCs w:val="1"/>
          <w:color w:val="auto"/>
        </w:rPr>
        <w:t>ITEM 7.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OPERATIONS——Financial Condition, Liquidity and Capital Resources.</w:t>
      </w:r>
      <w:r>
        <w:rPr>
          <w:rFonts w:ascii="Arial" w:cs="Arial" w:eastAsia="Arial" w:hAnsi="Arial"/>
          <w:sz w:val="18"/>
          <w:szCs w:val="18"/>
          <w:color w:val="auto"/>
        </w:rPr>
        <w: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0" w:lineRule="exact"/>
        <w:rPr>
          <w:sz w:val="20"/>
          <w:szCs w:val="20"/>
          <w:color w:val="auto"/>
        </w:rPr>
      </w:pPr>
    </w:p>
    <w:p>
      <w:pPr>
        <w:ind w:left="520" w:hanging="255"/>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200" w:firstLine="259"/>
        <w:spacing w:after="0" w:line="257" w:lineRule="auto"/>
        <w:rPr>
          <w:sz w:val="20"/>
          <w:szCs w:val="20"/>
          <w:color w:val="auto"/>
        </w:rPr>
      </w:pPr>
      <w:r>
        <w:rPr>
          <w:rFonts w:ascii="Arial" w:cs="Arial" w:eastAsia="Arial" w:hAnsi="Arial"/>
          <w:sz w:val="18"/>
          <w:szCs w:val="18"/>
          <w:color w:val="auto"/>
        </w:rPr>
        <w:t xml:space="preserve">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 </w:t>
      </w:r>
      <w:r>
        <w:rPr>
          <w:rFonts w:ascii="Arial" w:cs="Arial" w:eastAsia="Arial" w:hAnsi="Arial"/>
          <w:sz w:val="18"/>
          <w:szCs w:val="18"/>
          <w:i w:val="1"/>
          <w:iCs w:val="1"/>
          <w:color w:val="auto"/>
        </w:rPr>
        <w:t>See “ITEM 1A. RISK FACTORS—Risks Related to Our Business and Structure—We will be subject to corporate-level income tax if we are</w:t>
      </w:r>
      <w:r>
        <w:rPr>
          <w:rFonts w:ascii="Arial" w:cs="Arial" w:eastAsia="Arial" w:hAnsi="Arial"/>
          <w:sz w:val="18"/>
          <w:szCs w:val="18"/>
          <w:color w:val="auto"/>
        </w:rPr>
        <w:t xml:space="preserve"> </w:t>
      </w:r>
      <w:r>
        <w:rPr>
          <w:rFonts w:ascii="Arial" w:cs="Arial" w:eastAsia="Arial" w:hAnsi="Arial"/>
          <w:sz w:val="18"/>
          <w:szCs w:val="18"/>
          <w:i w:val="1"/>
          <w:iCs w:val="1"/>
          <w:color w:val="auto"/>
        </w:rPr>
        <w:t>unable to maintain our qualification as a RIC under Subchapter M of the Code.”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Reinvestment Plan</w:t>
      </w:r>
    </w:p>
    <w:p>
      <w:pPr>
        <w:spacing w:after="0" w:line="117"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right="60" w:firstLine="259"/>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70"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67"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ind w:firstLine="259"/>
        <w:spacing w:after="0" w:line="302"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Arial" w:cs="Arial" w:eastAsia="Arial" w:hAnsi="Arial"/>
          <w:sz w:val="17"/>
          <w:szCs w:val="17"/>
          <w:i w:val="1"/>
          <w:iCs w:val="1"/>
          <w:color w:val="auto"/>
        </w:rPr>
        <w:t>Investment Advisory Agreement; Administration Agreement; License Agreement</w:t>
      </w:r>
      <w:r>
        <w:rPr>
          <w:rFonts w:ascii="Arial" w:cs="Arial" w:eastAsia="Arial" w:hAnsi="Arial"/>
          <w:sz w:val="17"/>
          <w:szCs w:val="17"/>
          <w:color w:val="auto"/>
        </w:rPr>
        <w:t>”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right="640" w:firstLine="259"/>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Under the Investment Advisory Agreement, the Adviser:</w:t>
      </w:r>
    </w:p>
    <w:p>
      <w:pPr>
        <w:spacing w:after="0" w:line="117" w:lineRule="exact"/>
        <w:rPr>
          <w:sz w:val="20"/>
          <w:szCs w:val="20"/>
          <w:color w:val="auto"/>
        </w:rPr>
      </w:pPr>
    </w:p>
    <w:p>
      <w:pPr>
        <w:ind w:left="520" w:hanging="255"/>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determines the composition of our portfolio, the nature and timing of the changes to our portfolio and the manner of implementing those changes;</w:t>
      </w:r>
    </w:p>
    <w:p>
      <w:pPr>
        <w:spacing w:after="0" w:line="128" w:lineRule="exact"/>
        <w:rPr>
          <w:rFonts w:ascii="Arial" w:cs="Arial" w:eastAsia="Arial" w:hAnsi="Arial"/>
          <w:sz w:val="17"/>
          <w:szCs w:val="17"/>
          <w:color w:val="auto"/>
        </w:rPr>
      </w:pPr>
    </w:p>
    <w:p>
      <w:pPr>
        <w:ind w:left="520" w:right="680" w:hanging="255"/>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closes, monitors and administers the investments we make, including the exercise of any rights in our capacity as a lender or equity holder; and</w:t>
      </w:r>
    </w:p>
    <w:p>
      <w:pPr>
        <w:spacing w:after="0" w:line="128" w:lineRule="exact"/>
        <w:rPr>
          <w:rFonts w:ascii="Arial" w:cs="Arial" w:eastAsia="Arial" w:hAnsi="Arial"/>
          <w:sz w:val="17"/>
          <w:szCs w:val="17"/>
          <w:color w:val="auto"/>
        </w:rPr>
      </w:pPr>
    </w:p>
    <w:p>
      <w:pPr>
        <w:ind w:left="520" w:right="120" w:hanging="255"/>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or the “Management Fee,” and may also pay certain incentive fees, or “Incentive Fees”.</w:t>
      </w:r>
    </w:p>
    <w:p>
      <w:pPr>
        <w:spacing w:after="0" w:line="170"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For the years ended December 31, 2016 and 2015, Management Fees were $24.3 million and $21.3 million, respectively, of which $0.1 million and $0.1 million were waived (see below).</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Prior to our initial public offering, or IPO, in March 2014, the Adviser had waived its right to receive the Management Fee in excess of the sum of</w:t>
      </w:r>
    </w:p>
    <w:p>
      <w:pPr>
        <w:spacing w:after="0" w:line="35" w:lineRule="exact"/>
        <w:rPr>
          <w:sz w:val="20"/>
          <w:szCs w:val="20"/>
          <w:color w:val="auto"/>
        </w:rPr>
      </w:pPr>
    </w:p>
    <w:p>
      <w:pPr>
        <w:ind w:right="80" w:firstLine="8"/>
        <w:spacing w:after="0" w:line="261"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0.25% of aggregate committed but undrawn capital and (ii) 0.75% of aggregate drawn capital (including capital drawn to pay our expenses) as determined as of the end of any calendar quarter (the “Pre-IPO Waiver”).</w:t>
      </w:r>
    </w:p>
    <w:p>
      <w:pPr>
        <w:spacing w:after="0" w:line="184"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In addition, the Adviser has voluntarily waived the Management Fee on our ownership of shares of common stock in TICC Capital Corp. (the “TICC Shares”) for any period in which TICC Capital Corp. remains our portfolio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ind w:right="200" w:firstLine="259"/>
        <w:spacing w:after="0" w:line="286" w:lineRule="auto"/>
        <w:rPr>
          <w:sz w:val="20"/>
          <w:szCs w:val="20"/>
          <w:color w:val="auto"/>
        </w:rPr>
      </w:pPr>
      <w:r>
        <w:rPr>
          <w:rFonts w:ascii="Arial" w:cs="Arial" w:eastAsia="Arial" w:hAnsi="Arial"/>
          <w:sz w:val="17"/>
          <w:szCs w:val="17"/>
          <w:color w:val="auto"/>
        </w:rPr>
        <w:t>For the years ended December 31, 2016 and 2015, Management Fees of $0.1 million and $0.1 million, respectively, were waived, consisting solely of Management Fees attributable to our ownership of the TICC Shares. For the year ended December 31, 2014 Management Fees of $2.5 million were waived pursuant to the Pre-IPO Waiver. Any waived Management Fees are not subject to recoupment by the Adviser.</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780" w:hanging="515"/>
        <w:spacing w:after="0" w:line="271" w:lineRule="auto"/>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Through March 31, 2014, the quarter in which we completed our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was the rate at which catch-up was achieved. Once the “hurdle rate” was reached and catch-up was achieved, 15% of any pre-Incentive Fee net investment income in excess of 1.76% in any quarter was payable to the Adviser.</w:t>
      </w:r>
    </w:p>
    <w:p>
      <w:pPr>
        <w:spacing w:after="0" w:line="70" w:lineRule="exact"/>
        <w:rPr>
          <w:rFonts w:ascii="Arial" w:cs="Arial" w:eastAsia="Arial" w:hAnsi="Arial"/>
          <w:sz w:val="17"/>
          <w:szCs w:val="17"/>
          <w:color w:val="auto"/>
        </w:rPr>
      </w:pPr>
    </w:p>
    <w:p>
      <w:pPr>
        <w:ind w:left="780" w:right="40"/>
        <w:spacing w:after="0" w:line="271" w:lineRule="auto"/>
        <w:rPr>
          <w:rFonts w:ascii="Arial" w:cs="Arial" w:eastAsia="Arial" w:hAnsi="Arial"/>
          <w:sz w:val="17"/>
          <w:szCs w:val="17"/>
          <w:color w:val="auto"/>
        </w:rPr>
      </w:pPr>
      <w:r>
        <w:rPr>
          <w:rFonts w:ascii="Arial" w:cs="Arial" w:eastAsia="Arial" w:hAnsi="Arial"/>
          <w:sz w:val="17"/>
          <w:szCs w:val="17"/>
          <w:color w:val="auto"/>
        </w:rPr>
        <w:t>Beginning April 1, 2014, the first quarter after our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0" w:lineRule="exact"/>
        <w:rPr>
          <w:rFonts w:ascii="Arial" w:cs="Arial" w:eastAsia="Arial" w:hAnsi="Arial"/>
          <w:sz w:val="17"/>
          <w:szCs w:val="17"/>
          <w:color w:val="auto"/>
        </w:rPr>
      </w:pPr>
    </w:p>
    <w:p>
      <w:pPr>
        <w:ind w:left="780" w:right="100"/>
        <w:spacing w:after="0" w:line="293" w:lineRule="auto"/>
        <w:rPr>
          <w:rFonts w:ascii="Arial" w:cs="Arial" w:eastAsia="Arial" w:hAnsi="Arial"/>
          <w:sz w:val="17"/>
          <w:szCs w:val="17"/>
          <w:color w:val="auto"/>
        </w:rPr>
      </w:pPr>
      <w:r>
        <w:rPr>
          <w:rFonts w:ascii="Arial" w:cs="Arial" w:eastAsia="Arial" w:hAnsi="Arial"/>
          <w:sz w:val="16"/>
          <w:szCs w:val="16"/>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56" w:lineRule="exact"/>
        <w:rPr>
          <w:rFonts w:ascii="Arial" w:cs="Arial" w:eastAsia="Arial" w:hAnsi="Arial"/>
          <w:sz w:val="17"/>
          <w:szCs w:val="17"/>
          <w:color w:val="auto"/>
        </w:rPr>
      </w:pPr>
    </w:p>
    <w:p>
      <w:pPr>
        <w:ind w:left="780" w:hanging="515"/>
        <w:spacing w:after="0" w:line="270" w:lineRule="auto"/>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ind w:right="40" w:firstLine="259"/>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16" w:lineRule="exact"/>
        <w:rPr>
          <w:sz w:val="20"/>
          <w:szCs w:val="20"/>
          <w:color w:val="auto"/>
        </w:rPr>
      </w:pPr>
    </w:p>
    <w:p>
      <w:pPr>
        <w:ind w:left="520" w:hanging="255"/>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117" w:lineRule="exact"/>
        <w:rPr>
          <w:rFonts w:ascii="Arial" w:cs="Arial" w:eastAsia="Arial" w:hAnsi="Arial"/>
          <w:sz w:val="18"/>
          <w:szCs w:val="18"/>
          <w:color w:val="auto"/>
        </w:rPr>
      </w:pPr>
    </w:p>
    <w:p>
      <w:pPr>
        <w:ind w:left="520" w:right="360" w:hanging="255"/>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62" w:lineRule="exact"/>
        <w:rPr>
          <w:rFonts w:ascii="Arial" w:cs="Arial" w:eastAsia="Arial" w:hAnsi="Arial"/>
          <w:sz w:val="18"/>
          <w:szCs w:val="18"/>
          <w:color w:val="auto"/>
        </w:rPr>
      </w:pPr>
    </w:p>
    <w:p>
      <w:pPr>
        <w:ind w:left="520" w:right="280" w:hanging="255"/>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70" w:lineRule="exact"/>
        <w:rPr>
          <w:sz w:val="20"/>
          <w:szCs w:val="20"/>
          <w:color w:val="auto"/>
        </w:rPr>
      </w:pPr>
    </w:p>
    <w:p>
      <w:pPr>
        <w:ind w:right="60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right="20" w:firstLine="259"/>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years ended December 31, 2016 and 2015, Incentive Fees were $22.7 million and $20.2 million, respectively, comprised of fees related to pre-incentive fee net investment income. For the years ended December 31, 2016 and 2015, no incentive fees were accrued related to capital gains.</w:t>
      </w:r>
    </w:p>
    <w:p>
      <w:pPr>
        <w:spacing w:after="0" w:line="154"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Capital Gains Fee attributable to our ownership of the TICC Shares and, accordingly, any realized capital gains or losses and unrealized capital depreciation with respect to the TICC Shares will be applied against our cumulative realized capital gains on which the Capital Gains Fee is calculated.</w:t>
      </w:r>
    </w:p>
    <w:p>
      <w:pPr>
        <w:spacing w:after="0" w:line="171" w:lineRule="exact"/>
        <w:rPr>
          <w:sz w:val="20"/>
          <w:szCs w:val="20"/>
          <w:color w:val="auto"/>
        </w:rPr>
      </w:pPr>
    </w:p>
    <w:p>
      <w:pPr>
        <w:ind w:right="660" w:firstLine="259"/>
        <w:spacing w:after="0" w:line="342" w:lineRule="auto"/>
        <w:rPr>
          <w:sz w:val="20"/>
          <w:szCs w:val="20"/>
          <w:color w:val="auto"/>
        </w:rPr>
      </w:pPr>
      <w:r>
        <w:rPr>
          <w:rFonts w:ascii="Arial" w:cs="Arial" w:eastAsia="Arial" w:hAnsi="Arial"/>
          <w:sz w:val="16"/>
          <w:szCs w:val="16"/>
          <w:color w:val="auto"/>
        </w:rPr>
        <w:t>For the years ended December 31, 2016 and 2015, Incentive Fees of $0.3 million and $0.2 million were waived, respectively, consisting solely of Incentive Fees attributable to our ownership of the TICC Shares. Any waived Incentive Fees are not subject to recoupment by the Adviser.</w:t>
      </w:r>
    </w:p>
    <w:p>
      <w:pPr>
        <w:spacing w:after="0" w:line="124"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Following the IPO, with the exception of its waiver of Management Fees and certain Incentive Fees attributable to our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our ownership of the TICC Shares, as the Adviser can discontinue the voluntary waiver at any time. Accordingly, we may be required to continue to pay the full amount of the Management Fee and Incentive Fee, including with respect to the TICC Shares, in future periods.</w:t>
      </w:r>
    </w:p>
    <w:p>
      <w:pPr>
        <w:spacing w:after="0" w:line="188" w:lineRule="exact"/>
        <w:rPr>
          <w:sz w:val="20"/>
          <w:szCs w:val="20"/>
          <w:color w:val="auto"/>
        </w:rPr>
      </w:pPr>
    </w:p>
    <w:p>
      <w:pPr>
        <w:ind w:right="340" w:firstLine="259"/>
        <w:spacing w:after="0" w:line="312" w:lineRule="auto"/>
        <w:rPr>
          <w:sz w:val="20"/>
          <w:szCs w:val="20"/>
          <w:color w:val="auto"/>
        </w:rPr>
      </w:pPr>
      <w:r>
        <w:rPr>
          <w:rFonts w:ascii="Arial" w:cs="Arial" w:eastAsia="Arial" w:hAnsi="Arial"/>
          <w:sz w:val="16"/>
          <w:szCs w:val="16"/>
          <w:color w:val="auto"/>
        </w:rPr>
        <w:t>In November 2016, the Board renewed the Investment Advisory Agreement. Unless earlier terminated as described below, the Investment Advisory Agreement will remain in effect until November 2017,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ind w:right="400" w:firstLine="259"/>
        <w:spacing w:after="0" w:line="259"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Since the completion of our IPO, the base against which the hurdle rate is calculated is determined as described above in this section.</w:t>
      </w:r>
    </w:p>
    <w:p>
      <w:pPr>
        <w:spacing w:after="0" w:line="187"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On March 15, 2011, we entered into the Administration Agreement with our Adviser. The Administration Agreement was subsequently amended on February 22, 2017 to make certain clarifications to the agreement, including with respect to the scope of the costs and expenses of the Administrator’s services.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w:t>
      </w:r>
      <w:r>
        <w:rPr>
          <w:rFonts w:ascii="Arial" w:cs="Arial" w:eastAsia="Arial" w:hAnsi="Arial"/>
          <w:sz w:val="17"/>
          <w:szCs w:val="17"/>
          <w:i w:val="1"/>
          <w:iCs w:val="1"/>
          <w:color w:val="auto"/>
        </w:rPr>
        <w:t>Payment of Our Expenses</w:t>
      </w:r>
      <w:r>
        <w:rPr>
          <w:rFonts w:ascii="Arial" w:cs="Arial" w:eastAsia="Arial" w:hAnsi="Arial"/>
          <w:sz w:val="17"/>
          <w:szCs w:val="17"/>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years ended December 31, 2016 and 2015, we incurred expenses of $3.1 million and $3.6 million, respectively, for administrative services payable under the terms of the Administration Agreement.</w:t>
      </w:r>
    </w:p>
    <w:p>
      <w:pPr>
        <w:spacing w:after="0" w:line="182"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jc w:val="both"/>
        <w:ind w:right="100" w:firstLine="259"/>
        <w:spacing w:after="0" w:line="264" w:lineRule="auto"/>
        <w:rPr>
          <w:sz w:val="20"/>
          <w:szCs w:val="20"/>
          <w:color w:val="auto"/>
        </w:rPr>
      </w:pPr>
      <w:r>
        <w:rPr>
          <w:rFonts w:ascii="Arial" w:cs="Arial" w:eastAsia="Arial" w:hAnsi="Arial"/>
          <w:sz w:val="18"/>
          <w:szCs w:val="18"/>
          <w:color w:val="auto"/>
        </w:rPr>
        <w:t>In February 2017, the Board approved an amendment to the Administration Agreement. Unless earlier terminated as described below, the Administration Agreement will remain in effect until February 2018,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88"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80" w:lineRule="exact"/>
        <w:rPr>
          <w:sz w:val="20"/>
          <w:szCs w:val="20"/>
          <w:color w:val="auto"/>
        </w:rPr>
      </w:pPr>
    </w:p>
    <w:p>
      <w:pPr>
        <w:ind w:right="300" w:firstLine="259"/>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32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152400</wp:posOffset>
            </wp:positionV>
            <wp:extent cx="4562475" cy="883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6247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940" w:hanging="156"/>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260" w:right="390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940" w:hanging="156"/>
        <w:spacing w:after="0"/>
        <w:tabs>
          <w:tab w:leader="none" w:pos="9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0.513%</w:t>
      </w:r>
    </w:p>
    <w:p>
      <w:pPr>
        <w:spacing w:after="0" w:line="210"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3"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1.5% annualized management fee. For the purposes of these examples the management fee is assumed to be based on net assets, rather than gross assets.</w:t>
      </w: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520" w:hanging="512"/>
        <w:spacing w:after="0" w:line="281"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1.5% in any calendar quarter and is not applied once the Adviser has received</w:t>
      </w:r>
    </w:p>
    <w:p>
      <w:pPr>
        <w:spacing w:after="0" w:line="1" w:lineRule="exact"/>
        <w:rPr>
          <w:rFonts w:ascii="Arial" w:cs="Arial" w:eastAsia="Arial" w:hAnsi="Arial"/>
          <w:sz w:val="16"/>
          <w:szCs w:val="16"/>
          <w:color w:val="auto"/>
        </w:rPr>
      </w:pPr>
    </w:p>
    <w:p>
      <w:pPr>
        <w:ind w:left="520" w:right="60"/>
        <w:spacing w:after="0" w:line="265" w:lineRule="auto"/>
        <w:rPr>
          <w:rFonts w:ascii="Arial" w:cs="Arial" w:eastAsia="Arial" w:hAnsi="Arial"/>
          <w:sz w:val="16"/>
          <w:szCs w:val="16"/>
          <w:color w:val="auto"/>
        </w:rPr>
      </w:pPr>
      <w:r>
        <w:rPr>
          <w:rFonts w:ascii="Arial" w:cs="Arial" w:eastAsia="Arial" w:hAnsi="Arial"/>
          <w:sz w:val="17"/>
          <w:szCs w:val="17"/>
          <w:color w:val="auto"/>
        </w:rPr>
        <w:t>17.5% of investment income in a quarter. The “catch-up” portion of our pre-Incentive Fee Net Investment Income is the portion that exceeds the 1.5% hurdle rate but is less than or equal to approximately 1.82% (that is, 1.5% divided by (1 – 0.175)) in any fiscal quarter.</w:t>
      </w: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520" w:right="40" w:hanging="255"/>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73" w:lineRule="exact"/>
        <w:rPr>
          <w:rFonts w:ascii="Arial" w:cs="Arial" w:eastAsia="Arial" w:hAnsi="Arial"/>
          <w:sz w:val="18"/>
          <w:szCs w:val="18"/>
          <w:color w:val="auto"/>
        </w:rPr>
      </w:pPr>
    </w:p>
    <w:p>
      <w:pPr>
        <w:ind w:left="520" w:right="40" w:hanging="255"/>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ind w:left="520" w:right="560" w:hanging="255"/>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38" w:lineRule="exact"/>
        <w:rPr>
          <w:rFonts w:ascii="Arial" w:cs="Arial" w:eastAsia="Arial" w:hAnsi="Arial"/>
          <w:sz w:val="17"/>
          <w:szCs w:val="17"/>
          <w:color w:val="auto"/>
        </w:rPr>
      </w:pPr>
    </w:p>
    <w:p>
      <w:pPr>
        <w:ind w:left="520" w:right="100" w:hanging="255"/>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62" w:lineRule="exact"/>
        <w:rPr>
          <w:rFonts w:ascii="Arial" w:cs="Arial" w:eastAsia="Arial" w:hAnsi="Arial"/>
          <w:sz w:val="18"/>
          <w:szCs w:val="18"/>
          <w:color w:val="auto"/>
        </w:rPr>
      </w:pPr>
    </w:p>
    <w:p>
      <w:pPr>
        <w:ind w:left="520" w:right="280" w:hanging="255"/>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Year 6: Investment B sold for $16 million, FMV of Investment E determined to be $8 million and FMV of Investment F determined to be $15 million.</w:t>
      </w:r>
    </w:p>
    <w:p>
      <w:pPr>
        <w:spacing w:after="0" w:line="140" w:lineRule="exact"/>
        <w:rPr>
          <w:rFonts w:ascii="Arial" w:cs="Arial" w:eastAsia="Arial" w:hAnsi="Arial"/>
          <w:sz w:val="16"/>
          <w:szCs w:val="16"/>
          <w:color w:val="auto"/>
        </w:rPr>
      </w:pPr>
    </w:p>
    <w:p>
      <w:pPr>
        <w:ind w:left="520" w:hanging="255"/>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0" w:lineRule="exact"/>
        <w:rPr>
          <w:sz w:val="20"/>
          <w:szCs w:val="20"/>
          <w:color w:val="auto"/>
        </w:rPr>
      </w:pPr>
    </w:p>
    <w:tbl>
      <w:tblPr>
        <w:tblLayout w:type="fixed"/>
        <w:tblInd w:w="204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Cumulative</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Cumulative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r>
      <w:tr>
        <w:trPr>
          <w:trHeight w:val="162"/>
        </w:trPr>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Realized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Realized</w:t>
            </w:r>
          </w:p>
        </w:tc>
      </w:tr>
      <w:tr>
        <w:trPr>
          <w:trHeight w:val="162"/>
        </w:trPr>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r>
      <w:tr>
        <w:trPr>
          <w:trHeight w:val="17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B</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Year 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Year 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8"/>
                <w:szCs w:val="18"/>
                <w:color w:val="auto"/>
              </w:rPr>
              <w:t>$10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$10 million</w:t>
            </w:r>
          </w:p>
        </w:tc>
        <w:tc>
          <w:tcPr>
            <w:tcW w:w="1040" w:type="dxa"/>
            <w:vAlign w:val="bottom"/>
          </w:tcPr>
          <w:p>
            <w:pPr>
              <w:ind w:left="100"/>
              <w:spacing w:after="0"/>
              <w:rPr>
                <w:sz w:val="20"/>
                <w:szCs w:val="20"/>
                <w:color w:val="auto"/>
              </w:rPr>
            </w:pPr>
            <w:r>
              <w:rPr>
                <w:rFonts w:ascii="Arial" w:cs="Arial" w:eastAsia="Arial" w:hAnsi="Arial"/>
                <w:sz w:val="18"/>
                <w:szCs w:val="18"/>
                <w:color w:val="auto"/>
              </w:rPr>
              <w:t>$10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$10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$10 million</w:t>
            </w:r>
          </w:p>
        </w:tc>
        <w:tc>
          <w:tcPr>
            <w:tcW w:w="740" w:type="dxa"/>
            <w:vAlign w:val="bottom"/>
          </w:tcPr>
          <w:p>
            <w:pPr>
              <w:ind w:left="120"/>
              <w:spacing w:after="0"/>
              <w:rPr>
                <w:sz w:val="20"/>
                <w:szCs w:val="20"/>
                <w:color w:val="auto"/>
              </w:rPr>
            </w:pPr>
            <w:r>
              <w:rPr>
                <w:rFonts w:ascii="Arial" w:cs="Arial" w:eastAsia="Arial" w:hAnsi="Arial"/>
                <w:sz w:val="18"/>
                <w:szCs w:val="18"/>
                <w:color w:val="auto"/>
              </w:rPr>
              <w:t>—</w:t>
            </w:r>
          </w:p>
        </w:tc>
        <w:tc>
          <w:tcPr>
            <w:tcW w:w="1360" w:type="dxa"/>
            <w:vAlign w:val="bottom"/>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rPr>
              <w:t>—</w:t>
            </w:r>
          </w:p>
        </w:tc>
        <w:tc>
          <w:tcPr>
            <w:tcW w:w="128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w w:val="99"/>
              </w:rPr>
              <w:t>(cost basis)</w:t>
            </w:r>
          </w:p>
        </w:tc>
        <w:tc>
          <w:tcPr>
            <w:tcW w:w="1060" w:type="dxa"/>
            <w:vAlign w:val="bottom"/>
          </w:tcPr>
          <w:p>
            <w:pPr>
              <w:ind w:left="100"/>
              <w:spacing w:after="0"/>
              <w:rPr>
                <w:sz w:val="20"/>
                <w:szCs w:val="20"/>
                <w:color w:val="auto"/>
              </w:rPr>
            </w:pPr>
            <w:r>
              <w:rPr>
                <w:rFonts w:ascii="Arial" w:cs="Arial" w:eastAsia="Arial" w:hAnsi="Arial"/>
                <w:sz w:val="18"/>
                <w:szCs w:val="18"/>
                <w:color w:val="auto"/>
              </w:rPr>
              <w:t>(cost basis)</w:t>
            </w:r>
          </w:p>
        </w:tc>
        <w:tc>
          <w:tcPr>
            <w:tcW w:w="1040" w:type="dxa"/>
            <w:vAlign w:val="bottom"/>
          </w:tcPr>
          <w:p>
            <w:pPr>
              <w:ind w:left="100"/>
              <w:spacing w:after="0"/>
              <w:rPr>
                <w:sz w:val="20"/>
                <w:szCs w:val="20"/>
                <w:color w:val="auto"/>
              </w:rPr>
            </w:pPr>
            <w:r>
              <w:rPr>
                <w:rFonts w:ascii="Arial" w:cs="Arial" w:eastAsia="Arial" w:hAnsi="Arial"/>
                <w:sz w:val="18"/>
                <w:szCs w:val="18"/>
                <w:color w:val="auto"/>
                <w:w w:val="99"/>
              </w:rPr>
              <w:t>(cost basis)</w:t>
            </w:r>
          </w:p>
        </w:tc>
        <w:tc>
          <w:tcPr>
            <w:tcW w:w="1060" w:type="dxa"/>
            <w:vAlign w:val="bottom"/>
          </w:tcPr>
          <w:p>
            <w:pPr>
              <w:ind w:left="120"/>
              <w:spacing w:after="0"/>
              <w:rPr>
                <w:sz w:val="20"/>
                <w:szCs w:val="20"/>
                <w:color w:val="auto"/>
              </w:rPr>
            </w:pPr>
            <w:r>
              <w:rPr>
                <w:rFonts w:ascii="Arial" w:cs="Arial" w:eastAsia="Arial" w:hAnsi="Arial"/>
                <w:sz w:val="18"/>
                <w:szCs w:val="18"/>
                <w:color w:val="auto"/>
                <w:w w:val="99"/>
              </w:rPr>
              <w:t>(cost basis)</w:t>
            </w:r>
          </w:p>
        </w:tc>
        <w:tc>
          <w:tcPr>
            <w:tcW w:w="1060" w:type="dxa"/>
            <w:vAlign w:val="bottom"/>
          </w:tcPr>
          <w:p>
            <w:pPr>
              <w:ind w:left="100"/>
              <w:spacing w:after="0"/>
              <w:rPr>
                <w:sz w:val="20"/>
                <w:szCs w:val="20"/>
                <w:color w:val="auto"/>
              </w:rPr>
            </w:pPr>
            <w:r>
              <w:rPr>
                <w:rFonts w:ascii="Arial" w:cs="Arial" w:eastAsia="Arial" w:hAnsi="Arial"/>
                <w:sz w:val="18"/>
                <w:szCs w:val="18"/>
                <w:color w:val="auto"/>
              </w:rPr>
              <w:t>(cost basis)</w:t>
            </w: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$20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$8 million</w:t>
            </w:r>
          </w:p>
        </w:tc>
        <w:tc>
          <w:tcPr>
            <w:tcW w:w="1040" w:type="dxa"/>
            <w:vAlign w:val="bottom"/>
          </w:tcPr>
          <w:p>
            <w:pPr>
              <w:ind w:left="100"/>
              <w:spacing w:after="0"/>
              <w:rPr>
                <w:sz w:val="20"/>
                <w:szCs w:val="20"/>
                <w:color w:val="auto"/>
              </w:rPr>
            </w:pPr>
            <w:r>
              <w:rPr>
                <w:rFonts w:ascii="Arial" w:cs="Arial" w:eastAsia="Arial" w:hAnsi="Arial"/>
                <w:sz w:val="18"/>
                <w:szCs w:val="18"/>
                <w:color w:val="auto"/>
              </w:rPr>
              <w:t>$12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$10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$10 million</w:t>
            </w:r>
          </w:p>
        </w:tc>
        <w:tc>
          <w:tcPr>
            <w:tcW w:w="740" w:type="dxa"/>
            <w:vAlign w:val="bottom"/>
          </w:tcPr>
          <w:p>
            <w:pPr>
              <w:ind w:left="120"/>
              <w:spacing w:after="0"/>
              <w:rPr>
                <w:sz w:val="20"/>
                <w:szCs w:val="20"/>
                <w:color w:val="auto"/>
              </w:rPr>
            </w:pPr>
            <w:r>
              <w:rPr>
                <w:rFonts w:ascii="Arial" w:cs="Arial" w:eastAsia="Arial" w:hAnsi="Arial"/>
                <w:sz w:val="18"/>
                <w:szCs w:val="18"/>
                <w:color w:val="auto"/>
              </w:rPr>
              <w:t>—</w:t>
            </w:r>
          </w:p>
        </w:tc>
        <w:tc>
          <w:tcPr>
            <w:tcW w:w="1360" w:type="dxa"/>
            <w:vAlign w:val="bottom"/>
          </w:tcPr>
          <w:p>
            <w:pPr>
              <w:ind w:left="440"/>
              <w:spacing w:after="0"/>
              <w:rPr>
                <w:sz w:val="20"/>
                <w:szCs w:val="20"/>
                <w:color w:val="auto"/>
              </w:rPr>
            </w:pPr>
            <w:r>
              <w:rPr>
                <w:rFonts w:ascii="Arial" w:cs="Arial" w:eastAsia="Arial" w:hAnsi="Arial"/>
                <w:sz w:val="18"/>
                <w:szCs w:val="18"/>
                <w:color w:val="auto"/>
              </w:rPr>
              <w:t>$2 million</w:t>
            </w:r>
          </w:p>
        </w:tc>
        <w:tc>
          <w:tcPr>
            <w:tcW w:w="800" w:type="dxa"/>
            <w:vAlign w:val="bottom"/>
          </w:tcPr>
          <w:p>
            <w:pPr>
              <w:ind w:left="160"/>
              <w:spacing w:after="0"/>
              <w:rPr>
                <w:sz w:val="20"/>
                <w:szCs w:val="20"/>
                <w:color w:val="auto"/>
              </w:rPr>
            </w:pPr>
            <w:r>
              <w:rPr>
                <w:rFonts w:ascii="Arial" w:cs="Arial" w:eastAsia="Arial" w:hAnsi="Arial"/>
                <w:sz w:val="18"/>
                <w:szCs w:val="18"/>
                <w:color w:val="auto"/>
              </w:rPr>
              <w:t>—</w:t>
            </w:r>
          </w:p>
        </w:tc>
        <w:tc>
          <w:tcPr>
            <w:tcW w:w="1280" w:type="dxa"/>
            <w:vAlign w:val="bottom"/>
          </w:tcPr>
          <w:p>
            <w:pPr>
              <w:ind w:left="440"/>
              <w:spacing w:after="0"/>
              <w:rPr>
                <w:sz w:val="20"/>
                <w:szCs w:val="20"/>
                <w:color w:val="auto"/>
              </w:rPr>
            </w:pPr>
            <w:r>
              <w:rPr>
                <w:rFonts w:ascii="Arial" w:cs="Arial" w:eastAsia="Arial" w:hAnsi="Arial"/>
                <w:sz w:val="18"/>
                <w:szCs w:val="18"/>
                <w:color w:val="auto"/>
                <w:w w:val="95"/>
              </w:rPr>
              <w:t>$10 million</w:t>
            </w:r>
          </w:p>
        </w:tc>
      </w:tr>
      <w:tr>
        <w:trPr>
          <w:trHeight w:val="228"/>
        </w:trPr>
        <w:tc>
          <w:tcPr>
            <w:tcW w:w="940" w:type="dxa"/>
            <w:vAlign w:val="bottom"/>
          </w:tcPr>
          <w:p>
            <w:pPr>
              <w:spacing w:after="0"/>
              <w:rPr>
                <w:sz w:val="20"/>
                <w:szCs w:val="20"/>
                <w:color w:val="auto"/>
              </w:rPr>
            </w:pPr>
            <w:r>
              <w:rPr>
                <w:rFonts w:ascii="Arial" w:cs="Arial" w:eastAsia="Arial" w:hAnsi="Arial"/>
                <w:sz w:val="18"/>
                <w:szCs w:val="18"/>
                <w:color w:val="auto"/>
              </w:rPr>
              <w:t>(sale price)</w:t>
            </w:r>
          </w:p>
        </w:tc>
        <w:tc>
          <w:tcPr>
            <w:tcW w:w="1060" w:type="dxa"/>
            <w:vAlign w:val="bottom"/>
          </w:tcPr>
          <w:p>
            <w:pPr>
              <w:ind w:left="100"/>
              <w:spacing w:after="0"/>
              <w:rPr>
                <w:sz w:val="20"/>
                <w:szCs w:val="20"/>
                <w:color w:val="auto"/>
              </w:rPr>
            </w:pPr>
            <w:r>
              <w:rPr>
                <w:rFonts w:ascii="Arial" w:cs="Arial" w:eastAsia="Arial" w:hAnsi="Arial"/>
                <w:sz w:val="18"/>
                <w:szCs w:val="18"/>
                <w:color w:val="auto"/>
              </w:rPr>
              <w:t>FMV</w:t>
            </w:r>
          </w:p>
        </w:tc>
        <w:tc>
          <w:tcPr>
            <w:tcW w:w="1040" w:type="dxa"/>
            <w:vAlign w:val="bottom"/>
          </w:tcPr>
          <w:p>
            <w:pPr>
              <w:ind w:left="100"/>
              <w:spacing w:after="0"/>
              <w:rPr>
                <w:sz w:val="20"/>
                <w:szCs w:val="20"/>
                <w:color w:val="auto"/>
              </w:rPr>
            </w:pPr>
            <w:r>
              <w:rPr>
                <w:rFonts w:ascii="Arial" w:cs="Arial" w:eastAsia="Arial" w:hAnsi="Arial"/>
                <w:sz w:val="18"/>
                <w:szCs w:val="18"/>
                <w:color w:val="auto"/>
              </w:rPr>
              <w:t>FMV</w:t>
            </w:r>
          </w:p>
        </w:tc>
        <w:tc>
          <w:tcPr>
            <w:tcW w:w="1060" w:type="dxa"/>
            <w:vAlign w:val="bottom"/>
          </w:tcPr>
          <w:p>
            <w:pPr>
              <w:ind w:left="120"/>
              <w:spacing w:after="0"/>
              <w:rPr>
                <w:sz w:val="20"/>
                <w:szCs w:val="20"/>
                <w:color w:val="auto"/>
              </w:rPr>
            </w:pPr>
            <w:r>
              <w:rPr>
                <w:rFonts w:ascii="Arial" w:cs="Arial" w:eastAsia="Arial" w:hAnsi="Arial"/>
                <w:sz w:val="18"/>
                <w:szCs w:val="18"/>
                <w:color w:val="auto"/>
              </w:rPr>
              <w:t>FMV</w:t>
            </w:r>
          </w:p>
        </w:tc>
        <w:tc>
          <w:tcPr>
            <w:tcW w:w="1060" w:type="dxa"/>
            <w:vAlign w:val="bottom"/>
          </w:tcPr>
          <w:p>
            <w:pPr>
              <w:ind w:left="100"/>
              <w:spacing w:after="0"/>
              <w:rPr>
                <w:sz w:val="20"/>
                <w:szCs w:val="20"/>
                <w:color w:val="auto"/>
              </w:rPr>
            </w:pPr>
            <w:r>
              <w:rPr>
                <w:rFonts w:ascii="Arial" w:cs="Arial" w:eastAsia="Arial" w:hAnsi="Arial"/>
                <w:sz w:val="18"/>
                <w:szCs w:val="18"/>
                <w:color w:val="auto"/>
              </w:rPr>
              <w:t>FMV</w:t>
            </w: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10" w:lineRule="exact"/>
        <w:rPr>
          <w:sz w:val="20"/>
          <w:szCs w:val="20"/>
          <w:color w:val="auto"/>
        </w:rPr>
      </w:pPr>
    </w:p>
    <w:p>
      <w:pPr>
        <w:sectPr>
          <w:pgSz w:w="11900" w:h="16838" w:orient="portrait"/>
          <w:cols w:equalWidth="0" w:num="2">
            <w:col w:w="1320" w:space="720"/>
            <w:col w:w="9400"/>
          </w:cols>
          <w:pgMar w:left="240" w:top="449"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80" w:type="dxa"/>
            <w:vAlign w:val="bottom"/>
            <w:shd w:val="clear" w:color="auto" w:fill="CFF0FC"/>
          </w:tcPr>
          <w:p>
            <w:pPr>
              <w:spacing w:after="0"/>
              <w:rPr>
                <w:sz w:val="17"/>
                <w:szCs w:val="17"/>
                <w:color w:val="auto"/>
              </w:rPr>
            </w:pPr>
          </w:p>
        </w:tc>
        <w:tc>
          <w:tcPr>
            <w:tcW w:w="11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$8 million</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$14 million</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$14 million</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$16 million</w:t>
            </w:r>
          </w:p>
        </w:tc>
        <w:tc>
          <w:tcPr>
            <w:tcW w:w="1060" w:type="dxa"/>
            <w:vAlign w:val="bottom"/>
            <w:shd w:val="clear" w:color="auto" w:fill="CFF0FC"/>
          </w:tcPr>
          <w:p>
            <w:pPr>
              <w:spacing w:after="0"/>
              <w:rPr>
                <w:sz w:val="17"/>
                <w:szCs w:val="17"/>
                <w:color w:val="auto"/>
              </w:rPr>
            </w:pPr>
          </w:p>
        </w:tc>
        <w:tc>
          <w:tcPr>
            <w:tcW w:w="1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 million</w:t>
            </w:r>
          </w:p>
        </w:tc>
        <w:tc>
          <w:tcPr>
            <w:tcW w:w="1100" w:type="dxa"/>
            <w:vAlign w:val="bottom"/>
            <w:shd w:val="clear" w:color="auto" w:fill="CFF0FC"/>
          </w:tcPr>
          <w:p>
            <w:pPr>
              <w:spacing w:after="0"/>
              <w:rPr>
                <w:sz w:val="17"/>
                <w:szCs w:val="17"/>
                <w:color w:val="auto"/>
              </w:rPr>
            </w:pPr>
          </w:p>
        </w:tc>
        <w:tc>
          <w:tcPr>
            <w:tcW w:w="10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$10 million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Year 3 (IPO)</w:t>
            </w:r>
          </w:p>
        </w:tc>
        <w:tc>
          <w:tcPr>
            <w:tcW w:w="1180" w:type="dxa"/>
            <w:vAlign w:val="bottom"/>
            <w:shd w:val="clear" w:color="auto" w:fill="CFF0FC"/>
          </w:tcPr>
          <w:p>
            <w:pPr>
              <w:spacing w:after="0"/>
              <w:rPr>
                <w:sz w:val="18"/>
                <w:szCs w:val="18"/>
                <w:color w:val="auto"/>
              </w:rPr>
            </w:pP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FMV at</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FMV at</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FMV at</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FMV at</w:t>
            </w:r>
          </w:p>
        </w:tc>
        <w:tc>
          <w:tcPr>
            <w:tcW w:w="10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IPO</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IPO</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IPO</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IPO</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20"/>
                <w:szCs w:val="20"/>
                <w:color w:val="auto"/>
              </w:rPr>
            </w:pPr>
          </w:p>
        </w:tc>
        <w:tc>
          <w:tcPr>
            <w:tcW w:w="11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tcPr>
          <w:p>
            <w:pPr>
              <w:spacing w:after="0"/>
              <w:rPr>
                <w:sz w:val="20"/>
                <w:szCs w:val="20"/>
                <w:color w:val="auto"/>
              </w:rPr>
            </w:pPr>
            <w:r>
              <w:rPr>
                <w:rFonts w:ascii="Arial" w:cs="Arial" w:eastAsia="Arial" w:hAnsi="Arial"/>
                <w:sz w:val="18"/>
                <w:szCs w:val="18"/>
                <w:color w:val="auto"/>
              </w:rPr>
              <w:t>Year 4</w:t>
            </w:r>
          </w:p>
        </w:tc>
        <w:tc>
          <w:tcPr>
            <w:tcW w:w="1180" w:type="dxa"/>
            <w:vAlign w:val="bottom"/>
          </w:tcPr>
          <w:p>
            <w:pPr>
              <w:ind w:left="560"/>
              <w:spacing w:after="0"/>
              <w:rPr>
                <w:sz w:val="20"/>
                <w:szCs w:val="20"/>
                <w:color w:val="auto"/>
              </w:rPr>
            </w:pPr>
            <w:r>
              <w:rPr>
                <w:rFonts w:ascii="Arial" w:cs="Arial" w:eastAsia="Arial" w:hAnsi="Arial"/>
                <w:sz w:val="18"/>
                <w:szCs w:val="18"/>
                <w:color w:val="auto"/>
              </w:rPr>
              <w:t>—</w:t>
            </w:r>
          </w:p>
        </w:tc>
        <w:tc>
          <w:tcPr>
            <w:tcW w:w="1380" w:type="dxa"/>
            <w:vAlign w:val="bottom"/>
          </w:tcPr>
          <w:p>
            <w:pPr>
              <w:ind w:left="420"/>
              <w:spacing w:after="0"/>
              <w:rPr>
                <w:sz w:val="20"/>
                <w:szCs w:val="20"/>
                <w:color w:val="auto"/>
              </w:rPr>
            </w:pPr>
            <w:r>
              <w:rPr>
                <w:rFonts w:ascii="Arial" w:cs="Arial" w:eastAsia="Arial" w:hAnsi="Arial"/>
                <w:sz w:val="18"/>
                <w:szCs w:val="18"/>
                <w:color w:val="auto"/>
              </w:rPr>
              <w:t>$10 million</w:t>
            </w:r>
          </w:p>
        </w:tc>
        <w:tc>
          <w:tcPr>
            <w:tcW w:w="1040" w:type="dxa"/>
            <w:vAlign w:val="bottom"/>
          </w:tcPr>
          <w:p>
            <w:pPr>
              <w:ind w:left="100"/>
              <w:spacing w:after="0"/>
              <w:rPr>
                <w:sz w:val="20"/>
                <w:szCs w:val="20"/>
                <w:color w:val="auto"/>
              </w:rPr>
            </w:pPr>
            <w:r>
              <w:rPr>
                <w:rFonts w:ascii="Arial" w:cs="Arial" w:eastAsia="Arial" w:hAnsi="Arial"/>
                <w:sz w:val="18"/>
                <w:szCs w:val="18"/>
                <w:color w:val="auto"/>
              </w:rPr>
              <w:t>$16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$12 million</w:t>
            </w:r>
          </w:p>
        </w:tc>
        <w:tc>
          <w:tcPr>
            <w:tcW w:w="1060" w:type="dxa"/>
            <w:vAlign w:val="bottom"/>
          </w:tcPr>
          <w:p>
            <w:pPr>
              <w:ind w:left="100"/>
              <w:spacing w:after="0"/>
              <w:rPr>
                <w:sz w:val="20"/>
                <w:szCs w:val="20"/>
                <w:color w:val="auto"/>
              </w:rPr>
            </w:pPr>
            <w:r>
              <w:rPr>
                <w:rFonts w:ascii="Arial" w:cs="Arial" w:eastAsia="Arial" w:hAnsi="Arial"/>
                <w:sz w:val="18"/>
                <w:szCs w:val="18"/>
                <w:color w:val="auto"/>
              </w:rPr>
              <w:t>$14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$10 million</w:t>
            </w:r>
          </w:p>
        </w:tc>
        <w:tc>
          <w:tcPr>
            <w:tcW w:w="104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tcPr>
          <w:p>
            <w:pPr>
              <w:ind w:left="140"/>
              <w:spacing w:after="0"/>
              <w:rPr>
                <w:sz w:val="20"/>
                <w:szCs w:val="20"/>
                <w:color w:val="auto"/>
              </w:rPr>
            </w:pPr>
            <w:r>
              <w:rPr>
                <w:rFonts w:ascii="Arial" w:cs="Arial" w:eastAsia="Arial" w:hAnsi="Arial"/>
                <w:sz w:val="18"/>
                <w:szCs w:val="18"/>
                <w:color w:val="auto"/>
                <w:w w:val="99"/>
              </w:rPr>
              <w:t>$12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4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vMerge w:val="restart"/>
          </w:tcPr>
          <w:p>
            <w:pPr>
              <w:ind w:left="420"/>
              <w:spacing w:after="0"/>
              <w:rPr>
                <w:sz w:val="20"/>
                <w:szCs w:val="20"/>
                <w:color w:val="auto"/>
              </w:rPr>
            </w:pPr>
            <w:r>
              <w:rPr>
                <w:rFonts w:ascii="Arial" w:cs="Arial" w:eastAsia="Arial" w:hAnsi="Arial"/>
                <w:sz w:val="18"/>
                <w:szCs w:val="18"/>
                <w:color w:val="auto"/>
              </w:rPr>
              <w:t>FMV</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FMV</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(sale price)</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FMV</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w w:val="99"/>
              </w:rPr>
              <w:t>(cost basis)</w:t>
            </w: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Year 5</w:t>
            </w:r>
          </w:p>
        </w:tc>
        <w:tc>
          <w:tcPr>
            <w:tcW w:w="11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$14 million</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 million</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 million</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$12 million</w:t>
            </w:r>
          </w:p>
        </w:tc>
        <w:tc>
          <w:tcPr>
            <w:tcW w:w="1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$22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480" w:type="dxa"/>
            <w:vAlign w:val="bottom"/>
            <w:vMerge w:val="continue"/>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380" w:type="dxa"/>
            <w:vAlign w:val="bottom"/>
            <w:vMerge w:val="restart"/>
            <w:shd w:val="clear" w:color="auto" w:fill="CFF0FC"/>
          </w:tcPr>
          <w:p>
            <w:pPr>
              <w:ind w:left="420"/>
              <w:spacing w:after="0"/>
              <w:rPr>
                <w:sz w:val="20"/>
                <w:szCs w:val="20"/>
                <w:color w:val="auto"/>
              </w:rPr>
            </w:pPr>
            <w:r>
              <w:rPr>
                <w:rFonts w:ascii="Arial" w:cs="Arial" w:eastAsia="Arial" w:hAnsi="Arial"/>
                <w:sz w:val="18"/>
                <w:szCs w:val="18"/>
                <w:color w:val="auto"/>
              </w:rPr>
              <w:t>FMV</w:t>
            </w:r>
          </w:p>
        </w:tc>
        <w:tc>
          <w:tcPr>
            <w:tcW w:w="1040" w:type="dxa"/>
            <w:vAlign w:val="bottom"/>
            <w:vMerge w:val="restart"/>
            <w:shd w:val="clear" w:color="auto" w:fill="CFF0FC"/>
          </w:tcPr>
          <w:p>
            <w:pPr>
              <w:ind w:left="100"/>
              <w:spacing w:after="0"/>
              <w:rPr>
                <w:sz w:val="20"/>
                <w:szCs w:val="20"/>
                <w:color w:val="auto"/>
              </w:rPr>
            </w:pPr>
            <w:r>
              <w:rPr>
                <w:rFonts w:ascii="Arial" w:cs="Arial" w:eastAsia="Arial" w:hAnsi="Arial"/>
                <w:sz w:val="18"/>
                <w:szCs w:val="18"/>
                <w:color w:val="auto"/>
              </w:rPr>
              <w:t>(sale price)</w:t>
            </w:r>
          </w:p>
        </w:tc>
        <w:tc>
          <w:tcPr>
            <w:tcW w:w="106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ind w:left="100"/>
              <w:spacing w:after="0"/>
              <w:rPr>
                <w:sz w:val="20"/>
                <w:szCs w:val="20"/>
                <w:color w:val="auto"/>
              </w:rPr>
            </w:pPr>
            <w:r>
              <w:rPr>
                <w:rFonts w:ascii="Arial" w:cs="Arial" w:eastAsia="Arial" w:hAnsi="Arial"/>
                <w:sz w:val="18"/>
                <w:szCs w:val="18"/>
                <w:color w:val="auto"/>
              </w:rPr>
              <w:t>FMV</w:t>
            </w:r>
          </w:p>
        </w:tc>
        <w:tc>
          <w:tcPr>
            <w:tcW w:w="106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FMV</w:t>
            </w:r>
          </w:p>
        </w:tc>
        <w:tc>
          <w:tcPr>
            <w:tcW w:w="10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380" w:type="dxa"/>
            <w:vAlign w:val="bottom"/>
            <w:vMerge w:val="continue"/>
            <w:shd w:val="clear" w:color="auto" w:fill="CFF0FC"/>
          </w:tcPr>
          <w:p>
            <w:pPr>
              <w:spacing w:after="0"/>
              <w:rPr>
                <w:sz w:val="9"/>
                <w:szCs w:val="9"/>
                <w:color w:val="auto"/>
              </w:rPr>
            </w:pPr>
          </w:p>
        </w:tc>
        <w:tc>
          <w:tcPr>
            <w:tcW w:w="1040" w:type="dxa"/>
            <w:vAlign w:val="bottom"/>
            <w:vMerge w:val="continue"/>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tcPr>
          <w:p>
            <w:pPr>
              <w:spacing w:after="0"/>
              <w:rPr>
                <w:sz w:val="20"/>
                <w:szCs w:val="20"/>
                <w:color w:val="auto"/>
              </w:rPr>
            </w:pPr>
            <w:r>
              <w:rPr>
                <w:rFonts w:ascii="Arial" w:cs="Arial" w:eastAsia="Arial" w:hAnsi="Arial"/>
                <w:sz w:val="18"/>
                <w:szCs w:val="18"/>
                <w:color w:val="auto"/>
              </w:rPr>
              <w:t>Year 6</w:t>
            </w:r>
          </w:p>
        </w:tc>
        <w:tc>
          <w:tcPr>
            <w:tcW w:w="1180" w:type="dxa"/>
            <w:vAlign w:val="bottom"/>
          </w:tcPr>
          <w:p>
            <w:pPr>
              <w:ind w:left="560"/>
              <w:spacing w:after="0"/>
              <w:rPr>
                <w:sz w:val="20"/>
                <w:szCs w:val="20"/>
                <w:color w:val="auto"/>
              </w:rPr>
            </w:pPr>
            <w:r>
              <w:rPr>
                <w:rFonts w:ascii="Arial" w:cs="Arial" w:eastAsia="Arial" w:hAnsi="Arial"/>
                <w:sz w:val="18"/>
                <w:szCs w:val="18"/>
                <w:color w:val="auto"/>
              </w:rPr>
              <w:t>—</w:t>
            </w:r>
          </w:p>
        </w:tc>
        <w:tc>
          <w:tcPr>
            <w:tcW w:w="1380" w:type="dxa"/>
            <w:vAlign w:val="bottom"/>
          </w:tcPr>
          <w:p>
            <w:pPr>
              <w:ind w:left="420"/>
              <w:spacing w:after="0"/>
              <w:rPr>
                <w:sz w:val="20"/>
                <w:szCs w:val="20"/>
                <w:color w:val="auto"/>
              </w:rPr>
            </w:pPr>
            <w:r>
              <w:rPr>
                <w:rFonts w:ascii="Arial" w:cs="Arial" w:eastAsia="Arial" w:hAnsi="Arial"/>
                <w:sz w:val="18"/>
                <w:szCs w:val="18"/>
                <w:color w:val="auto"/>
              </w:rPr>
              <w:t>$16 million</w:t>
            </w:r>
          </w:p>
        </w:tc>
        <w:tc>
          <w:tcPr>
            <w:tcW w:w="104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ind w:left="100"/>
              <w:spacing w:after="0"/>
              <w:rPr>
                <w:sz w:val="20"/>
                <w:szCs w:val="20"/>
                <w:color w:val="auto"/>
              </w:rPr>
            </w:pPr>
            <w:r>
              <w:rPr>
                <w:rFonts w:ascii="Arial" w:cs="Arial" w:eastAsia="Arial" w:hAnsi="Arial"/>
                <w:sz w:val="18"/>
                <w:szCs w:val="18"/>
                <w:color w:val="auto"/>
              </w:rPr>
              <w:t>$8 million</w:t>
            </w:r>
          </w:p>
        </w:tc>
        <w:tc>
          <w:tcPr>
            <w:tcW w:w="1060" w:type="dxa"/>
            <w:vAlign w:val="bottom"/>
          </w:tcPr>
          <w:p>
            <w:pPr>
              <w:ind w:left="120"/>
              <w:spacing w:after="0"/>
              <w:rPr>
                <w:sz w:val="20"/>
                <w:szCs w:val="20"/>
                <w:color w:val="auto"/>
              </w:rPr>
            </w:pPr>
            <w:r>
              <w:rPr>
                <w:rFonts w:ascii="Arial" w:cs="Arial" w:eastAsia="Arial" w:hAnsi="Arial"/>
                <w:sz w:val="18"/>
                <w:szCs w:val="18"/>
                <w:color w:val="auto"/>
              </w:rPr>
              <w:t>$15 million</w:t>
            </w:r>
          </w:p>
        </w:tc>
        <w:tc>
          <w:tcPr>
            <w:tcW w:w="1040" w:type="dxa"/>
            <w:vAlign w:val="bottom"/>
          </w:tcPr>
          <w:p>
            <w:pPr>
              <w:ind w:left="120"/>
              <w:spacing w:after="0"/>
              <w:rPr>
                <w:sz w:val="20"/>
                <w:szCs w:val="20"/>
                <w:color w:val="auto"/>
              </w:rPr>
            </w:pPr>
            <w:r>
              <w:rPr>
                <w:rFonts w:ascii="Arial" w:cs="Arial" w:eastAsia="Arial" w:hAnsi="Arial"/>
                <w:sz w:val="18"/>
                <w:szCs w:val="18"/>
                <w:color w:val="auto"/>
              </w:rPr>
              <w:t>$2 million</w:t>
            </w:r>
          </w:p>
        </w:tc>
        <w:tc>
          <w:tcPr>
            <w:tcW w:w="110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tcPr>
          <w:p>
            <w:pPr>
              <w:ind w:left="140"/>
              <w:spacing w:after="0"/>
              <w:rPr>
                <w:sz w:val="20"/>
                <w:szCs w:val="20"/>
                <w:color w:val="auto"/>
              </w:rPr>
            </w:pPr>
            <w:r>
              <w:rPr>
                <w:rFonts w:ascii="Arial" w:cs="Arial" w:eastAsia="Arial" w:hAnsi="Arial"/>
                <w:sz w:val="18"/>
                <w:szCs w:val="18"/>
                <w:color w:val="auto"/>
                <w:w w:val="99"/>
              </w:rPr>
              <w:t>$28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4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vMerge w:val="restart"/>
          </w:tcPr>
          <w:p>
            <w:pPr>
              <w:ind w:left="420"/>
              <w:spacing w:after="0"/>
              <w:rPr>
                <w:sz w:val="20"/>
                <w:szCs w:val="20"/>
                <w:color w:val="auto"/>
              </w:rPr>
            </w:pPr>
            <w:r>
              <w:rPr>
                <w:rFonts w:ascii="Arial" w:cs="Arial" w:eastAsia="Arial" w:hAnsi="Arial"/>
                <w:sz w:val="18"/>
                <w:szCs w:val="18"/>
                <w:color w:val="auto"/>
              </w:rPr>
              <w:t>(sale price)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FMV</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FMV</w:t>
            </w: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Year 7</w:t>
            </w:r>
          </w:p>
        </w:tc>
        <w:tc>
          <w:tcPr>
            <w:tcW w:w="11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$8 million</w:t>
            </w:r>
          </w:p>
        </w:tc>
        <w:tc>
          <w:tcPr>
            <w:tcW w:w="1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$17 million</w:t>
            </w:r>
          </w:p>
        </w:tc>
        <w:tc>
          <w:tcPr>
            <w:tcW w:w="1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$2 million</w:t>
            </w:r>
          </w:p>
        </w:tc>
        <w:tc>
          <w:tcPr>
            <w:tcW w:w="10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$28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480" w:type="dxa"/>
            <w:vAlign w:val="bottom"/>
            <w:vMerge w:val="continue"/>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ind w:left="100"/>
              <w:spacing w:after="0"/>
              <w:rPr>
                <w:sz w:val="20"/>
                <w:szCs w:val="20"/>
                <w:color w:val="auto"/>
              </w:rPr>
            </w:pPr>
            <w:r>
              <w:rPr>
                <w:rFonts w:ascii="Arial" w:cs="Arial" w:eastAsia="Arial" w:hAnsi="Arial"/>
                <w:sz w:val="18"/>
                <w:szCs w:val="18"/>
                <w:color w:val="auto"/>
              </w:rPr>
              <w:t>(sale price)</w:t>
            </w:r>
          </w:p>
        </w:tc>
        <w:tc>
          <w:tcPr>
            <w:tcW w:w="106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FMV</w:t>
            </w:r>
          </w:p>
        </w:tc>
        <w:tc>
          <w:tcPr>
            <w:tcW w:w="10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80" w:type="dxa"/>
            <w:vAlign w:val="bottom"/>
            <w:vMerge w:val="restart"/>
          </w:tcPr>
          <w:p>
            <w:pPr>
              <w:spacing w:after="0"/>
              <w:rPr>
                <w:sz w:val="20"/>
                <w:szCs w:val="20"/>
                <w:color w:val="auto"/>
              </w:rPr>
            </w:pPr>
            <w:r>
              <w:rPr>
                <w:rFonts w:ascii="Arial" w:cs="Arial" w:eastAsia="Arial" w:hAnsi="Arial"/>
                <w:sz w:val="18"/>
                <w:szCs w:val="18"/>
                <w:color w:val="auto"/>
              </w:rPr>
              <w:t>Year 8</w:t>
            </w:r>
          </w:p>
        </w:tc>
        <w:tc>
          <w:tcPr>
            <w:tcW w:w="1180" w:type="dxa"/>
            <w:vAlign w:val="bottom"/>
          </w:tcPr>
          <w:p>
            <w:pPr>
              <w:ind w:left="560"/>
              <w:spacing w:after="0"/>
              <w:rPr>
                <w:sz w:val="20"/>
                <w:szCs w:val="20"/>
                <w:color w:val="auto"/>
              </w:rPr>
            </w:pPr>
            <w:r>
              <w:rPr>
                <w:rFonts w:ascii="Arial" w:cs="Arial" w:eastAsia="Arial" w:hAnsi="Arial"/>
                <w:sz w:val="18"/>
                <w:szCs w:val="18"/>
                <w:color w:val="auto"/>
              </w:rPr>
              <w:t>—</w:t>
            </w:r>
          </w:p>
        </w:tc>
        <w:tc>
          <w:tcPr>
            <w:tcW w:w="1380" w:type="dxa"/>
            <w:vAlign w:val="bottom"/>
          </w:tcPr>
          <w:p>
            <w:pPr>
              <w:ind w:left="420"/>
              <w:spacing w:after="0"/>
              <w:rPr>
                <w:sz w:val="20"/>
                <w:szCs w:val="20"/>
                <w:color w:val="auto"/>
              </w:rPr>
            </w:pPr>
            <w:r>
              <w:rPr>
                <w:rFonts w:ascii="Arial" w:cs="Arial" w:eastAsia="Arial" w:hAnsi="Arial"/>
                <w:sz w:val="18"/>
                <w:szCs w:val="18"/>
                <w:color w:val="auto"/>
              </w:rPr>
              <w:t>—</w:t>
            </w:r>
          </w:p>
        </w:tc>
        <w:tc>
          <w:tcPr>
            <w:tcW w:w="104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ind w:left="120"/>
              <w:spacing w:after="0"/>
              <w:rPr>
                <w:sz w:val="20"/>
                <w:szCs w:val="20"/>
                <w:color w:val="auto"/>
              </w:rPr>
            </w:pPr>
            <w:r>
              <w:rPr>
                <w:rFonts w:ascii="Arial" w:cs="Arial" w:eastAsia="Arial" w:hAnsi="Arial"/>
                <w:sz w:val="18"/>
                <w:szCs w:val="18"/>
                <w:color w:val="auto"/>
              </w:rPr>
              <w:t>$18 million</w:t>
            </w:r>
          </w:p>
        </w:tc>
        <w:tc>
          <w:tcPr>
            <w:tcW w:w="1040" w:type="dxa"/>
            <w:vAlign w:val="bottom"/>
          </w:tcPr>
          <w:p>
            <w:pPr>
              <w:ind w:left="120"/>
              <w:spacing w:after="0"/>
              <w:rPr>
                <w:sz w:val="20"/>
                <w:szCs w:val="20"/>
                <w:color w:val="auto"/>
              </w:rPr>
            </w:pPr>
            <w:r>
              <w:rPr>
                <w:rFonts w:ascii="Arial" w:cs="Arial" w:eastAsia="Arial" w:hAnsi="Arial"/>
                <w:sz w:val="18"/>
                <w:szCs w:val="18"/>
                <w:color w:val="auto"/>
              </w:rPr>
              <w:t>—</w:t>
            </w:r>
          </w:p>
        </w:tc>
        <w:tc>
          <w:tcPr>
            <w:tcW w:w="1100" w:type="dxa"/>
            <w:vAlign w:val="bottom"/>
          </w:tcPr>
          <w:p>
            <w:pPr>
              <w:ind w:left="160"/>
              <w:spacing w:after="0"/>
              <w:rPr>
                <w:sz w:val="20"/>
                <w:szCs w:val="20"/>
                <w:color w:val="auto"/>
              </w:rPr>
            </w:pPr>
            <w:r>
              <w:rPr>
                <w:rFonts w:ascii="Arial" w:cs="Arial" w:eastAsia="Arial" w:hAnsi="Arial"/>
                <w:sz w:val="18"/>
                <w:szCs w:val="18"/>
                <w:color w:val="auto"/>
              </w:rPr>
              <w:t>$2 million</w:t>
            </w:r>
          </w:p>
        </w:tc>
        <w:tc>
          <w:tcPr>
            <w:tcW w:w="1020" w:type="dxa"/>
            <w:vAlign w:val="bottom"/>
          </w:tcPr>
          <w:p>
            <w:pPr>
              <w:ind w:left="140"/>
              <w:spacing w:after="0"/>
              <w:rPr>
                <w:sz w:val="20"/>
                <w:szCs w:val="20"/>
                <w:color w:val="auto"/>
              </w:rPr>
            </w:pPr>
            <w:r>
              <w:rPr>
                <w:rFonts w:ascii="Arial" w:cs="Arial" w:eastAsia="Arial" w:hAnsi="Arial"/>
                <w:sz w:val="18"/>
                <w:szCs w:val="18"/>
                <w:color w:val="auto"/>
                <w:w w:val="99"/>
              </w:rPr>
              <w:t>$36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4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(sale price)</w:t>
            </w: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8"/>
        </w:trPr>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18"/>
                <w:szCs w:val="18"/>
                <w:color w:val="auto"/>
              </w:rPr>
              <w:t>19</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260" w:hanging="255"/>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260" w:hanging="255"/>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sz w:val="20"/>
          <w:szCs w:val="20"/>
          <w:color w:val="auto"/>
        </w:rPr>
      </w:pPr>
    </w:p>
    <w:p>
      <w:pPr>
        <w:ind w:left="780" w:right="66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62" w:lineRule="exact"/>
        <w:rPr>
          <w:sz w:val="20"/>
          <w:szCs w:val="20"/>
          <w:color w:val="auto"/>
        </w:rPr>
      </w:pPr>
    </w:p>
    <w:p>
      <w:pPr>
        <w:ind w:left="260" w:hanging="255"/>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sz w:val="20"/>
          <w:szCs w:val="20"/>
          <w:color w:val="auto"/>
        </w:rPr>
      </w:pPr>
    </w:p>
    <w:p>
      <w:pPr>
        <w:ind w:left="780" w:right="320"/>
        <w:spacing w:after="0" w:line="308" w:lineRule="auto"/>
        <w:rPr>
          <w:sz w:val="20"/>
          <w:szCs w:val="20"/>
          <w:color w:val="auto"/>
        </w:rPr>
      </w:pPr>
      <w:r>
        <w:rPr>
          <w:rFonts w:ascii="Arial" w:cs="Arial" w:eastAsia="Arial" w:hAnsi="Arial"/>
          <w:sz w:val="17"/>
          <w:szCs w:val="17"/>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780" w:right="30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62" w:lineRule="exact"/>
        <w:rPr>
          <w:sz w:val="20"/>
          <w:szCs w:val="20"/>
          <w:color w:val="auto"/>
        </w:rPr>
      </w:pPr>
    </w:p>
    <w:p>
      <w:pPr>
        <w:ind w:left="260" w:hanging="255"/>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sz w:val="20"/>
          <w:szCs w:val="20"/>
          <w:color w:val="auto"/>
        </w:rPr>
      </w:pPr>
    </w:p>
    <w:p>
      <w:pPr>
        <w:ind w:left="780" w:right="2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780" w:right="34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62" w:lineRule="exact"/>
        <w:rPr>
          <w:sz w:val="20"/>
          <w:szCs w:val="20"/>
          <w:color w:val="auto"/>
        </w:rPr>
      </w:pPr>
    </w:p>
    <w:p>
      <w:pPr>
        <w:ind w:left="260" w:hanging="255"/>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sz w:val="20"/>
          <w:szCs w:val="20"/>
          <w:color w:val="auto"/>
        </w:rPr>
      </w:pPr>
    </w:p>
    <w:p>
      <w:pPr>
        <w:ind w:left="780" w:right="2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16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7"/>
          <w:szCs w:val="17"/>
          <w:b w:val="1"/>
          <w:bCs w:val="1"/>
          <w:color w:val="auto"/>
        </w:rPr>
        <w:t>15.68%</w:t>
      </w:r>
    </w:p>
    <w:p>
      <w:pPr>
        <w:spacing w:after="0" w:line="38" w:lineRule="exact"/>
        <w:rPr>
          <w:sz w:val="20"/>
          <w:szCs w:val="20"/>
          <w:color w:val="auto"/>
        </w:rPr>
      </w:pPr>
    </w:p>
    <w:p>
      <w:pPr>
        <w:ind w:left="260" w:hanging="255"/>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sz w:val="20"/>
          <w:szCs w:val="20"/>
          <w:color w:val="auto"/>
        </w:rPr>
      </w:pPr>
    </w:p>
    <w:p>
      <w:pPr>
        <w:ind w:left="780" w:right="32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16" w:lineRule="exact"/>
        <w:rPr>
          <w:sz w:val="20"/>
          <w:szCs w:val="20"/>
          <w:color w:val="auto"/>
        </w:rPr>
      </w:pPr>
    </w:p>
    <w:p>
      <w:pPr>
        <w:ind w:left="780" w:right="34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62" w:lineRule="exact"/>
        <w:rPr>
          <w:sz w:val="20"/>
          <w:szCs w:val="20"/>
          <w:color w:val="auto"/>
        </w:rPr>
      </w:pPr>
    </w:p>
    <w:p>
      <w:pPr>
        <w:ind w:left="260" w:hanging="255"/>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sz w:val="20"/>
          <w:szCs w:val="20"/>
          <w:color w:val="auto"/>
        </w:rPr>
      </w:pPr>
    </w:p>
    <w:p>
      <w:pPr>
        <w:ind w:left="780" w:right="240"/>
        <w:spacing w:after="0" w:line="308" w:lineRule="auto"/>
        <w:rPr>
          <w:sz w:val="20"/>
          <w:szCs w:val="20"/>
          <w:color w:val="auto"/>
        </w:rPr>
      </w:pPr>
      <w:r>
        <w:rPr>
          <w:rFonts w:ascii="Arial" w:cs="Arial" w:eastAsia="Arial" w:hAnsi="Arial"/>
          <w:sz w:val="17"/>
          <w:szCs w:val="17"/>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780" w:right="34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62" w:lineRule="exact"/>
        <w:rPr>
          <w:sz w:val="20"/>
          <w:szCs w:val="20"/>
          <w:color w:val="auto"/>
        </w:rPr>
      </w:pPr>
    </w:p>
    <w:p>
      <w:pPr>
        <w:ind w:left="260" w:hanging="255"/>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sz w:val="20"/>
          <w:szCs w:val="20"/>
          <w:color w:val="auto"/>
        </w:rPr>
      </w:pPr>
    </w:p>
    <w:p>
      <w:pPr>
        <w:ind w:left="780" w:right="240"/>
        <w:spacing w:after="0" w:line="34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16" w:lineRule="exact"/>
        <w:rPr>
          <w:sz w:val="20"/>
          <w:szCs w:val="20"/>
          <w:color w:val="auto"/>
        </w:rPr>
      </w:pPr>
    </w:p>
    <w:p>
      <w:pPr>
        <w:ind w:left="780" w:right="34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500" w:top="341"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60" w:hanging="255"/>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hanging="255"/>
        <w:spacing w:after="0" w:line="302"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right="320" w:hanging="255"/>
        <w:spacing w:after="0" w:line="342"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jc w:val="both"/>
        <w:ind w:right="420" w:firstLine="259"/>
        <w:spacing w:after="0" w:line="264" w:lineRule="auto"/>
        <w:rPr>
          <w:sz w:val="20"/>
          <w:szCs w:val="20"/>
          <w:color w:val="auto"/>
        </w:rPr>
      </w:pPr>
      <w:r>
        <w:rPr>
          <w:rFonts w:ascii="Arial" w:cs="Arial" w:eastAsia="Arial" w:hAnsi="Arial"/>
          <w:sz w:val="18"/>
          <w:szCs w:val="18"/>
          <w:color w:val="auto"/>
        </w:rPr>
        <w:t>Unless earlier terminated as described below, both the Investment Advisory Agreement and the Administration Agreement will remain in effect until November 2017, and each may be extended subject to required approvals. Each agreement will remain in effect from year to year thereafter if approved annually by our Board or by the affirmative vote of the holders of a majority of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1" w:name="page22"/>
    <w:bookmarkEnd w:id="21"/>
    <w:p>
      <w:pPr>
        <w:ind w:right="40"/>
        <w:spacing w:after="0" w:line="273" w:lineRule="auto"/>
        <w:rPr>
          <w:sz w:val="20"/>
          <w:szCs w:val="20"/>
          <w:color w:val="auto"/>
        </w:rPr>
      </w:pPr>
      <w:r>
        <w:rPr>
          <w:rFonts w:ascii="Arial" w:cs="Arial" w:eastAsia="Arial" w:hAnsi="Arial"/>
          <w:sz w:val="17"/>
          <w:szCs w:val="17"/>
          <w:color w:val="auto"/>
        </w:rPr>
        <w:t>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Arial" w:cs="Arial" w:eastAsia="Arial" w:hAnsi="Arial"/>
          <w:sz w:val="17"/>
          <w:szCs w:val="17"/>
          <w:i w:val="1"/>
          <w:iCs w:val="1"/>
          <w:color w:val="auto"/>
        </w:rPr>
        <w:t>ITEM 1A. RISK FACTORS—Risks Related to Our Business and Structure—We are dependent upon</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 personnel of the Adviser, TSSP, TPG and their affiliates for our future success</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40" w:firstLine="259"/>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2016. In its consideration of the Investment Advisory Agreement at the time of approval and renewal, the Board focused on information it had received relating to, among other things:</w:t>
      </w:r>
    </w:p>
    <w:p>
      <w:pPr>
        <w:spacing w:after="0" w:line="79" w:lineRule="exact"/>
        <w:rPr>
          <w:sz w:val="20"/>
          <w:szCs w:val="20"/>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17" w:lineRule="exact"/>
        <w:rPr>
          <w:rFonts w:ascii="Arial" w:cs="Arial" w:eastAsia="Arial" w:hAnsi="Arial"/>
          <w:sz w:val="18"/>
          <w:szCs w:val="18"/>
          <w:color w:val="auto"/>
        </w:rPr>
      </w:pPr>
    </w:p>
    <w:p>
      <w:pPr>
        <w:ind w:left="520" w:right="120" w:hanging="255"/>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expense ratio compared to BDCs with similar investment objectives;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the Adviser from its relationships with us and the profitability of those income sources;</w:t>
      </w:r>
    </w:p>
    <w:p>
      <w:pPr>
        <w:spacing w:after="0" w:line="128" w:lineRule="exact"/>
        <w:rPr>
          <w:rFonts w:ascii="Arial" w:cs="Arial" w:eastAsia="Arial" w:hAnsi="Arial"/>
          <w:sz w:val="17"/>
          <w:szCs w:val="17"/>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about the services to be performed and the personnel performing those services under 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jc w:val="both"/>
        <w:ind w:right="260" w:firstLine="259"/>
        <w:spacing w:after="0" w:line="264"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 No one factor was given greater weight than any others, but rather the Board considered all factors collectively as a whole.</w:t>
      </w:r>
    </w:p>
    <w:p>
      <w:pPr>
        <w:spacing w:after="0" w:line="181"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121"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180" w:firstLine="259"/>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Arial" w:cs="Arial" w:eastAsia="Arial" w:hAnsi="Arial"/>
          <w:sz w:val="17"/>
          <w:szCs w:val="17"/>
          <w:i w:val="1"/>
          <w:iCs w:val="1"/>
          <w:color w:val="auto"/>
        </w:rPr>
        <w:t>ITEM 1A. 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FACTORS—Risks Related to Our Business and Structure—We borrow money, which magnifies the potential for gain or loss and increases the risk of investing in us</w:t>
      </w:r>
      <w:r>
        <w:rPr>
          <w:rFonts w:ascii="Arial" w:cs="Arial" w:eastAsia="Arial" w:hAnsi="Arial"/>
          <w:sz w:val="17"/>
          <w:szCs w:val="17"/>
          <w:color w:val="auto"/>
        </w:rPr>
        <w:t>.” As of December 31, 2016 and 2015, our asset coverage was 237.7% and 225.7% respectively.</w:t>
      </w:r>
    </w:p>
    <w:p>
      <w:pPr>
        <w:spacing w:after="0" w:line="178"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anticipate any substantial change in the nature of our business.</w:t>
      </w:r>
    </w:p>
    <w:p>
      <w:pPr>
        <w:spacing w:after="0" w:line="225"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78" w:lineRule="exact"/>
        <w:rPr>
          <w:sz w:val="20"/>
          <w:szCs w:val="20"/>
          <w:color w:val="auto"/>
        </w:rPr>
      </w:pPr>
    </w:p>
    <w:p>
      <w:pPr>
        <w:ind w:right="300" w:firstLine="259"/>
        <w:spacing w:after="0" w:line="259"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7"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See “</w:t>
      </w:r>
      <w:r>
        <w:rPr>
          <w:rFonts w:ascii="Arial" w:cs="Arial" w:eastAsia="Arial" w:hAnsi="Arial"/>
          <w:sz w:val="16"/>
          <w:szCs w:val="16"/>
          <w:i w:val="1"/>
          <w:iCs w:val="1"/>
          <w:color w:val="auto"/>
        </w:rPr>
        <w:t>ITEM 1A. RISK FACTORS—Risks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Our Business and Structure—Regulations governing our operation as a BDC affect our ability to, and the way in which we, raise additional capital.</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a BDC, we are subject to certain risks and uncertainties. See “</w:t>
      </w:r>
      <w:r>
        <w:rPr>
          <w:rFonts w:ascii="Arial" w:cs="Arial" w:eastAsia="Arial" w:hAnsi="Arial"/>
          <w:sz w:val="17"/>
          <w:szCs w:val="17"/>
          <w:i w:val="1"/>
          <w:iCs w:val="1"/>
          <w:color w:val="auto"/>
        </w:rPr>
        <w:t>ITEM 1A. RISK FACTORS—Risks Related to Our Business and Structure.</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Transactions with our Affiliates</w:t>
      </w:r>
    </w:p>
    <w:p>
      <w:pPr>
        <w:spacing w:after="0" w:line="117"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ind w:right="460" w:firstLine="259"/>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16" w:lineRule="exact"/>
        <w:rPr>
          <w:sz w:val="20"/>
          <w:szCs w:val="20"/>
          <w:color w:val="auto"/>
        </w:rPr>
      </w:pPr>
    </w:p>
    <w:p>
      <w:pPr>
        <w:ind w:left="520" w:right="340" w:hanging="255"/>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investment will not benefit any affiliate other than the affiliate participating in the investment, and as otherwise permitted by the order.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13. CERTAIN RELATIONSHIPS AND RELATED TRANSACTIONS, AND DIRECTOR INDEPENDENCE.</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Assets</w:t>
      </w:r>
    </w:p>
    <w:p>
      <w:pPr>
        <w:spacing w:after="0" w:line="11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73" w:lineRule="exact"/>
        <w:rPr>
          <w:sz w:val="20"/>
          <w:szCs w:val="20"/>
          <w:color w:val="auto"/>
        </w:rPr>
      </w:pPr>
    </w:p>
    <w:p>
      <w:pPr>
        <w:ind w:left="520" w:right="20" w:hanging="255"/>
        <w:spacing w:after="0" w:line="288"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w:t>
      </w:r>
    </w:p>
    <w:p>
      <w:pPr>
        <w:ind w:left="520"/>
        <w:spacing w:after="0"/>
        <w:rPr>
          <w:rFonts w:ascii="Arial" w:cs="Arial" w:eastAsia="Arial" w:hAnsi="Arial"/>
          <w:sz w:val="16"/>
          <w:szCs w:val="16"/>
          <w:color w:val="auto"/>
        </w:rPr>
      </w:pPr>
      <w:r>
        <w:rPr>
          <w:rFonts w:ascii="Arial" w:cs="Arial" w:eastAsia="Arial" w:hAnsi="Arial"/>
          <w:sz w:val="18"/>
          <w:szCs w:val="18"/>
          <w:color w:val="auto"/>
        </w:rPr>
        <w:t>1940 Act as any issuer which:</w:t>
      </w:r>
    </w:p>
    <w:p>
      <w:pPr>
        <w:spacing w:after="0" w:line="102" w:lineRule="exact"/>
        <w:rPr>
          <w:rFonts w:ascii="Arial" w:cs="Arial" w:eastAsia="Arial" w:hAnsi="Arial"/>
          <w:sz w:val="16"/>
          <w:szCs w:val="16"/>
          <w:color w:val="auto"/>
        </w:rPr>
      </w:pPr>
    </w:p>
    <w:p>
      <w:pPr>
        <w:ind w:left="780" w:hanging="259"/>
        <w:spacing w:after="0"/>
        <w:tabs>
          <w:tab w:leader="none" w:pos="7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17" w:lineRule="exact"/>
        <w:rPr>
          <w:rFonts w:ascii="Arial" w:cs="Arial" w:eastAsia="Arial" w:hAnsi="Arial"/>
          <w:sz w:val="18"/>
          <w:szCs w:val="18"/>
          <w:color w:val="auto"/>
        </w:rPr>
      </w:pPr>
    </w:p>
    <w:p>
      <w:pPr>
        <w:ind w:left="780" w:right="220" w:hanging="259"/>
        <w:spacing w:after="0" w:line="277" w:lineRule="auto"/>
        <w:tabs>
          <w:tab w:leader="none" w:pos="7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1300" w:hanging="266"/>
        <w:spacing w:after="0"/>
        <w:tabs>
          <w:tab w:leader="none" w:pos="1300" w:val="left"/>
        </w:tabs>
        <w:numPr>
          <w:ilvl w:val="2"/>
          <w:numId w:val="34"/>
        </w:numPr>
        <w:rPr>
          <w:rFonts w:ascii="Arial" w:cs="Arial" w:eastAsia="Arial" w:hAnsi="Arial"/>
          <w:sz w:val="16"/>
          <w:szCs w:val="16"/>
          <w:color w:val="auto"/>
        </w:rPr>
      </w:pPr>
      <w:r>
        <w:rPr>
          <w:rFonts w:ascii="Arial" w:cs="Arial" w:eastAsia="Arial" w:hAnsi="Arial"/>
          <w:sz w:val="16"/>
          <w:szCs w:val="16"/>
          <w:color w:val="auto"/>
        </w:rPr>
        <w:t>has an equity market capitalization of less than $250 million or does not have any class of securities listed on a national securities exchange;</w:t>
      </w:r>
    </w:p>
    <w:p>
      <w:pPr>
        <w:spacing w:after="0" w:line="140" w:lineRule="exact"/>
        <w:rPr>
          <w:rFonts w:ascii="Arial" w:cs="Arial" w:eastAsia="Arial" w:hAnsi="Arial"/>
          <w:sz w:val="16"/>
          <w:szCs w:val="16"/>
          <w:color w:val="auto"/>
        </w:rPr>
      </w:pPr>
    </w:p>
    <w:p>
      <w:pPr>
        <w:ind w:left="1300" w:right="80" w:hanging="266"/>
        <w:spacing w:after="0" w:line="264" w:lineRule="auto"/>
        <w:tabs>
          <w:tab w:leader="none" w:pos="13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73" w:lineRule="exact"/>
        <w:rPr>
          <w:rFonts w:ascii="Arial" w:cs="Arial" w:eastAsia="Arial" w:hAnsi="Arial"/>
          <w:sz w:val="18"/>
          <w:szCs w:val="18"/>
          <w:color w:val="auto"/>
        </w:rPr>
      </w:pPr>
    </w:p>
    <w:p>
      <w:pPr>
        <w:ind w:left="1300" w:hanging="266"/>
        <w:spacing w:after="0"/>
        <w:tabs>
          <w:tab w:leader="none" w:pos="1300" w:val="left"/>
        </w:tabs>
        <w:numPr>
          <w:ilvl w:val="2"/>
          <w:numId w:val="34"/>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28" w:lineRule="exact"/>
        <w:rPr>
          <w:rFonts w:ascii="Arial" w:cs="Arial" w:eastAsia="Arial" w:hAnsi="Arial"/>
          <w:sz w:val="17"/>
          <w:szCs w:val="17"/>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4" w:name="page25"/>
    <w:bookmarkEnd w:id="24"/>
    <w:p>
      <w:pPr>
        <w:ind w:left="520" w:right="140" w:hanging="255"/>
        <w:spacing w:after="0" w:line="312"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38" w:lineRule="exact"/>
        <w:rPr>
          <w:rFonts w:ascii="Arial" w:cs="Arial" w:eastAsia="Arial" w:hAnsi="Arial"/>
          <w:sz w:val="16"/>
          <w:szCs w:val="16"/>
          <w:color w:val="auto"/>
        </w:rPr>
      </w:pPr>
    </w:p>
    <w:p>
      <w:pPr>
        <w:ind w:left="520" w:right="280" w:hanging="255"/>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2" w:lineRule="exact"/>
        <w:rPr>
          <w:rFonts w:ascii="Arial" w:cs="Arial" w:eastAsia="Arial" w:hAnsi="Arial"/>
          <w:sz w:val="18"/>
          <w:szCs w:val="18"/>
          <w:color w:val="auto"/>
        </w:rPr>
      </w:pPr>
    </w:p>
    <w:p>
      <w:pPr>
        <w:ind w:left="520" w:right="400" w:hanging="255"/>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Managerial Assistance to Portfolio Companies</w:t>
      </w:r>
    </w:p>
    <w:p>
      <w:pPr>
        <w:spacing w:after="0" w:line="117"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117" w:lineRule="exact"/>
        <w:rPr>
          <w:sz w:val="20"/>
          <w:szCs w:val="20"/>
          <w:color w:val="auto"/>
        </w:rPr>
      </w:pPr>
    </w:p>
    <w:p>
      <w:pPr>
        <w:ind w:right="40" w:firstLine="259"/>
        <w:spacing w:after="0" w:line="342" w:lineRule="auto"/>
        <w:rPr>
          <w:sz w:val="20"/>
          <w:szCs w:val="20"/>
          <w:color w:val="auto"/>
        </w:rPr>
      </w:pPr>
      <w:r>
        <w:rPr>
          <w:rFonts w:ascii="Arial" w:cs="Arial" w:eastAsia="Arial" w:hAnsi="Arial"/>
          <w:sz w:val="16"/>
          <w:szCs w:val="16"/>
          <w:color w:val="auto"/>
        </w:rPr>
        <w:t>As a BDC, we generally must have 200% asset coverage for our debt after incurring any new indebtedness, meaning that the total value of our assets must be at least twice the amount of the debt (i.e., 50% leverage). As of December 31, 2016 and 2015, our asset coverage was 237.7% and 225.7% respectively.</w:t>
      </w:r>
    </w:p>
    <w:p>
      <w:pPr>
        <w:spacing w:after="0" w:line="124"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8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The 1940 Act imposes limitations on a BDC’s issuance of preferred stock, which is considered a “senior security” and thus is subject to the 200% asset coverage requirement described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right="100" w:firstLine="259"/>
        <w:spacing w:after="0" w:line="255" w:lineRule="auto"/>
        <w:rPr>
          <w:sz w:val="20"/>
          <w:szCs w:val="20"/>
          <w:color w:val="auto"/>
        </w:rPr>
      </w:pPr>
      <w:r>
        <w:rPr>
          <w:rFonts w:ascii="Arial" w:cs="Arial" w:eastAsia="Arial" w:hAnsi="Arial"/>
          <w:sz w:val="18"/>
          <w:szCs w:val="18"/>
          <w:color w:val="auto"/>
        </w:rPr>
        <w:t>As required by the Advisers Act and the 1940 Act, we and the Adviser have adopted codes of ethics which apply to, among others, our and our Adviser’s executive officers, including our Co-Chief Executive Officers and Chief Financial Officer, as well as our Adviser’s officers, directors and employees. The codes of ethics establish procedures for personal investments and restrict certain personal securities transactions. Personnel subject to the code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Co-Chief Executive Officers or Chief Financial Officer.</w:t>
      </w:r>
    </w:p>
    <w:p>
      <w:pPr>
        <w:spacing w:after="0" w:line="193"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We hereby undertake to provide a copy of the codes to any person, without charge, upon request. Requests for a copy of the codes may be made in writing addressed to the Secretary of the Company, Jennifer Gordon,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or by emailing us at IRTSL@tpg.com.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Compliance Policies and Procedures</w:t>
      </w:r>
    </w:p>
    <w:p>
      <w:pPr>
        <w:spacing w:after="0" w:line="117" w:lineRule="exact"/>
        <w:rPr>
          <w:sz w:val="20"/>
          <w:szCs w:val="20"/>
          <w:color w:val="auto"/>
        </w:rPr>
      </w:pPr>
    </w:p>
    <w:p>
      <w:pPr>
        <w:ind w:right="380" w:firstLine="259"/>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Sarbanes-Oxley Act of 2002</w:t>
      </w:r>
    </w:p>
    <w:p>
      <w:pPr>
        <w:spacing w:after="0" w:line="117"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62" w:lineRule="exact"/>
        <w:rPr>
          <w:sz w:val="20"/>
          <w:szCs w:val="20"/>
          <w:color w:val="auto"/>
        </w:rPr>
      </w:pPr>
    </w:p>
    <w:p>
      <w:pPr>
        <w:ind w:left="520" w:right="580" w:hanging="255"/>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62" w:lineRule="exact"/>
        <w:rPr>
          <w:rFonts w:ascii="Arial" w:cs="Arial" w:eastAsia="Arial" w:hAnsi="Arial"/>
          <w:sz w:val="18"/>
          <w:szCs w:val="18"/>
          <w:color w:val="auto"/>
        </w:rPr>
      </w:pPr>
    </w:p>
    <w:p>
      <w:pPr>
        <w:ind w:left="520" w:right="840" w:hanging="255"/>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62" w:lineRule="exact"/>
        <w:rPr>
          <w:rFonts w:ascii="Arial" w:cs="Arial" w:eastAsia="Arial" w:hAnsi="Arial"/>
          <w:sz w:val="18"/>
          <w:szCs w:val="18"/>
          <w:color w:val="auto"/>
        </w:rPr>
      </w:pPr>
    </w:p>
    <w:p>
      <w:pPr>
        <w:ind w:left="520" w:right="140" w:hanging="255"/>
        <w:spacing w:after="0" w:line="342" w:lineRule="auto"/>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15" w:lineRule="exact"/>
        <w:rPr>
          <w:rFonts w:ascii="Arial" w:cs="Arial" w:eastAsia="Arial" w:hAnsi="Arial"/>
          <w:sz w:val="16"/>
          <w:szCs w:val="16"/>
          <w:color w:val="auto"/>
        </w:rPr>
      </w:pPr>
    </w:p>
    <w:p>
      <w:pPr>
        <w:jc w:val="both"/>
        <w:ind w:left="520" w:right="120" w:hanging="255"/>
        <w:spacing w:after="0" w:line="286"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6"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NYSE Corporate Governance Rules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NYSE has adopted corporate governance rules that listed companies must comply with. We believe we are in compliance with these rules.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Policies and Procedures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Privacy Principles</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right="60" w:firstLine="259"/>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Obligations</w:t>
      </w:r>
    </w:p>
    <w:p>
      <w:pPr>
        <w:spacing w:after="0" w:line="117"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888 7</w:t>
      </w:r>
      <w:r>
        <w:rPr>
          <w:rFonts w:ascii="Arial" w:cs="Arial" w:eastAsia="Arial" w:hAnsi="Arial"/>
          <w:sz w:val="13"/>
          <w:szCs w:val="13"/>
          <w:color w:val="auto"/>
        </w:rPr>
        <w:t>th</w:t>
      </w:r>
      <w:r>
        <w:rPr>
          <w:rFonts w:ascii="Arial" w:cs="Arial" w:eastAsia="Arial" w:hAnsi="Arial"/>
          <w:sz w:val="16"/>
          <w:szCs w:val="16"/>
          <w:color w:val="auto"/>
        </w:rPr>
        <w:t xml:space="preserve">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10106, Attention: TSLX Investor Relations, or by emailing us at </w:t>
      </w:r>
      <w:r>
        <w:rPr>
          <w:rFonts w:ascii="Arial" w:cs="Arial" w:eastAsia="Arial" w:hAnsi="Arial"/>
          <w:sz w:val="16"/>
          <w:szCs w:val="16"/>
          <w:i w:val="1"/>
          <w:iCs w:val="1"/>
          <w:color w:val="auto"/>
        </w:rPr>
        <w:t>IRTSL@tpg.com</w:t>
      </w:r>
      <w:r>
        <w:rPr>
          <w:rFonts w:ascii="Arial" w:cs="Arial" w:eastAsia="Arial" w:hAnsi="Arial"/>
          <w:sz w:val="16"/>
          <w:szCs w:val="16"/>
          <w:color w:val="auto"/>
        </w:rPr>
        <w:t>.</w:t>
      </w:r>
    </w:p>
    <w:p>
      <w:pPr>
        <w:spacing w:after="0" w:line="14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N.E., Room 1580 Washington, DC 20549. The public may also obtain information on the operation of the Public Reference Room by calling the SEC at 1-800-SEC-0330. The SEC also maintains a website (www.sec.gov) that contains this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Investment Company Classification</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non-U.S. stockholders with respect to our taxable years commencing April 1, 2015 will be eligible for look-through tax treatment.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17" w:lineRule="exact"/>
        <w:rPr>
          <w:sz w:val="20"/>
          <w:szCs w:val="20"/>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17" w:lineRule="exact"/>
        <w:rPr>
          <w:rFonts w:ascii="Arial" w:cs="Arial" w:eastAsia="Arial" w:hAnsi="Arial"/>
          <w:sz w:val="18"/>
          <w:szCs w:val="18"/>
          <w:color w:val="auto"/>
        </w:rPr>
      </w:pPr>
    </w:p>
    <w:p>
      <w:pPr>
        <w:ind w:left="520" w:right="60" w:hanging="255"/>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17" w:lineRule="exact"/>
        <w:rPr>
          <w:rFonts w:ascii="Arial" w:cs="Arial" w:eastAsia="Arial" w:hAnsi="Arial"/>
          <w:sz w:val="18"/>
          <w:szCs w:val="18"/>
          <w:color w:val="auto"/>
        </w:rPr>
      </w:pPr>
    </w:p>
    <w:p>
      <w:pPr>
        <w:ind w:left="780" w:right="300" w:hanging="259"/>
        <w:spacing w:after="0" w:line="286" w:lineRule="auto"/>
        <w:tabs>
          <w:tab w:leader="none" w:pos="7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57" w:lineRule="exact"/>
        <w:rPr>
          <w:rFonts w:ascii="Arial" w:cs="Arial" w:eastAsia="Arial" w:hAnsi="Arial"/>
          <w:sz w:val="17"/>
          <w:szCs w:val="17"/>
          <w:color w:val="auto"/>
        </w:rPr>
      </w:pPr>
    </w:p>
    <w:p>
      <w:pPr>
        <w:ind w:left="780" w:right="20" w:hanging="259"/>
        <w:spacing w:after="0" w:line="264" w:lineRule="auto"/>
        <w:tabs>
          <w:tab w:leader="none" w:pos="7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ind w:firstLine="259"/>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0" w:lineRule="exact"/>
        <w:rPr>
          <w:sz w:val="20"/>
          <w:szCs w:val="20"/>
          <w:color w:val="auto"/>
        </w:rPr>
      </w:pPr>
    </w:p>
    <w:p>
      <w:pPr>
        <w:ind w:left="780" w:hanging="25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17" w:lineRule="exact"/>
        <w:rPr>
          <w:rFonts w:ascii="Arial" w:cs="Arial" w:eastAsia="Arial" w:hAnsi="Arial"/>
          <w:sz w:val="18"/>
          <w:szCs w:val="18"/>
          <w:color w:val="auto"/>
        </w:rPr>
      </w:pPr>
    </w:p>
    <w:p>
      <w:pPr>
        <w:ind w:left="780" w:right="80" w:hanging="259"/>
        <w:spacing w:after="0" w:line="277"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right="100" w:firstLine="259"/>
        <w:spacing w:after="0" w:line="312" w:lineRule="auto"/>
        <w:rPr>
          <w:sz w:val="20"/>
          <w:szCs w:val="20"/>
          <w:color w:val="auto"/>
        </w:rPr>
      </w:pPr>
      <w:r>
        <w:rPr>
          <w:rFonts w:ascii="Arial" w:cs="Arial" w:eastAsia="Arial" w:hAnsi="Arial"/>
          <w:sz w:val="16"/>
          <w:szCs w:val="16"/>
          <w:color w:val="auto"/>
        </w:rPr>
        <w:t>We generally expect to distribute substantially all of our earnings on a quarterly basis, but will reinvest dividends on behalf of those investors that do not elect to receive their dividends in cash. See “—</w:t>
      </w:r>
      <w:r>
        <w:rPr>
          <w:rFonts w:ascii="Arial" w:cs="Arial" w:eastAsia="Arial" w:hAnsi="Arial"/>
          <w:sz w:val="16"/>
          <w:szCs w:val="16"/>
          <w:i w:val="1"/>
          <w:iCs w:val="1"/>
          <w:color w:val="auto"/>
        </w:rPr>
        <w:t>Dividend Policy</w:t>
      </w:r>
      <w:r>
        <w:rPr>
          <w:rFonts w:ascii="Arial" w:cs="Arial" w:eastAsia="Arial" w:hAnsi="Arial"/>
          <w:sz w:val="16"/>
          <w:szCs w:val="16"/>
          <w:color w:val="auto"/>
        </w:rPr>
        <w:t>” and “—</w:t>
      </w:r>
      <w:r>
        <w:rPr>
          <w:rFonts w:ascii="Arial" w:cs="Arial" w:eastAsia="Arial" w:hAnsi="Arial"/>
          <w:sz w:val="16"/>
          <w:szCs w:val="16"/>
          <w:i w:val="1"/>
          <w:iCs w:val="1"/>
          <w:color w:val="auto"/>
        </w:rPr>
        <w:t>Dividend Reinvestment Plan</w:t>
      </w:r>
      <w:r>
        <w:rPr>
          <w:rFonts w:ascii="Arial" w:cs="Arial" w:eastAsia="Arial" w:hAnsi="Arial"/>
          <w:sz w:val="16"/>
          <w:szCs w:val="16"/>
          <w:color w:val="auto"/>
        </w:rPr>
        <w:t>” for a description of our dividend policy and obligations. One or more of the considerations described below, however, could result in the deferral of dividend distributions until the end of the fiscal year:</w:t>
      </w:r>
    </w:p>
    <w:p>
      <w:pPr>
        <w:spacing w:after="0" w:line="39" w:lineRule="exact"/>
        <w:rPr>
          <w:sz w:val="20"/>
          <w:szCs w:val="20"/>
          <w:color w:val="auto"/>
        </w:rPr>
      </w:pPr>
    </w:p>
    <w:p>
      <w:pPr>
        <w:ind w:left="520" w:right="200" w:hanging="255"/>
        <w:spacing w:after="0" w:line="312"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38" w:lineRule="exact"/>
        <w:rPr>
          <w:rFonts w:ascii="Arial" w:cs="Arial" w:eastAsia="Arial" w:hAnsi="Arial"/>
          <w:sz w:val="16"/>
          <w:szCs w:val="16"/>
          <w:color w:val="auto"/>
        </w:rPr>
      </w:pPr>
    </w:p>
    <w:p>
      <w:pPr>
        <w:ind w:left="520" w:right="260" w:hanging="255"/>
        <w:spacing w:after="0" w:line="277"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200" w:firstLine="259"/>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66"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60" w:firstLine="259"/>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ind w:right="400" w:firstLine="259"/>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The 1940 Act imposes numerous constraints on the operations of BDCs. See “</w:t>
      </w:r>
      <w:r>
        <w:rPr>
          <w:rFonts w:ascii="Arial" w:cs="Arial" w:eastAsia="Arial" w:hAnsi="Arial"/>
          <w:sz w:val="16"/>
          <w:szCs w:val="16"/>
          <w:i w:val="1"/>
          <w:iCs w:val="1"/>
          <w:color w:val="auto"/>
        </w:rPr>
        <w:t>ITEM 1. BUSINESS—Regulation as a Business Development Company</w:t>
      </w:r>
      <w:r>
        <w:rPr>
          <w:rFonts w:ascii="Arial" w:cs="Arial" w:eastAsia="Arial" w:hAnsi="Arial"/>
          <w:sz w:val="16"/>
          <w:szCs w:val="16"/>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54"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9" w:lineRule="exact"/>
        <w:rPr>
          <w:sz w:val="20"/>
          <w:szCs w:val="20"/>
          <w:color w:val="auto"/>
        </w:rPr>
      </w:pPr>
    </w:p>
    <w:p>
      <w:pPr>
        <w:ind w:right="140" w:firstLine="259"/>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80"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spacing w:after="0" w:line="271" w:lineRule="auto"/>
        <w:rPr>
          <w:sz w:val="20"/>
          <w:szCs w:val="20"/>
          <w:color w:val="auto"/>
        </w:rPr>
      </w:pPr>
      <w:r>
        <w:rPr>
          <w:rFonts w:ascii="Arial" w:cs="Arial" w:eastAsia="Arial" w:hAnsi="Arial"/>
          <w:sz w:val="17"/>
          <w:szCs w:val="17"/>
          <w:color w:val="auto"/>
        </w:rPr>
        <w:t>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Arial" w:cs="Arial" w:eastAsia="Arial" w:hAnsi="Arial"/>
          <w:sz w:val="17"/>
          <w:szCs w:val="17"/>
          <w:i w:val="1"/>
          <w:iCs w:val="1"/>
          <w:color w:val="auto"/>
        </w:rPr>
        <w:t>—Risks Related to Our Portfolio Company Investments</w:t>
      </w:r>
      <w:r>
        <w:rPr>
          <w:rFonts w:ascii="Arial" w:cs="Arial" w:eastAsia="Arial" w:hAnsi="Arial"/>
          <w:sz w:val="17"/>
          <w:szCs w:val="17"/>
          <w:b w:val="1"/>
          <w:bCs w:val="1"/>
          <w:color w:val="auto"/>
        </w:rPr>
        <w:t>—</w:t>
      </w:r>
      <w:r>
        <w:rPr>
          <w:rFonts w:ascii="Arial" w:cs="Arial" w:eastAsia="Arial" w:hAnsi="Arial"/>
          <w:sz w:val="17"/>
          <w:szCs w:val="17"/>
          <w:i w:val="1"/>
          <w:iCs w:val="1"/>
          <w:color w:val="auto"/>
        </w:rPr>
        <w:t>We may securitize certain of our</w:t>
      </w:r>
      <w:r>
        <w:rPr>
          <w:rFonts w:ascii="Arial" w:cs="Arial" w:eastAsia="Arial" w:hAnsi="Arial"/>
          <w:sz w:val="17"/>
          <w:szCs w:val="17"/>
          <w:color w:val="auto"/>
        </w:rPr>
        <w:t xml:space="preserve"> </w:t>
      </w:r>
      <w:r>
        <w:rPr>
          <w:rFonts w:ascii="Arial" w:cs="Arial" w:eastAsia="Arial" w:hAnsi="Arial"/>
          <w:sz w:val="17"/>
          <w:szCs w:val="17"/>
          <w:i w:val="1"/>
          <w:iCs w:val="1"/>
          <w:color w:val="auto"/>
        </w:rPr>
        <w:t>investments, which may subject us to certain structured financing risks</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100" w:firstLine="259"/>
        <w:spacing w:after="0" w:line="288"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Arial" w:cs="Arial" w:eastAsia="Arial" w:hAnsi="Arial"/>
          <w:sz w:val="16"/>
          <w:szCs w:val="16"/>
          <w:i w:val="1"/>
          <w:iCs w:val="1"/>
          <w:color w:val="auto"/>
        </w:rPr>
        <w:t>—Risks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Our Business and Structure—Even in the event the value of your investment declines, the Management Fee and, in certain circumstances, the Incentive Fee will still be payable to the Adviser</w:t>
      </w:r>
      <w:r>
        <w:rPr>
          <w:rFonts w:ascii="Arial" w:cs="Arial" w:eastAsia="Arial" w:hAnsi="Arial"/>
          <w:sz w:val="16"/>
          <w:szCs w:val="16"/>
          <w:color w:val="auto"/>
        </w:rPr>
        <w:t>.” The amount of leverage that we employ will depend on our Adviser’s and our Board’s assessment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and other factors at the time of any proposed borrowing. We cannot assure you that we will be able to obtain credit at all or on terms acceptable to us.</w:t>
      </w:r>
    </w:p>
    <w:p>
      <w:pPr>
        <w:spacing w:after="0" w:line="169"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Our credit facilities also impose financial and operating covenants that restrict our business activities, remedies on default and similar matters. As of the date of this Annual Report,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8" w:lineRule="exact"/>
        <w:rPr>
          <w:sz w:val="20"/>
          <w:szCs w:val="20"/>
          <w:color w:val="auto"/>
        </w:rPr>
      </w:pPr>
    </w:p>
    <w:p>
      <w:pPr>
        <w:ind w:right="420" w:firstLine="259"/>
        <w:spacing w:after="0" w:line="286" w:lineRule="auto"/>
        <w:rPr>
          <w:sz w:val="20"/>
          <w:szCs w:val="20"/>
          <w:color w:val="auto"/>
        </w:rPr>
      </w:pPr>
      <w:r>
        <w:rPr>
          <w:rFonts w:ascii="Arial" w:cs="Arial" w:eastAsia="Arial" w:hAnsi="Arial"/>
          <w:sz w:val="17"/>
          <w:szCs w:val="17"/>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 See “—</w:t>
      </w:r>
      <w:r>
        <w:rPr>
          <w:rFonts w:ascii="Arial" w:cs="Arial" w:eastAsia="Arial" w:hAnsi="Arial"/>
          <w:sz w:val="17"/>
          <w:szCs w:val="17"/>
          <w:i w:val="1"/>
          <w:iCs w:val="1"/>
          <w:color w:val="auto"/>
        </w:rPr>
        <w:t>Risks Related to Our</w:t>
      </w:r>
      <w:r>
        <w:rPr>
          <w:rFonts w:ascii="Arial" w:cs="Arial" w:eastAsia="Arial" w:hAnsi="Arial"/>
          <w:sz w:val="17"/>
          <w:szCs w:val="17"/>
          <w:color w:val="auto"/>
        </w:rPr>
        <w:t xml:space="preserve"> </w:t>
      </w:r>
      <w:r>
        <w:rPr>
          <w:rFonts w:ascii="Arial" w:cs="Arial" w:eastAsia="Arial" w:hAnsi="Arial"/>
          <w:sz w:val="17"/>
          <w:szCs w:val="17"/>
          <w:i w:val="1"/>
          <w:iCs w:val="1"/>
          <w:color w:val="auto"/>
        </w:rPr>
        <w:t>Portfolio Company Investments—We expose ourselves to risks when we engage in hedging transactions.”</w:t>
      </w:r>
    </w:p>
    <w:p>
      <w:pPr>
        <w:spacing w:after="0" w:line="166"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As of December 31, 2016, we had $693.7 million of outstanding indebtedness, which had an annualized interest cost of 2.70% under the terms of our debt, excluding fees (such as fees on undrawn amounts and amortization of upfront fees) and giving effect to the swap-adjusted interest rate on our 2019 Convertible Senior Notes. As of December 31, 2016, the interest rate on our 4.50% Convertible Senior Notes due 2019, or the 2019 Convertible Senior Notes, as adjusted to give effect to the interest rate swaps, was three-month London Interbank Offered Rate, or LIBOR, plus 286 basis points.</w:t>
      </w:r>
    </w:p>
    <w:p>
      <w:pPr>
        <w:spacing w:after="0" w:line="171"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right="220" w:firstLine="259"/>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1"/>
              </w:rPr>
              <w:t>Assumed Return on Our Portfolio</w:t>
            </w:r>
          </w:p>
        </w:tc>
        <w:tc>
          <w:tcPr>
            <w:tcW w:w="1140" w:type="dxa"/>
            <w:vAlign w:val="bottom"/>
          </w:tcPr>
          <w:p>
            <w:pPr>
              <w:spacing w:after="0"/>
              <w:rPr>
                <w:sz w:val="18"/>
                <w:szCs w:val="18"/>
                <w:color w:val="auto"/>
              </w:rPr>
            </w:pPr>
          </w:p>
        </w:tc>
      </w:tr>
      <w:tr>
        <w:trPr>
          <w:trHeight w:val="220"/>
        </w:trPr>
        <w:tc>
          <w:tcPr>
            <w:tcW w:w="5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5"/>
              </w:rPr>
              <w:t>(net of expenses)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Corresponding return to stockholder </w:t>
            </w:r>
            <w:r>
              <w:rPr>
                <w:rFonts w:ascii="Arial" w:cs="Arial" w:eastAsia="Arial" w:hAnsi="Arial"/>
                <w:sz w:val="15"/>
                <w:szCs w:val="15"/>
                <w:color w:val="auto"/>
              </w:rPr>
              <w:t>(1)</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-19.56%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-10.77%</w:t>
            </w:r>
          </w:p>
        </w:tc>
        <w:tc>
          <w:tcPr>
            <w:tcW w:w="12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15.63%</w:t>
            </w:r>
          </w:p>
        </w:tc>
      </w:tr>
    </w:tbl>
    <w:p>
      <w:pPr>
        <w:spacing w:after="0" w:line="202" w:lineRule="exact"/>
        <w:rPr>
          <w:sz w:val="20"/>
          <w:szCs w:val="20"/>
          <w:color w:val="auto"/>
        </w:rPr>
      </w:pPr>
    </w:p>
    <w:p>
      <w:pPr>
        <w:ind w:left="520" w:right="60" w:hanging="512"/>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Assumes, as of December 31, 2016, (i) $1.7 billion in total assets, (ii) $693.7 million in outstanding indebtedness, (iii) $952.2 million in net assets and (iv) annualized interest cost of 2.70%, under the terms of our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may allow us to incur additional leverage.</w:t>
      </w:r>
    </w:p>
    <w:p>
      <w:pPr>
        <w:spacing w:after="0" w:line="117"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Legislation introduced in the prior congressional session, if reintroduced and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jc w:val="both"/>
        <w:ind w:right="80"/>
        <w:spacing w:after="0" w:line="264" w:lineRule="auto"/>
        <w:rPr>
          <w:sz w:val="20"/>
          <w:szCs w:val="20"/>
          <w:color w:val="auto"/>
        </w:rPr>
      </w:pPr>
      <w:r>
        <w:rPr>
          <w:rFonts w:ascii="Arial" w:cs="Arial" w:eastAsia="Arial" w:hAnsi="Arial"/>
          <w:sz w:val="18"/>
          <w:szCs w:val="18"/>
          <w:color w:val="auto"/>
        </w:rPr>
        <w:t>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81"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right="160" w:firstLine="259"/>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Annual Report.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ind w:right="340" w:firstLine="259"/>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incur significant realized capital losses and unrealized capital depreciation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right="140" w:firstLine="259"/>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ind w:right="140" w:firstLine="259"/>
        <w:spacing w:after="0" w:line="291"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2" w:name="page33"/>
    <w:bookmarkEnd w:id="32"/>
    <w:p>
      <w:pPr>
        <w:ind w:right="24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jc w:val="both"/>
        <w:ind w:right="140" w:firstLine="259"/>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46" w:lineRule="exact"/>
        <w:rPr>
          <w:sz w:val="20"/>
          <w:szCs w:val="20"/>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17" w:lineRule="exact"/>
        <w:rPr>
          <w:rFonts w:ascii="Arial" w:cs="Arial" w:eastAsia="Arial" w:hAnsi="Arial"/>
          <w:sz w:val="18"/>
          <w:szCs w:val="18"/>
          <w:color w:val="auto"/>
        </w:rPr>
      </w:pPr>
    </w:p>
    <w:p>
      <w:pPr>
        <w:ind w:left="780" w:right="520" w:hanging="259"/>
        <w:spacing w:after="0" w:line="277" w:lineRule="auto"/>
        <w:tabs>
          <w:tab w:leader="none" w:pos="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117" w:lineRule="exact"/>
        <w:rPr>
          <w:sz w:val="20"/>
          <w:szCs w:val="20"/>
          <w:color w:val="auto"/>
        </w:rPr>
      </w:pPr>
    </w:p>
    <w:p>
      <w:pPr>
        <w:ind w:left="520"/>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46" w:lineRule="exact"/>
        <w:rPr>
          <w:sz w:val="20"/>
          <w:szCs w:val="20"/>
          <w:color w:val="auto"/>
        </w:rPr>
      </w:pPr>
    </w:p>
    <w:p>
      <w:pPr>
        <w:ind w:left="520" w:right="100" w:hanging="255"/>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62" w:lineRule="exact"/>
        <w:rPr>
          <w:rFonts w:ascii="Arial" w:cs="Arial" w:eastAsia="Arial" w:hAnsi="Arial"/>
          <w:sz w:val="18"/>
          <w:szCs w:val="18"/>
          <w:color w:val="auto"/>
        </w:rPr>
      </w:pPr>
    </w:p>
    <w:p>
      <w:pPr>
        <w:ind w:left="520" w:right="360" w:hanging="255"/>
        <w:spacing w:after="0" w:line="312"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As of December 31, 2016 and 2015, we elected to retain approximately $52 million and $38 million of taxable income and capital gains, respectively, in order to provide us with additional liquidity and we recorded a net expense of $2.2 million and $1.5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Arial" w:cs="Arial" w:eastAsia="Arial" w:hAnsi="Arial"/>
          <w:sz w:val="18"/>
          <w:szCs w:val="18"/>
          <w:i w:val="1"/>
          <w:iCs w:val="1"/>
          <w:color w:val="auto"/>
        </w:rPr>
        <w:t>ITEM 1. BUSINESS—Regulation as a Business Development Company—Regulated Investment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Classification</w:t>
      </w:r>
      <w:r>
        <w:rPr>
          <w:rFonts w:ascii="Arial" w:cs="Arial" w:eastAsia="Arial" w:hAnsi="Arial"/>
          <w:sz w:val="18"/>
          <w:szCs w:val="18"/>
          <w:color w:val="auto"/>
        </w:rPr>
        <w:t>” for more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00" w:firstLine="259"/>
        <w:spacing w:after="0" w:line="293" w:lineRule="auto"/>
        <w:rPr>
          <w:sz w:val="20"/>
          <w:szCs w:val="20"/>
          <w:color w:val="auto"/>
        </w:rPr>
      </w:pPr>
      <w:r>
        <w:rPr>
          <w:rFonts w:ascii="Arial" w:cs="Arial" w:eastAsia="Arial" w:hAnsi="Arial"/>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has organized a separate investment vehicle, TSL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33" w:name="page34"/>
    <w:bookmarkEnd w:id="33"/>
    <w:p>
      <w:pPr>
        <w:ind w:right="280"/>
        <w:spacing w:after="0" w:line="277" w:lineRule="auto"/>
        <w:rPr>
          <w:sz w:val="20"/>
          <w:szCs w:val="20"/>
          <w:color w:val="auto"/>
        </w:rPr>
      </w:pPr>
      <w:r>
        <w:rPr>
          <w:rFonts w:ascii="Arial" w:cs="Arial" w:eastAsia="Arial" w:hAnsi="Arial"/>
          <w:sz w:val="18"/>
          <w:szCs w:val="18"/>
          <w:color w:val="auto"/>
        </w:rPr>
        <w:t>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0"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If TPG and the Adviser were to determine that an investment is appropriate both for us and for one or more other TSSP or TPG vehicles, we would only be able to make the investment in conjunction with another vehicle to the extent the exemptive order granted to us by the SEC permits us to do so or the investment is otherwise permitted under relevant SEC guidance. On December 16, 2014, we were granted an exemptive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any affiliates of TSSP and TPG must be the same as those applicable to us. We cannot assure you when or whether we will apply for any other exemptive relief in the future and whether such orders will be obtained.</w:t>
      </w:r>
    </w:p>
    <w:p>
      <w:pPr>
        <w:spacing w:after="0" w:line="287"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 Any new investment advisory agreement would require stockholder approval.</w:t>
      </w:r>
    </w:p>
    <w:p>
      <w:pPr>
        <w:spacing w:after="0" w:line="1" w:lineRule="exact"/>
        <w:rPr>
          <w:sz w:val="20"/>
          <w:szCs w:val="20"/>
          <w:color w:val="auto"/>
        </w:rPr>
      </w:pPr>
    </w:p>
    <w:p>
      <w:pPr>
        <w:ind w:firstLine="259"/>
        <w:spacing w:after="0" w:line="253" w:lineRule="auto"/>
        <w:rPr>
          <w:sz w:val="20"/>
          <w:szCs w:val="20"/>
          <w:color w:val="auto"/>
        </w:rPr>
      </w:pPr>
      <w:r>
        <w:rPr>
          <w:rFonts w:ascii="Arial" w:cs="Arial" w:eastAsia="Arial" w:hAnsi="Arial"/>
          <w:sz w:val="18"/>
          <w:szCs w:val="18"/>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9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81"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right="140"/>
        <w:spacing w:after="0" w:line="277" w:lineRule="auto"/>
        <w:rPr>
          <w:sz w:val="20"/>
          <w:szCs w:val="20"/>
          <w:color w:val="auto"/>
        </w:rPr>
      </w:pPr>
      <w:r>
        <w:rPr>
          <w:rFonts w:ascii="Arial" w:cs="Arial" w:eastAsia="Arial" w:hAnsi="Arial"/>
          <w:sz w:val="18"/>
          <w:szCs w:val="18"/>
          <w:color w:val="auto"/>
        </w:rPr>
        <w:t>the Adviser and its members, managers, officers, employees, agents, controlling persons and other persons and entities affiliated with the Adviser to act in a riskier manner than they would when acting for their own account.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300" w:firstLine="259"/>
        <w:spacing w:after="0" w:line="279" w:lineRule="auto"/>
        <w:rPr>
          <w:sz w:val="20"/>
          <w:szCs w:val="20"/>
          <w:color w:val="auto"/>
        </w:rPr>
      </w:pPr>
      <w:r>
        <w:rPr>
          <w:rFonts w:ascii="Arial" w:cs="Arial" w:eastAsia="Arial" w:hAnsi="Arial"/>
          <w:sz w:val="17"/>
          <w:szCs w:val="17"/>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8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73"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280" w:firstLine="259"/>
        <w:spacing w:after="0" w:line="259"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right="20" w:firstLine="259"/>
        <w:spacing w:after="0" w:line="267" w:lineRule="auto"/>
        <w:rPr>
          <w:sz w:val="20"/>
          <w:szCs w:val="20"/>
          <w:color w:val="auto"/>
        </w:rPr>
      </w:pPr>
      <w:r>
        <w:rPr>
          <w:rFonts w:ascii="Arial" w:cs="Arial" w:eastAsia="Arial" w:hAnsi="Arial"/>
          <w:sz w:val="17"/>
          <w:szCs w:val="17"/>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46" w:lineRule="exact"/>
        <w:rPr>
          <w:sz w:val="20"/>
          <w:szCs w:val="20"/>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73" w:lineRule="exact"/>
        <w:rPr>
          <w:sz w:val="20"/>
          <w:szCs w:val="20"/>
          <w:color w:val="auto"/>
        </w:rPr>
      </w:pPr>
    </w:p>
    <w:p>
      <w:pPr>
        <w:ind w:right="40" w:firstLine="259"/>
        <w:spacing w:after="0" w:line="287" w:lineRule="auto"/>
        <w:rPr>
          <w:sz w:val="20"/>
          <w:szCs w:val="20"/>
          <w:color w:val="auto"/>
        </w:rPr>
      </w:pPr>
      <w:r>
        <w:rPr>
          <w:rFonts w:ascii="Arial" w:cs="Arial" w:eastAsia="Arial" w:hAnsi="Arial"/>
          <w:sz w:val="16"/>
          <w:szCs w:val="16"/>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73"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predict the effect any changes to our current operating policies or strategies would have on our business, operating results and value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Nevertheless, the effects may adversely affect our business and impact our ability to pay dividends.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20" w:firstLine="259"/>
        <w:spacing w:after="0" w:line="269" w:lineRule="auto"/>
        <w:rPr>
          <w:sz w:val="20"/>
          <w:szCs w:val="20"/>
          <w:color w:val="auto"/>
        </w:rPr>
      </w:pPr>
      <w:r>
        <w:rPr>
          <w:rFonts w:ascii="Arial" w:cs="Arial" w:eastAsia="Arial" w:hAnsi="Arial"/>
          <w:sz w:val="17"/>
          <w:szCs w:val="17"/>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In addition, certain members of Congress have put forth proposals that could impact the U.S. federal income tax treatment of debt. The details of these proposals are not sufficiently clear to ascertain their potential impact on our business nor is the likelihood of any such proposals being enacted into law certain at this time. However, if any such proposals were enacted it is possible that they might impact us and our business.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Arial" w:cs="Arial" w:eastAsia="Arial" w:hAnsi="Arial"/>
          <w:sz w:val="17"/>
          <w:szCs w:val="17"/>
          <w:i w:val="1"/>
          <w:iCs w:val="1"/>
          <w:color w:val="auto"/>
        </w:rPr>
        <w:t>Risks Related to our</w:t>
      </w:r>
      <w:r>
        <w:rPr>
          <w:rFonts w:ascii="Arial" w:cs="Arial" w:eastAsia="Arial" w:hAnsi="Arial"/>
          <w:sz w:val="17"/>
          <w:szCs w:val="17"/>
          <w:color w:val="auto"/>
        </w:rPr>
        <w:t xml:space="preserve"> </w:t>
      </w:r>
      <w:r>
        <w:rPr>
          <w:rFonts w:ascii="Arial" w:cs="Arial" w:eastAsia="Arial" w:hAnsi="Arial"/>
          <w:sz w:val="17"/>
          <w:szCs w:val="17"/>
          <w:i w:val="1"/>
          <w:iCs w:val="1"/>
          <w:color w:val="auto"/>
        </w:rPr>
        <w:t>Portfolio Company Investments.</w:t>
      </w:r>
      <w:r>
        <w:rPr>
          <w:rFonts w:ascii="Arial" w:cs="Arial" w:eastAsia="Arial" w:hAnsi="Arial"/>
          <w:sz w:val="17"/>
          <w:szCs w:val="17"/>
          <w:color w:val="auto"/>
        </w:rPr>
        <w:t>”</w:t>
      </w:r>
    </w:p>
    <w:p>
      <w:pPr>
        <w:spacing w:after="0" w:line="180"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On July 21, 2010, the Wall Street Reform and Consumer Protection Act, or the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79"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The U.S. capital markets experienced extreme volatility and disruption in recent years, leading to recessionary conditions and depressed levels of consumer and commercial spending. For instance, the referendum by British voters to exit the European Union (“Brexit”) in June 2016 has led to disruption and instability in the global markets.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92" w:lineRule="exact"/>
        <w:rPr>
          <w:sz w:val="20"/>
          <w:szCs w:val="20"/>
          <w:color w:val="auto"/>
        </w:rPr>
      </w:pPr>
    </w:p>
    <w:p>
      <w:pPr>
        <w:ind w:right="220" w:firstLine="259"/>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80" w:lineRule="exact"/>
        <w:rPr>
          <w:sz w:val="20"/>
          <w:szCs w:val="20"/>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Due to federal budget deficit concerns, S&amp;P downgraded the federal government’s credit rating from AAA to AA+ for the first time in history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August 5, 2011. Further, Moody’s and Fitch warned that they may downgrade the federal government’s credit rating. Further downgrades or warnings by S&amp;P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other rating agencies, and the government’s credit and deficit concerns in general, could cause interest rates and borrowing costs to rise, which may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negatively impact both the perception of credit risk associated with our debt portfolio and our ability to access the debt markets on favorable terms.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 a decreased credit rating could create broader financial turmoil and uncertainty, which may weigh heavily on our financial performance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value of our common stock. Also, to the extent uncertainty regarding any economic recovery in Europe and Brexit continue to negatively impact consumer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confidence and consumer credit factors, our business and results of operations could be significantly and adversely affected.</w:t>
      </w:r>
    </w:p>
    <w:p>
      <w:pPr>
        <w:spacing w:after="0" w:line="211"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in December 2015, the Federal Reserve raised the target range for the federal funds rate by 0.25% and, in December 2016, the Federal Reserve further raised the target range by an additional 0.25%. If key economic indicators, such as the unemployment rate or inflation, continue to show signs of improvement, the target range for the federal funds rate may further increase and cause interest rates and borrowing costs to rise, which may negatively impact our ability to access the debt markets on favorable terms.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investments in energy companies.</w:t>
      </w:r>
    </w:p>
    <w:p>
      <w:pPr>
        <w:spacing w:after="0" w:line="117" w:lineRule="exact"/>
        <w:rPr>
          <w:sz w:val="20"/>
          <w:szCs w:val="20"/>
          <w:color w:val="auto"/>
        </w:rPr>
      </w:pPr>
    </w:p>
    <w:p>
      <w:pPr>
        <w:ind w:right="40" w:firstLine="259"/>
        <w:spacing w:after="0" w:line="288" w:lineRule="auto"/>
        <w:rPr>
          <w:sz w:val="20"/>
          <w:szCs w:val="20"/>
          <w:color w:val="auto"/>
        </w:rPr>
      </w:pPr>
      <w:r>
        <w:rPr>
          <w:rFonts w:ascii="Arial" w:cs="Arial" w:eastAsia="Arial" w:hAnsi="Arial"/>
          <w:sz w:val="16"/>
          <w:szCs w:val="16"/>
          <w:color w:val="auto"/>
        </w:rPr>
        <w:t>As of December 31, 2016, our investments in portfolio companies that operate in the oil, gas and consumable fuels industry represent 2.7% of our total portfolio. The energy industry has been in a period of disruption and volatility that has been characterized by decreases in oil and gas prices and production levels. This disruption and volatility has led to, and future disruptions and volatility may lead to, decreases in the credit quality and performance of certain of our debt and equity investments in energy companies, which could, in turn, negatively impact the fair value of our investments in energy companies. Any prolonged decline in oil and gas prices or production levels could adversely impact the ability of our portfolio companies in the energy industry to satisfy financial or operating covenants that may be imposed by us and other lenders or to make payments to us as and when due, which could have a material adverse effect on our business, financial condition and results of operations. In addition, energy companies are subject to supply and demand fluctuations in the markets in which they operate, which are impacted by numerous factors, including weather, use of renewable fuel sources, natural disasters, governmental regulation and general economic conditions, in addition to the effects of increasing regulation and general operational risks, any of which could have a material adverse effect on the performance and value of our energy-related investments as well as our cash flows from such investments.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firstLine="259"/>
        <w:spacing w:after="0" w:line="253" w:lineRule="auto"/>
        <w:rPr>
          <w:sz w:val="20"/>
          <w:szCs w:val="20"/>
          <w:color w:val="auto"/>
        </w:rPr>
      </w:pPr>
      <w:r>
        <w:rPr>
          <w:rFonts w:ascii="Arial" w:cs="Arial" w:eastAsia="Arial" w:hAnsi="Arial"/>
          <w:sz w:val="18"/>
          <w:szCs w:val="18"/>
          <w:i w:val="1"/>
          <w:iCs w:val="1"/>
          <w:color w:val="auto"/>
        </w:rPr>
        <w:t>First-Lien Debt</w:t>
      </w:r>
      <w:r>
        <w:rPr>
          <w:rFonts w:ascii="Arial" w:cs="Arial" w:eastAsia="Arial" w:hAnsi="Arial"/>
          <w:sz w:val="18"/>
          <w:szCs w:val="18"/>
          <w:color w:val="auto"/>
        </w:rPr>
        <w:t>. When we make a first-lien loan, we generally take a security interest in the available assets of the portfolio company, including the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ind w:right="140" w:firstLine="259"/>
        <w:spacing w:after="0" w:line="264" w:lineRule="auto"/>
        <w:rPr>
          <w:sz w:val="20"/>
          <w:szCs w:val="20"/>
          <w:color w:val="auto"/>
        </w:rPr>
      </w:pPr>
      <w:r>
        <w:rPr>
          <w:rFonts w:ascii="Arial" w:cs="Arial" w:eastAsia="Arial" w:hAnsi="Arial"/>
          <w:sz w:val="18"/>
          <w:szCs w:val="18"/>
          <w:i w:val="1"/>
          <w:iCs w:val="1"/>
          <w:color w:val="auto"/>
        </w:rPr>
        <w:t>Second-Lien and Mezzanine Debt</w:t>
      </w:r>
      <w:r>
        <w:rPr>
          <w:rFonts w:ascii="Arial" w:cs="Arial" w:eastAsia="Arial" w:hAnsi="Arial"/>
          <w:sz w:val="18"/>
          <w:szCs w:val="18"/>
          <w:color w:val="auto"/>
        </w:rPr>
        <w:t>. 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i w:val="1"/>
          <w:iCs w:val="1"/>
          <w:color w:val="auto"/>
        </w:rPr>
        <w:t xml:space="preserve">Equity and Other Investments. </w:t>
      </w:r>
      <w:r>
        <w:rPr>
          <w:rFonts w:ascii="Arial" w:cs="Arial" w:eastAsia="Arial" w:hAnsi="Arial"/>
          <w:sz w:val="18"/>
          <w:szCs w:val="18"/>
          <w:color w:val="auto"/>
        </w:rPr>
        <w:t>When we invest in first-lien debt, second-lien debt or mezzanine debt, we may acquire equity securities, such as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117" w:lineRule="exact"/>
        <w:rPr>
          <w:sz w:val="20"/>
          <w:szCs w:val="20"/>
          <w:color w:val="auto"/>
        </w:rPr>
      </w:pPr>
    </w:p>
    <w:p>
      <w:pPr>
        <w:ind w:left="780" w:right="180" w:hanging="259"/>
        <w:spacing w:after="0" w:line="264"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73" w:lineRule="exact"/>
        <w:rPr>
          <w:rFonts w:ascii="Arial" w:cs="Arial" w:eastAsia="Arial" w:hAnsi="Arial"/>
          <w:sz w:val="18"/>
          <w:szCs w:val="18"/>
          <w:color w:val="auto"/>
        </w:rPr>
      </w:pPr>
    </w:p>
    <w:p>
      <w:pPr>
        <w:ind w:left="780" w:right="140" w:hanging="259"/>
        <w:spacing w:after="0" w:line="277"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62" w:lineRule="exact"/>
        <w:rPr>
          <w:rFonts w:ascii="Arial" w:cs="Arial" w:eastAsia="Arial" w:hAnsi="Arial"/>
          <w:sz w:val="18"/>
          <w:szCs w:val="18"/>
          <w:color w:val="auto"/>
        </w:rPr>
      </w:pPr>
    </w:p>
    <w:p>
      <w:pPr>
        <w:ind w:left="780" w:hanging="259"/>
        <w:spacing w:after="0" w:line="264"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17" w:lineRule="exact"/>
        <w:rPr>
          <w:sz w:val="20"/>
          <w:szCs w:val="20"/>
          <w:color w:val="auto"/>
        </w:rPr>
      </w:pPr>
    </w:p>
    <w:p>
      <w:pPr>
        <w:ind w:left="780" w:right="60" w:hanging="259"/>
        <w:spacing w:after="0" w:line="264"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73" w:lineRule="exact"/>
        <w:rPr>
          <w:rFonts w:ascii="Arial" w:cs="Arial" w:eastAsia="Arial" w:hAnsi="Arial"/>
          <w:sz w:val="18"/>
          <w:szCs w:val="18"/>
          <w:color w:val="auto"/>
        </w:rPr>
      </w:pPr>
    </w:p>
    <w:p>
      <w:pPr>
        <w:ind w:left="780" w:right="340" w:hanging="259"/>
        <w:spacing w:after="0" w:line="342"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15" w:lineRule="exact"/>
        <w:rPr>
          <w:rFonts w:ascii="Arial" w:cs="Arial" w:eastAsia="Arial" w:hAnsi="Arial"/>
          <w:sz w:val="16"/>
          <w:szCs w:val="16"/>
          <w:color w:val="auto"/>
        </w:rPr>
      </w:pPr>
    </w:p>
    <w:p>
      <w:pPr>
        <w:ind w:left="780" w:right="40" w:hanging="259"/>
        <w:spacing w:after="0" w:line="264"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3" w:lineRule="exact"/>
        <w:rPr>
          <w:rFonts w:ascii="Arial" w:cs="Arial" w:eastAsia="Arial" w:hAnsi="Arial"/>
          <w:sz w:val="18"/>
          <w:szCs w:val="18"/>
          <w:color w:val="auto"/>
        </w:rPr>
      </w:pPr>
    </w:p>
    <w:p>
      <w:pPr>
        <w:ind w:left="780" w:right="140" w:hanging="259"/>
        <w:spacing w:after="0" w:line="264"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73" w:lineRule="exact"/>
        <w:rPr>
          <w:rFonts w:ascii="Arial" w:cs="Arial" w:eastAsia="Arial" w:hAnsi="Arial"/>
          <w:sz w:val="18"/>
          <w:szCs w:val="18"/>
          <w:color w:val="auto"/>
        </w:rPr>
      </w:pPr>
    </w:p>
    <w:p>
      <w:pPr>
        <w:ind w:left="780" w:right="20" w:hanging="259"/>
        <w:spacing w:after="0" w:line="277"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62" w:lineRule="exact"/>
        <w:rPr>
          <w:rFonts w:ascii="Arial" w:cs="Arial" w:eastAsia="Arial" w:hAnsi="Arial"/>
          <w:sz w:val="18"/>
          <w:szCs w:val="18"/>
          <w:color w:val="auto"/>
        </w:rPr>
      </w:pPr>
    </w:p>
    <w:p>
      <w:pPr>
        <w:ind w:left="780" w:right="640" w:hanging="259"/>
        <w:spacing w:after="0" w:line="277"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62" w:lineRule="exact"/>
        <w:rPr>
          <w:rFonts w:ascii="Arial" w:cs="Arial" w:eastAsia="Arial" w:hAnsi="Arial"/>
          <w:sz w:val="18"/>
          <w:szCs w:val="18"/>
          <w:color w:val="auto"/>
        </w:rPr>
      </w:pPr>
    </w:p>
    <w:p>
      <w:pPr>
        <w:ind w:left="780" w:right="20" w:hanging="259"/>
        <w:spacing w:after="0" w:line="342"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15" w:lineRule="exact"/>
        <w:rPr>
          <w:rFonts w:ascii="Arial" w:cs="Arial" w:eastAsia="Arial" w:hAnsi="Arial"/>
          <w:sz w:val="16"/>
          <w:szCs w:val="16"/>
          <w:color w:val="auto"/>
        </w:rPr>
      </w:pPr>
    </w:p>
    <w:p>
      <w:pPr>
        <w:ind w:left="780" w:right="200" w:hanging="259"/>
        <w:spacing w:after="0" w:line="277"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9" w:name="page40"/>
    <w:bookmarkEnd w:id="39"/>
    <w:p>
      <w:pPr>
        <w:spacing w:after="0" w:line="302" w:lineRule="auto"/>
        <w:rPr>
          <w:sz w:val="20"/>
          <w:szCs w:val="20"/>
          <w:color w:val="auto"/>
        </w:rPr>
      </w:pPr>
      <w:r>
        <w:rPr>
          <w:rFonts w:ascii="Arial" w:cs="Arial" w:eastAsia="Arial" w:hAnsi="Arial"/>
          <w:sz w:val="16"/>
          <w:szCs w:val="16"/>
          <w:color w:val="auto"/>
        </w:rPr>
        <w:t>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54" w:lineRule="exact"/>
        <w:rPr>
          <w:sz w:val="20"/>
          <w:szCs w:val="20"/>
          <w:color w:val="auto"/>
        </w:rPr>
      </w:pPr>
    </w:p>
    <w:p>
      <w:pPr>
        <w:ind w:right="180" w:firstLine="259"/>
        <w:spacing w:after="0" w:line="254"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jc w:val="both"/>
        <w:ind w:right="80" w:firstLine="259"/>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jc w:val="both"/>
        <w:ind w:right="200" w:firstLine="259"/>
        <w:spacing w:after="0" w:line="276" w:lineRule="auto"/>
        <w:rPr>
          <w:sz w:val="20"/>
          <w:szCs w:val="20"/>
          <w:color w:val="auto"/>
        </w:rPr>
      </w:pPr>
      <w:r>
        <w:rPr>
          <w:rFonts w:ascii="Arial" w:cs="Arial" w:eastAsia="Arial" w:hAnsi="Arial"/>
          <w:sz w:val="17"/>
          <w:szCs w:val="17"/>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40" w:firstLine="259"/>
        <w:spacing w:after="0" w:line="312"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47" w:lineRule="exact"/>
        <w:rPr>
          <w:sz w:val="20"/>
          <w:szCs w:val="20"/>
          <w:color w:val="auto"/>
        </w:rPr>
      </w:pPr>
    </w:p>
    <w:p>
      <w:pPr>
        <w:ind w:right="100" w:firstLine="259"/>
        <w:spacing w:after="0" w:line="291" w:lineRule="auto"/>
        <w:rPr>
          <w:sz w:val="20"/>
          <w:szCs w:val="20"/>
          <w:color w:val="auto"/>
        </w:rPr>
      </w:pPr>
      <w:r>
        <w:rPr>
          <w:rFonts w:ascii="Arial" w:cs="Arial" w:eastAsia="Arial" w:hAnsi="Arial"/>
          <w:sz w:val="16"/>
          <w:szCs w:val="16"/>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right="120"/>
        <w:spacing w:after="0" w:line="277" w:lineRule="auto"/>
        <w:rPr>
          <w:sz w:val="20"/>
          <w:szCs w:val="20"/>
          <w:color w:val="auto"/>
        </w:rPr>
      </w:pPr>
      <w:r>
        <w:rPr>
          <w:rFonts w:ascii="Arial" w:cs="Arial" w:eastAsia="Arial" w:hAnsi="Arial"/>
          <w:sz w:val="18"/>
          <w:szCs w:val="18"/>
          <w:color w:val="auto"/>
        </w:rPr>
        <w:t>other assets in, and the distribution of cash out of, a CLO or other securitization vehicle, or cash flow may be completely restricted for the life of the CLO or other securitization vehicle.</w:t>
      </w:r>
    </w:p>
    <w:p>
      <w:pPr>
        <w:spacing w:after="0" w:line="170"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58" w:lineRule="exact"/>
        <w:rPr>
          <w:sz w:val="20"/>
          <w:szCs w:val="20"/>
          <w:color w:val="auto"/>
        </w:rPr>
      </w:pPr>
    </w:p>
    <w:p>
      <w:pPr>
        <w:ind w:right="80" w:firstLine="259"/>
        <w:spacing w:after="0" w:line="308" w:lineRule="auto"/>
        <w:rPr>
          <w:sz w:val="20"/>
          <w:szCs w:val="20"/>
          <w:color w:val="auto"/>
        </w:rPr>
      </w:pPr>
      <w:r>
        <w:rPr>
          <w:rFonts w:ascii="Arial" w:cs="Arial" w:eastAsia="Arial" w:hAnsi="Arial"/>
          <w:sz w:val="17"/>
          <w:szCs w:val="17"/>
          <w:color w:val="auto"/>
        </w:rPr>
        <w:t>A CLO or other securitization vehicle, if created, also would likely be consolidated in our financial statements and consequently affect our asset coverage ratio, which may limit our ability to incur additional leverage. See “</w:t>
      </w:r>
      <w:r>
        <w:rPr>
          <w:rFonts w:ascii="Arial" w:cs="Arial" w:eastAsia="Arial" w:hAnsi="Arial"/>
          <w:sz w:val="17"/>
          <w:szCs w:val="17"/>
          <w:i w:val="1"/>
          <w:iCs w:val="1"/>
          <w:color w:val="auto"/>
        </w:rPr>
        <w:t>ITEM 1. BUSINESS – Regulation as a Business Development Company.”</w:t>
      </w:r>
    </w:p>
    <w:p>
      <w:pPr>
        <w:spacing w:after="0" w:line="25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6"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right="40" w:firstLine="259"/>
        <w:spacing w:after="0" w:line="297"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58"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Arial" w:cs="Arial" w:eastAsia="Arial" w:hAnsi="Arial"/>
          <w:sz w:val="16"/>
          <w:szCs w:val="16"/>
          <w:i w:val="1"/>
          <w:iCs w:val="1"/>
          <w:color w:val="auto"/>
        </w:rPr>
        <w:t>—Risks Related to Economic Conditions—</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Uncertainty about financial stability could have a significant adverse effect on our business, results of operations and financial condition.</w:t>
      </w:r>
      <w:r>
        <w:rPr>
          <w:rFonts w:ascii="Arial" w:cs="Arial" w:eastAsia="Arial" w:hAnsi="Arial"/>
          <w:sz w:val="16"/>
          <w:szCs w:val="16"/>
          <w:color w:val="auto"/>
        </w:rPr>
        <w:t>”</w:t>
      </w:r>
    </w:p>
    <w:p>
      <w:pPr>
        <w:spacing w:after="0" w:line="167"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Arial" w:cs="Arial" w:eastAsia="Arial" w:hAnsi="Arial"/>
          <w:sz w:val="18"/>
          <w:szCs w:val="18"/>
          <w:i w:val="1"/>
          <w:iCs w:val="1"/>
          <w:color w:val="auto"/>
        </w:rPr>
        <w:t>—Risks Related to Our Portfolio Company Investments—We expose ourselves to</w:t>
      </w:r>
      <w:r>
        <w:rPr>
          <w:rFonts w:ascii="Arial" w:cs="Arial" w:eastAsia="Arial" w:hAnsi="Arial"/>
          <w:sz w:val="18"/>
          <w:szCs w:val="18"/>
          <w:color w:val="auto"/>
        </w:rPr>
        <w:t xml:space="preserve"> </w:t>
      </w:r>
      <w:r>
        <w:rPr>
          <w:rFonts w:ascii="Arial" w:cs="Arial" w:eastAsia="Arial" w:hAnsi="Arial"/>
          <w:sz w:val="18"/>
          <w:szCs w:val="18"/>
          <w:i w:val="1"/>
          <w:iCs w:val="1"/>
          <w:color w:val="auto"/>
        </w:rPr>
        <w:t>risks when we engage in hedging transactions.</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ind w:firstLine="259"/>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2"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260" w:firstLine="259"/>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71"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100" w:firstLine="259"/>
        <w:spacing w:after="0" w:line="312"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to:</w:t>
      </w:r>
    </w:p>
    <w:p>
      <w:pPr>
        <w:spacing w:after="0" w:line="129" w:lineRule="exact"/>
        <w:rPr>
          <w:sz w:val="20"/>
          <w:szCs w:val="20"/>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160" w:firstLine="259"/>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TSSP, TPG and its other affiliates or a fund managed by TSSP,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54"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with affiliates of TSSP and TPG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order or in the limited circumstances otherwise currently permitted by regulatory guidance.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or strategic investments that we pursue are subject to risks and uncertainties.</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8" w:lineRule="exact"/>
        <w:rPr>
          <w:sz w:val="20"/>
          <w:szCs w:val="20"/>
          <w:color w:val="auto"/>
        </w:rPr>
      </w:pPr>
    </w:p>
    <w:p>
      <w:pPr>
        <w:ind w:right="100" w:firstLine="259"/>
        <w:spacing w:after="0" w:line="297" w:lineRule="auto"/>
        <w:rPr>
          <w:sz w:val="20"/>
          <w:szCs w:val="20"/>
          <w:color w:val="auto"/>
        </w:rPr>
      </w:pPr>
      <w:r>
        <w:rPr>
          <w:rFonts w:ascii="Arial" w:cs="Arial" w:eastAsia="Arial" w:hAnsi="Arial"/>
          <w:sz w:val="16"/>
          <w:szCs w:val="16"/>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portfolio, could result in substantial expenses and the diversion of our Adviser’s time, attention and resources from our day-to-day operations.</w:t>
      </w:r>
    </w:p>
    <w:p>
      <w:pPr>
        <w:spacing w:after="0" w:line="225"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9"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right="120" w:firstLine="259"/>
        <w:spacing w:after="0" w:line="291" w:lineRule="auto"/>
        <w:rPr>
          <w:sz w:val="20"/>
          <w:szCs w:val="20"/>
          <w:color w:val="auto"/>
        </w:rPr>
      </w:pPr>
      <w:r>
        <w:rPr>
          <w:rFonts w:ascii="Arial" w:cs="Arial" w:eastAsia="Arial" w:hAnsi="Arial"/>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could also have negative impacts on both the U.K. economy and the economies of other countries in Europe. In addition, interest income derived from loans to foreign companies is not eligible to be distributed to our non-U.S. stockholders free from withholding taxes.</w:t>
      </w:r>
    </w:p>
    <w:p>
      <w:pPr>
        <w:spacing w:after="0" w:line="167"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259"/>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73"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73"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120"/>
        <w:spacing w:after="0" w:line="255" w:lineRule="auto"/>
        <w:rPr>
          <w:sz w:val="20"/>
          <w:szCs w:val="20"/>
          <w:color w:val="auto"/>
        </w:rPr>
      </w:pPr>
      <w:r>
        <w:rPr>
          <w:rFonts w:ascii="Arial" w:cs="Arial" w:eastAsia="Arial" w:hAnsi="Arial"/>
          <w:sz w:val="18"/>
          <w:szCs w:val="18"/>
          <w:color w:val="auto"/>
        </w:rPr>
        <w:t>companies. In addition, in connection with the offering of our 2019 Convertible Senior Notes, which bear interest at a fixed rate,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93"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t>
      </w:r>
      <w:r>
        <w:rPr>
          <w:rFonts w:ascii="Arial" w:cs="Arial" w:eastAsia="Arial" w:hAnsi="Arial"/>
          <w:sz w:val="17"/>
          <w:szCs w:val="17"/>
          <w:i w:val="1"/>
          <w:iCs w:val="1"/>
          <w:color w:val="auto"/>
        </w:rPr>
        <w:t>—Risks Related to Our Portfolio Company Investments—We are exposed to risks</w:t>
      </w:r>
      <w:r>
        <w:rPr>
          <w:rFonts w:ascii="Arial" w:cs="Arial" w:eastAsia="Arial" w:hAnsi="Arial"/>
          <w:sz w:val="17"/>
          <w:szCs w:val="17"/>
          <w:color w:val="auto"/>
        </w:rPr>
        <w:t xml:space="preserve"> </w:t>
      </w:r>
      <w:r>
        <w:rPr>
          <w:rFonts w:ascii="Arial" w:cs="Arial" w:eastAsia="Arial" w:hAnsi="Arial"/>
          <w:sz w:val="17"/>
          <w:szCs w:val="17"/>
          <w:i w:val="1"/>
          <w:iCs w:val="1"/>
          <w:color w:val="auto"/>
        </w:rPr>
        <w:t>associated with changes in interest rates</w:t>
      </w:r>
      <w:r>
        <w:rPr>
          <w:rFonts w:ascii="Arial" w:cs="Arial" w:eastAsia="Arial" w:hAnsi="Arial"/>
          <w:sz w:val="17"/>
          <w:szCs w:val="17"/>
          <w:color w:val="auto"/>
        </w:rPr>
        <w:t>” and “</w:t>
      </w:r>
      <w:r>
        <w:rPr>
          <w:rFonts w:ascii="Arial" w:cs="Arial" w:eastAsia="Arial" w:hAnsi="Arial"/>
          <w:sz w:val="17"/>
          <w:szCs w:val="17"/>
          <w:i w:val="1"/>
          <w:iCs w:val="1"/>
          <w:color w:val="auto"/>
        </w:rPr>
        <w:t>ITEM 7. MANAGEMENT’S DISCUSSION AND ANALYSIS OF FINANCIAL CONDITION AND RESULTS OF OPERATIONS—Results of Operations—Hedging</w:t>
      </w:r>
      <w:r>
        <w:rPr>
          <w:rFonts w:ascii="Arial" w:cs="Arial" w:eastAsia="Arial" w:hAnsi="Arial"/>
          <w:sz w:val="17"/>
          <w:szCs w:val="17"/>
          <w:color w:val="auto"/>
        </w:rPr>
        <w:t>.”</w:t>
      </w:r>
    </w:p>
    <w:p>
      <w:pPr>
        <w:spacing w:after="0" w:line="178"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our 2019 Convertible Senior Notes and 2022 Convertible Senior Notes, require us to post collateral. Any failure by us to fulfill any collateral requirement (e.g., a so-called “margin call”) may result in a default and could have a material adverse impact on our business, financial condition and results of operations. U.S. regulators have adopted rules imposing margin requirements for derivatives executed with registered swap dealers that are not cleared. These new requirements could significantly increase the cost of using non-cleared swaps to hedge our interest rate and foreign exchange risk.</w:t>
      </w:r>
    </w:p>
    <w:p>
      <w:pPr>
        <w:spacing w:after="0" w:line="189" w:lineRule="exact"/>
        <w:rPr>
          <w:sz w:val="20"/>
          <w:szCs w:val="20"/>
          <w:color w:val="auto"/>
        </w:rPr>
      </w:pPr>
    </w:p>
    <w:p>
      <w:pPr>
        <w:ind w:right="100" w:firstLine="259"/>
        <w:spacing w:after="0" w:line="272" w:lineRule="auto"/>
        <w:rPr>
          <w:sz w:val="20"/>
          <w:szCs w:val="20"/>
          <w:color w:val="auto"/>
        </w:rPr>
      </w:pPr>
      <w:r>
        <w:rPr>
          <w:rFonts w:ascii="Arial" w:cs="Arial" w:eastAsia="Arial" w:hAnsi="Arial"/>
          <w:sz w:val="17"/>
          <w:szCs w:val="17"/>
          <w:color w:val="auto"/>
        </w:rPr>
        <w:t>Finally, the SEC has issued a proposed rule, Rule 18f-4, that if adopted would potentially constrain our ability to use swaps and other derivatives. Among other requirements, the proposed rule could potentially force us to reduce our use of leverage if our aggregate exposure to swap or derivative positions, together with outstanding leverage and any financial commitments to our portfolio companies, exceeds 150 percent of our net asset value, absent an assessment that our use of derivatives reduces our actual portfolio risk. In addition, we may be required under the proposed rule to carry sufficient cash and cash equivalents to meet our actual, and in some cases, expected future, obligations under any swaps or derivatives we currently have in place, which could cause the returns on our overall portfolio to be lower as a result. We cannot assure you when or if the proposed rule will be adopted by the SEC, and if adopted, whether the final rule will similarly constrain our ability to utilize swaps and derivatives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Our Adviser has been granted relief under a no-action letter, known as Letter 12-40, issued by the staff of the Commodity Futures Trading Commission,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CFTC. Letter 12-40 relieves our Adviser from registering with the CFTC as the commodity pool operator, or CPO, of us, so long as we:</w:t>
      </w:r>
    </w:p>
    <w:p>
      <w:pPr>
        <w:spacing w:after="0" w:line="103" w:lineRule="exact"/>
        <w:rPr>
          <w:sz w:val="20"/>
          <w:szCs w:val="20"/>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4.13(a)(3), which is not available for advisers of companies whose stock is marketed to the public.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spacing w:after="0" w:line="255" w:lineRule="auto"/>
        <w:rPr>
          <w:sz w:val="20"/>
          <w:szCs w:val="20"/>
          <w:color w:val="auto"/>
        </w:rPr>
      </w:pPr>
      <w:r>
        <w:rPr>
          <w:rFonts w:ascii="Arial" w:cs="Arial" w:eastAsia="Arial" w:hAnsi="Arial"/>
          <w:sz w:val="18"/>
          <w:szCs w:val="18"/>
          <w:color w:val="auto"/>
        </w:rPr>
        <w:t>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Arial" w:cs="Arial" w:eastAsia="Arial" w:hAnsi="Arial"/>
          <w:sz w:val="18"/>
          <w:szCs w:val="18"/>
          <w:i w:val="1"/>
          <w:iCs w:val="1"/>
          <w:color w:val="auto"/>
        </w:rPr>
        <w:t>ITEM 1. BUSINESS—Regulation as a Business Development Company</w:t>
      </w:r>
      <w:r>
        <w:rPr>
          <w:rFonts w:ascii="Arial" w:cs="Arial" w:eastAsia="Arial" w:hAnsi="Arial"/>
          <w:sz w:val="18"/>
          <w:szCs w:val="18"/>
          <w:color w:val="auto"/>
        </w:rPr>
        <w:t>—</w:t>
      </w:r>
      <w:r>
        <w:rPr>
          <w:rFonts w:ascii="Arial" w:cs="Arial" w:eastAsia="Arial" w:hAnsi="Arial"/>
          <w:sz w:val="18"/>
          <w:szCs w:val="18"/>
          <w:i w:val="1"/>
          <w:iCs w:val="1"/>
          <w:color w:val="auto"/>
        </w:rPr>
        <w:t>Regulated Investment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Classification</w:t>
      </w:r>
      <w:r>
        <w:rPr>
          <w:rFonts w:ascii="Arial" w:cs="Arial" w:eastAsia="Arial" w:hAnsi="Arial"/>
          <w:sz w:val="18"/>
          <w:szCs w:val="18"/>
          <w:color w:val="auto"/>
        </w:rPr>
        <w:t>” for more information.</w:t>
      </w:r>
    </w:p>
    <w:p>
      <w:pPr>
        <w:spacing w:after="0" w:line="29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interest.</w:t>
      </w:r>
    </w:p>
    <w:p>
      <w:pPr>
        <w:spacing w:after="0" w:line="117"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81"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81" w:lineRule="exact"/>
        <w:rPr>
          <w:sz w:val="20"/>
          <w:szCs w:val="20"/>
          <w:color w:val="auto"/>
        </w:rPr>
      </w:pPr>
    </w:p>
    <w:p>
      <w:pPr>
        <w:ind w:right="260" w:firstLine="259"/>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47"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147" w:lineRule="exact"/>
        <w:rPr>
          <w:sz w:val="20"/>
          <w:szCs w:val="20"/>
          <w:color w:val="auto"/>
        </w:rPr>
      </w:pPr>
    </w:p>
    <w:p>
      <w:pPr>
        <w:ind w:right="60" w:firstLine="259"/>
        <w:spacing w:after="0" w:line="342" w:lineRule="auto"/>
        <w:rPr>
          <w:sz w:val="20"/>
          <w:szCs w:val="20"/>
          <w:color w:val="auto"/>
        </w:rPr>
      </w:pPr>
      <w:r>
        <w:rPr>
          <w:rFonts w:ascii="Arial" w:cs="Arial" w:eastAsia="Arial" w:hAnsi="Arial"/>
          <w:sz w:val="16"/>
          <w:szCs w:val="16"/>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distributions.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ind w:right="620"/>
        <w:spacing w:after="0" w:line="342" w:lineRule="auto"/>
        <w:rPr>
          <w:sz w:val="20"/>
          <w:szCs w:val="20"/>
          <w:color w:val="auto"/>
        </w:rPr>
      </w:pPr>
      <w:r>
        <w:rPr>
          <w:rFonts w:ascii="Arial" w:cs="Arial" w:eastAsia="Arial" w:hAnsi="Arial"/>
          <w:sz w:val="16"/>
          <w:szCs w:val="16"/>
          <w:color w:val="auto"/>
        </w:rPr>
        <w:t>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24"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Arial" w:cs="Arial" w:eastAsia="Arial" w:hAnsi="Arial"/>
          <w:sz w:val="18"/>
          <w:szCs w:val="18"/>
          <w:i w:val="1"/>
          <w:iCs w:val="1"/>
          <w:color w:val="auto"/>
        </w:rPr>
        <w:t>—Risks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Portfolio Company Investments—There are certain risks associated with holding debt obligations that have original issue discount or PIK interest</w:t>
      </w:r>
      <w:r>
        <w:rPr>
          <w:rFonts w:ascii="Arial" w:cs="Arial" w:eastAsia="Arial" w:hAnsi="Arial"/>
          <w:sz w:val="18"/>
          <w:szCs w:val="18"/>
          <w:color w:val="auto"/>
        </w:rPr>
        <w:t>.”</w:t>
      </w:r>
    </w:p>
    <w:p>
      <w:pPr>
        <w:spacing w:after="0" w:line="188"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73"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2" w:lineRule="exact"/>
        <w:rPr>
          <w:sz w:val="20"/>
          <w:szCs w:val="20"/>
          <w:color w:val="auto"/>
        </w:rPr>
      </w:pPr>
    </w:p>
    <w:p>
      <w:pPr>
        <w:ind w:left="520" w:right="100" w:hanging="255"/>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17" w:lineRule="exact"/>
        <w:rPr>
          <w:rFonts w:ascii="Arial" w:cs="Arial" w:eastAsia="Arial" w:hAnsi="Arial"/>
          <w:sz w:val="18"/>
          <w:szCs w:val="18"/>
          <w:color w:val="auto"/>
        </w:rPr>
      </w:pPr>
    </w:p>
    <w:p>
      <w:pPr>
        <w:ind w:left="520" w:hanging="255"/>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sales of our securities convertible into or exchangeable or exercisable for our common stock or the conversion of such securities;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fluctuations in base interest rates, such as LIBOR, EURIBOR, the Federal Funds Rate or the Prime Rate;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below net asset value.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2019 Convertible Senior Notes and our 2022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stockholders may experience dilution upon the conversion of the 2019 Convertible Senior Notes and the 2022 Convertible Senior Notes.</w:t>
      </w:r>
    </w:p>
    <w:p>
      <w:pPr>
        <w:spacing w:after="0" w:line="129"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Our 2019 Convertible Senior Notes and our 2022 Convertible Senior Notes are convertible into shares of our common stock beginning on June 15, 2019 and February 1, 2022, respectively, or earlier, under certain circumstances. Upon conversion of our 2019 Convertible Senior Notes and 2022 Convertible Senior Notes, we have the choice to pay or deliver, as the case may be, at our election, cash, shares of our common stock or a combination of cash and shares of our common stock. The initial conversion price of the 2019 Convertible Senior Notes is $25.83 per share and the initial conversion price of the 2022 Convertible Senior Notes is $21.34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2019 Convertible Senior Notes and the 2022 Convertible Senior Notes and any dividends paid on our common stock will also be paid on shares issued in connection with such conversion after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right="200"/>
        <w:spacing w:after="0" w:line="277" w:lineRule="auto"/>
        <w:rPr>
          <w:sz w:val="20"/>
          <w:szCs w:val="20"/>
          <w:color w:val="auto"/>
        </w:rPr>
      </w:pPr>
      <w:r>
        <w:rPr>
          <w:rFonts w:ascii="Arial" w:cs="Arial" w:eastAsia="Arial" w:hAnsi="Arial"/>
          <w:sz w:val="18"/>
          <w:szCs w:val="18"/>
          <w:color w:val="auto"/>
        </w:rPr>
        <w:t xml:space="preserve">distribution. See </w:t>
      </w:r>
      <w:r>
        <w:rPr>
          <w:rFonts w:ascii="Arial" w:cs="Arial" w:eastAsia="Arial" w:hAnsi="Arial"/>
          <w:sz w:val="18"/>
          <w:szCs w:val="18"/>
          <w:i w:val="1"/>
          <w:iCs w:val="1"/>
          <w:color w:val="auto"/>
        </w:rPr>
        <w:t>“ITEM 1. BUSINESS—Dividend Policy</w:t>
      </w:r>
      <w:r>
        <w:rPr>
          <w:rFonts w:ascii="Arial" w:cs="Arial" w:eastAsia="Arial" w:hAnsi="Arial"/>
          <w:sz w:val="18"/>
          <w:szCs w:val="18"/>
          <w:color w:val="auto"/>
        </w:rPr>
        <w:t>” and “</w:t>
      </w:r>
      <w:r>
        <w:rPr>
          <w:rFonts w:ascii="Arial" w:cs="Arial" w:eastAsia="Arial" w:hAnsi="Arial"/>
          <w:sz w:val="18"/>
          <w:szCs w:val="18"/>
          <w:i w:val="1"/>
          <w:iCs w:val="1"/>
          <w:color w:val="auto"/>
        </w:rPr>
        <w:t>ITEM 1. BUSINESS—Dividend Reinvestment Plan</w:t>
      </w:r>
      <w:r>
        <w:rPr>
          <w:rFonts w:ascii="Arial" w:cs="Arial" w:eastAsia="Arial" w:hAnsi="Arial"/>
          <w:sz w:val="18"/>
          <w:szCs w:val="18"/>
          <w:color w:val="auto"/>
        </w:rPr>
        <w:t>” for a description of our dividend policy and obligations.</w:t>
      </w:r>
    </w:p>
    <w:p>
      <w:pPr>
        <w:spacing w:after="0" w:line="170"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have entered into an agreement with Goldman, Sachs &amp; Co., which we refer to as the Company 10b5-1 Plan, in accordance with Rules 10b5-1 and 10b-18 under the Exchange Act, under which Goldman, Sachs &amp; Co, as agent for us, will buy up to $50 million of our common stock in the aggregate during the period ending on the earlier of the date on which all the capital committed to the plan has been exhausted or February 28, 2017. On February 22, 2017, our Board of Directors authorized the extension of the termination date of the Company 10b5-1 Plan to August 31, 2017.</w:t>
      </w:r>
    </w:p>
    <w:p>
      <w:pPr>
        <w:spacing w:after="0" w:line="17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w:t>
      </w:r>
    </w:p>
    <w:p>
      <w:pPr>
        <w:spacing w:after="0" w:line="187"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Because purchases under the Company 10b5-1 Plan are made beginning at any price below our most recently reported net asset value per share, if our net asset value per share as of the end of a quarter is lower than the net asset per share as of the end of the prior quarter, purchases under the Company 10b5-1 Plan during the period from the end of a quarter to the time of our earnings release announcing the new net asset value per share for that quarter may result in dilution to our net asset value per share. This dilution would occur because we would repurchase shares under the Company 10b5-1 Plan at a price above the net asset value per share as of the end of the most recent quarter end, which would cause a proportionately smaller increase in our stockholders’ interest in our earnings and assets and their voting interest in us than the decrease in our assets resulting from such repurchase. 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maintain our principal executive office at 301 Commerce Street, Suite 3300, Fort Worth, Texas 76102. We do not own any real estate.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6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Range of Common Stock</w:t>
      </w:r>
    </w:p>
    <w:p>
      <w:pPr>
        <w:spacing w:after="0" w:line="117" w:lineRule="exact"/>
        <w:rPr>
          <w:sz w:val="20"/>
          <w:szCs w:val="20"/>
          <w:color w:val="auto"/>
        </w:rPr>
      </w:pPr>
    </w:p>
    <w:p>
      <w:pPr>
        <w:jc w:val="both"/>
        <w:ind w:right="180" w:firstLine="259"/>
        <w:spacing w:after="0" w:line="286" w:lineRule="auto"/>
        <w:rPr>
          <w:sz w:val="20"/>
          <w:szCs w:val="20"/>
          <w:color w:val="auto"/>
        </w:rPr>
      </w:pPr>
      <w:r>
        <w:rPr>
          <w:rFonts w:ascii="Arial" w:cs="Arial" w:eastAsia="Arial" w:hAnsi="Arial"/>
          <w:sz w:val="17"/>
          <w:szCs w:val="17"/>
          <w:color w:val="auto"/>
        </w:rPr>
        <w:t>Our common stock is traded on the NYSE under the symbol “TSLX.” Our common stock has historically traded at prices both above and below our net asset value per share. It is not possible to predict whether our common stock will trade at, above or below net asset value. See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Risks Related to our Securities—We cannot assure you that the market price of shares of our common stock will not decline</w:t>
      </w:r>
      <w:r>
        <w:rPr>
          <w:rFonts w:ascii="Arial" w:cs="Arial" w:eastAsia="Arial" w:hAnsi="Arial"/>
          <w:sz w:val="17"/>
          <w:szCs w:val="17"/>
          <w:color w:val="auto"/>
        </w:rPr>
        <w:t>.”</w:t>
      </w:r>
    </w:p>
    <w:p>
      <w:pPr>
        <w:spacing w:after="0" w:line="166" w:lineRule="exact"/>
        <w:rPr>
          <w:sz w:val="20"/>
          <w:szCs w:val="20"/>
          <w:color w:val="auto"/>
        </w:rPr>
      </w:pPr>
    </w:p>
    <w:p>
      <w:pPr>
        <w:ind w:right="220" w:firstLine="259"/>
        <w:spacing w:after="0" w:line="279" w:lineRule="auto"/>
        <w:rPr>
          <w:sz w:val="20"/>
          <w:szCs w:val="20"/>
          <w:color w:val="auto"/>
        </w:rPr>
      </w:pPr>
      <w:r>
        <w:rPr>
          <w:rFonts w:ascii="Arial" w:cs="Arial" w:eastAsia="Arial" w:hAnsi="Arial"/>
          <w:sz w:val="17"/>
          <w:szCs w:val="17"/>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for the years ended December 31, 2016 and 2015. On February 21, 2017, the last reported closing sales price of our common stock on the NYSE was $19.43 per share, which represented a premium of approximately 21.8% to the net asset value per share reported by us as of December 31,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High</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Low</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Sales</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 to</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 to</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Net Asset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Price Range</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Net Asset</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Net Asset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237"/>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2016</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14"/>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 xml:space="preserve">Share </w:t>
            </w:r>
            <w:r>
              <w:rPr>
                <w:rFonts w:ascii="Arial" w:cs="Arial" w:eastAsia="Arial" w:hAnsi="Arial"/>
                <w:sz w:val="12"/>
                <w:szCs w:val="12"/>
                <w:b w:val="1"/>
                <w:bCs w:val="1"/>
                <w:color w:val="auto"/>
                <w:w w:val="90"/>
              </w:rPr>
              <w:t>(3)</w:t>
            </w:r>
          </w:p>
        </w:tc>
        <w:tc>
          <w:tcPr>
            <w:tcW w:w="0" w:type="dxa"/>
            <w:vAlign w:val="bottom"/>
          </w:tcPr>
          <w:p>
            <w:pPr>
              <w:spacing w:after="0"/>
              <w:rPr>
                <w:sz w:val="1"/>
                <w:szCs w:val="1"/>
                <w:color w:val="auto"/>
              </w:rPr>
            </w:pPr>
          </w:p>
        </w:tc>
      </w:tr>
      <w:tr>
        <w:trPr>
          <w:trHeight w:val="142"/>
        </w:trPr>
        <w:tc>
          <w:tcPr>
            <w:tcW w:w="33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11.6%</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16.74</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15.97</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18.9%</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19.05</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17.43</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0"/>
              </w:rPr>
              <w:t>Year ended December 31, 2015</w:t>
            </w: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18.8%</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18.35</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15.2%</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17.65</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15.97</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right="200" w:hanging="512"/>
        <w:spacing w:after="0" w:line="291"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520" w:hanging="512"/>
        <w:spacing w:after="0"/>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dividend declared in the relevant quarter.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February 22, 2017, there were approximately 7 holders of record of our common stock (including Cede &amp; Co.).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years ended December 31,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right"/>
              <w:ind w:right="698"/>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Date Declared</w:t>
            </w:r>
          </w:p>
        </w:tc>
        <w:tc>
          <w:tcPr>
            <w:tcW w:w="1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w w:val="93"/>
              </w:rPr>
              <w:t>December 31, 2016</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gridSpan w:val="2"/>
            <w:vMerge w:val="continue"/>
          </w:tcPr>
          <w:p>
            <w:pPr>
              <w:spacing w:after="0"/>
              <w:rPr>
                <w:sz w:val="13"/>
                <w:szCs w:val="13"/>
                <w:color w:val="auto"/>
              </w:rPr>
            </w:pPr>
          </w:p>
        </w:tc>
        <w:tc>
          <w:tcPr>
            <w:tcW w:w="1920" w:type="dxa"/>
            <w:vAlign w:val="bottom"/>
            <w:gridSpan w:val="2"/>
          </w:tcPr>
          <w:p>
            <w:pPr>
              <w:ind w:left="500"/>
              <w:spacing w:after="0" w:line="155" w:lineRule="exact"/>
              <w:rPr>
                <w:sz w:val="20"/>
                <w:szCs w:val="20"/>
                <w:color w:val="auto"/>
              </w:rPr>
            </w:pPr>
            <w:r>
              <w:rPr>
                <w:rFonts w:ascii="Arial" w:cs="Arial" w:eastAsia="Arial" w:hAnsi="Arial"/>
                <w:sz w:val="14"/>
                <w:szCs w:val="14"/>
                <w:b w:val="1"/>
                <w:bCs w:val="1"/>
                <w:color w:val="auto"/>
              </w:rPr>
              <w:t>Record Date</w:t>
            </w:r>
          </w:p>
        </w:tc>
        <w:tc>
          <w:tcPr>
            <w:tcW w:w="1760" w:type="dxa"/>
            <w:vAlign w:val="bottom"/>
          </w:tcPr>
          <w:p>
            <w:pPr>
              <w:jc w:val="right"/>
              <w:ind w:right="378"/>
              <w:spacing w:after="0" w:line="155" w:lineRule="exact"/>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3"/>
                <w:szCs w:val="13"/>
                <w:color w:val="auto"/>
              </w:rPr>
            </w:pPr>
          </w:p>
        </w:tc>
        <w:tc>
          <w:tcPr>
            <w:tcW w:w="12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5"/>
              </w:rPr>
              <w:t>Dividend per Share</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2016</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2016</w:t>
            </w:r>
          </w:p>
        </w:tc>
        <w:tc>
          <w:tcPr>
            <w:tcW w:w="14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29, 2016</w:t>
            </w:r>
          </w:p>
        </w:tc>
        <w:tc>
          <w:tcPr>
            <w:tcW w:w="1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May 4, 2016</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June 30, 2016</w:t>
            </w:r>
          </w:p>
        </w:tc>
        <w:tc>
          <w:tcPr>
            <w:tcW w:w="1760" w:type="dxa"/>
            <w:vAlign w:val="bottom"/>
          </w:tcPr>
          <w:p>
            <w:pPr>
              <w:jc w:val="right"/>
              <w:spacing w:after="0"/>
              <w:rPr>
                <w:sz w:val="20"/>
                <w:szCs w:val="20"/>
                <w:color w:val="auto"/>
              </w:rPr>
            </w:pPr>
            <w:r>
              <w:rPr>
                <w:rFonts w:ascii="Arial" w:cs="Arial" w:eastAsia="Arial" w:hAnsi="Arial"/>
                <w:sz w:val="18"/>
                <w:szCs w:val="18"/>
                <w:color w:val="auto"/>
              </w:rPr>
              <w:t>July 29, 2016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August 3, 2016</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September 30, 2016</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31, 2016</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7, 2016</w:t>
            </w:r>
          </w:p>
        </w:tc>
        <w:tc>
          <w:tcPr>
            <w:tcW w:w="192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December 31, 2016</w:t>
            </w:r>
          </w:p>
        </w:tc>
        <w:tc>
          <w:tcPr>
            <w:tcW w:w="1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January 31, 2017</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7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vMerge w:val="restart"/>
          </w:tcPr>
          <w:p>
            <w:pPr>
              <w:jc w:val="right"/>
              <w:ind w:right="1013"/>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0" w:name="page51"/>
    <w:bookmarkEnd w:id="50"/>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right"/>
              <w:ind w:right="698"/>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w w:val="93"/>
              </w:rPr>
              <w:t>December 31, 2015</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gridSpan w:val="2"/>
            <w:vMerge w:val="continue"/>
          </w:tcPr>
          <w:p>
            <w:pPr>
              <w:spacing w:after="0"/>
              <w:rPr>
                <w:sz w:val="13"/>
                <w:szCs w:val="13"/>
                <w:color w:val="auto"/>
              </w:rPr>
            </w:pPr>
          </w:p>
        </w:tc>
        <w:tc>
          <w:tcPr>
            <w:tcW w:w="1920" w:type="dxa"/>
            <w:vAlign w:val="bottom"/>
            <w:gridSpan w:val="2"/>
          </w:tcPr>
          <w:p>
            <w:pPr>
              <w:ind w:left="500"/>
              <w:spacing w:after="0" w:line="155" w:lineRule="exact"/>
              <w:rPr>
                <w:sz w:val="20"/>
                <w:szCs w:val="20"/>
                <w:color w:val="auto"/>
              </w:rPr>
            </w:pPr>
            <w:r>
              <w:rPr>
                <w:rFonts w:ascii="Arial" w:cs="Arial" w:eastAsia="Arial" w:hAnsi="Arial"/>
                <w:sz w:val="14"/>
                <w:szCs w:val="14"/>
                <w:b w:val="1"/>
                <w:bCs w:val="1"/>
                <w:color w:val="auto"/>
              </w:rPr>
              <w:t>Record Date</w:t>
            </w:r>
          </w:p>
        </w:tc>
        <w:tc>
          <w:tcPr>
            <w:tcW w:w="1760" w:type="dxa"/>
            <w:vAlign w:val="bottom"/>
          </w:tcPr>
          <w:p>
            <w:pPr>
              <w:jc w:val="right"/>
              <w:ind w:right="378"/>
              <w:spacing w:after="0" w:line="155" w:lineRule="exact"/>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3"/>
                <w:szCs w:val="13"/>
                <w:color w:val="auto"/>
              </w:rPr>
            </w:pPr>
          </w:p>
        </w:tc>
        <w:tc>
          <w:tcPr>
            <w:tcW w:w="12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5"/>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2015</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2015</w:t>
            </w:r>
          </w:p>
        </w:tc>
        <w:tc>
          <w:tcPr>
            <w:tcW w:w="14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30, 2015</w:t>
            </w:r>
          </w:p>
        </w:tc>
        <w:tc>
          <w:tcPr>
            <w:tcW w:w="1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May 7, 2015</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June 30, 2015</w:t>
            </w:r>
          </w:p>
        </w:tc>
        <w:tc>
          <w:tcPr>
            <w:tcW w:w="1760" w:type="dxa"/>
            <w:vAlign w:val="bottom"/>
          </w:tcPr>
          <w:p>
            <w:pPr>
              <w:jc w:val="right"/>
              <w:spacing w:after="0"/>
              <w:rPr>
                <w:sz w:val="20"/>
                <w:szCs w:val="20"/>
                <w:color w:val="auto"/>
              </w:rPr>
            </w:pPr>
            <w:r>
              <w:rPr>
                <w:rFonts w:ascii="Arial" w:cs="Arial" w:eastAsia="Arial" w:hAnsi="Arial"/>
                <w:sz w:val="18"/>
                <w:szCs w:val="18"/>
                <w:color w:val="auto"/>
              </w:rPr>
              <w:t>July 31, 2015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August 4, 2015</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September 30, 2015</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30, 2015</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3, 2015</w:t>
            </w:r>
          </w:p>
        </w:tc>
        <w:tc>
          <w:tcPr>
            <w:tcW w:w="192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December 31, 2015</w:t>
            </w:r>
          </w:p>
        </w:tc>
        <w:tc>
          <w:tcPr>
            <w:tcW w:w="1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January 29, 2016</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7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259"/>
        <w:spacing w:after="0" w:line="264" w:lineRule="auto"/>
        <w:rPr>
          <w:sz w:val="20"/>
          <w:szCs w:val="20"/>
          <w:color w:val="auto"/>
        </w:rPr>
      </w:pPr>
      <w:r>
        <w:rPr>
          <w:rFonts w:ascii="Arial" w:cs="Arial" w:eastAsia="Arial" w:hAnsi="Arial"/>
          <w:sz w:val="18"/>
          <w:szCs w:val="18"/>
          <w:color w:val="auto"/>
        </w:rPr>
        <w:t>The dividends declared during the years ended December 31, 2016 and December 31, 2015, were derived from net investment income and net realized capital gains, determined on a tax basis. See “</w:t>
      </w:r>
      <w:r>
        <w:rPr>
          <w:rFonts w:ascii="Arial" w:cs="Arial" w:eastAsia="Arial" w:hAnsi="Arial"/>
          <w:sz w:val="18"/>
          <w:szCs w:val="18"/>
          <w:i w:val="1"/>
          <w:iCs w:val="1"/>
          <w:color w:val="auto"/>
        </w:rPr>
        <w:t>ITEM 1. BUSINESS—Dividend Policy</w:t>
      </w:r>
      <w:r>
        <w:rPr>
          <w:rFonts w:ascii="Arial" w:cs="Arial" w:eastAsia="Arial" w:hAnsi="Arial"/>
          <w:sz w:val="18"/>
          <w:szCs w:val="18"/>
          <w:color w:val="auto"/>
        </w:rPr>
        <w:t>” and “</w:t>
      </w:r>
      <w:r>
        <w:rPr>
          <w:rFonts w:ascii="Arial" w:cs="Arial" w:eastAsia="Arial" w:hAnsi="Arial"/>
          <w:sz w:val="18"/>
          <w:szCs w:val="18"/>
          <w:i w:val="1"/>
          <w:iCs w:val="1"/>
          <w:color w:val="auto"/>
        </w:rPr>
        <w:t>ITEM 1. BUSINESS—Dividend Reinvestment Plan</w:t>
      </w:r>
      <w:r>
        <w:rPr>
          <w:rFonts w:ascii="Arial" w:cs="Arial" w:eastAsia="Arial" w:hAnsi="Arial"/>
          <w:sz w:val="18"/>
          <w:szCs w:val="18"/>
          <w:color w:val="auto"/>
        </w:rPr>
        <w:t>” for a description of our dividend policy and obligations.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Performance Graph</w:t>
      </w:r>
    </w:p>
    <w:p>
      <w:pPr>
        <w:spacing w:after="0" w:line="11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This graph compares the stockholder return on our common stock from March 21, 2014 (the date of our IPO) to December 31, 2016 with that of the Standard &amp; Poor’s BDC Index, the Standard &amp; Poor’s 500 Stock Index, the S&amp;P LSTA Leveraged Loan Index and the S&amp;P U.S. Issued High Yield Corporate Bond Index. This graph assumes that on March 21, 2014, $100 was invested in our common stock, the Standard &amp; Poor’s BDC Index, the Standard &amp; Poor’s 500 Stock Index, the S&amp;P LSTA Leveraged Loan Index and the S&amp;P U.S. Issued High Yield Corporate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114935</wp:posOffset>
            </wp:positionV>
            <wp:extent cx="5771515" cy="3618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71515" cy="361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380" w:firstLine="259"/>
        <w:spacing w:after="0" w:line="264" w:lineRule="auto"/>
        <w:rPr>
          <w:sz w:val="20"/>
          <w:szCs w:val="20"/>
          <w:color w:val="auto"/>
        </w:rPr>
      </w:pPr>
      <w:r>
        <w:rPr>
          <w:rFonts w:ascii="Arial" w:cs="Arial" w:eastAsia="Arial" w:hAnsi="Arial"/>
          <w:sz w:val="18"/>
          <w:szCs w:val="18"/>
          <w:color w:val="auto"/>
        </w:rPr>
        <w:t>The table below sets forth our selected consolidated historical financial data for the periods indicated. The selected consolidated financial data for the years ended December 31, 2016, 2015, 2014, 2013 and 2012 have been derived from our audited consolidated financial statements, which are included elsewhere in this Form 10-K and our SEC filings.</w:t>
      </w:r>
    </w:p>
    <w:p>
      <w:pPr>
        <w:spacing w:after="0" w:line="181"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selected consolidated financial information and other data presented below should be read in conjunction with the information contained in “</w:t>
      </w:r>
      <w:r>
        <w:rPr>
          <w:rFonts w:ascii="Arial" w:cs="Arial" w:eastAsia="Arial" w:hAnsi="Arial"/>
          <w:sz w:val="18"/>
          <w:szCs w:val="18"/>
          <w:i w:val="1"/>
          <w:iCs w:val="1"/>
          <w:color w:val="auto"/>
        </w:rPr>
        <w:t>ITEM 7.</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the audited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the notes thereto included elsewhere in this annual report on Form 10-K.</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 except per share amounts)</w:t>
            </w:r>
          </w:p>
        </w:tc>
        <w:tc>
          <w:tcPr>
            <w:tcW w:w="4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 Income</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163.3</w:t>
            </w: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92.6</w:t>
            </w: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Expenses</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57.7</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Net Investment Income Before Income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Taxes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104.4</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Total Change in Net Unrealized Gain (Loss)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Net Realized Gain (Loss)</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14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2"/>
                <w:szCs w:val="22"/>
                <w:color w:val="auto"/>
                <w:vertAlign w:val="superscript"/>
              </w:rPr>
              <w:t>(1)(2)</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20"/>
                <w:szCs w:val="20"/>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FF0FC"/>
          </w:tcPr>
          <w:p>
            <w:pPr>
              <w:spacing w:after="0"/>
              <w:rPr>
                <w:sz w:val="20"/>
                <w:szCs w:val="20"/>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FF0FC"/>
          </w:tcPr>
          <w:p>
            <w:pPr>
              <w:spacing w:after="0"/>
              <w:rPr>
                <w:sz w:val="20"/>
                <w:szCs w:val="20"/>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20" w:type="dxa"/>
            <w:vAlign w:val="bottom"/>
            <w:vMerge w:val="restart"/>
          </w:tcPr>
          <w:p>
            <w:pPr>
              <w:spacing w:after="0"/>
              <w:rPr>
                <w:sz w:val="20"/>
                <w:szCs w:val="20"/>
                <w:color w:val="auto"/>
              </w:rPr>
            </w:pPr>
            <w:r>
              <w:rPr>
                <w:rFonts w:ascii="Arial" w:cs="Arial" w:eastAsia="Arial" w:hAnsi="Arial"/>
                <w:sz w:val="14"/>
                <w:szCs w:val="14"/>
                <w:color w:val="auto"/>
              </w:rPr>
              <w:t>($ in millions, except per share amounts)</w:t>
            </w:r>
          </w:p>
        </w:tc>
        <w:tc>
          <w:tcPr>
            <w:tcW w:w="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Total assets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1,288.9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1,032.9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Total liabilities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453.5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458.2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net assets</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 xml:space="preserve">Net asset value per share </w:t>
            </w:r>
            <w:r>
              <w:rPr>
                <w:rFonts w:ascii="Arial" w:cs="Arial" w:eastAsia="Arial" w:hAnsi="Arial"/>
                <w:sz w:val="15"/>
                <w:szCs w:val="15"/>
                <w:color w:val="auto"/>
              </w:rPr>
              <w:t>(1)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Data:</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Number of portfolio companies at year end</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Dividends declared per share </w:t>
            </w:r>
            <w:r>
              <w:rPr>
                <w:rFonts w:ascii="Arial" w:cs="Arial" w:eastAsia="Arial" w:hAnsi="Arial"/>
                <w:sz w:val="15"/>
                <w:szCs w:val="15"/>
                <w:color w:val="auto"/>
              </w:rPr>
              <w:t>(1)</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(3)</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5"/>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yield of debt and income</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at fair value </w:t>
            </w:r>
            <w:r>
              <w:rPr>
                <w:rFonts w:ascii="Arial" w:cs="Arial" w:eastAsia="Arial" w:hAnsi="Arial"/>
                <w:sz w:val="15"/>
                <w:szCs w:val="15"/>
                <w:color w:val="auto"/>
              </w:rPr>
              <w:t>(4)</w:t>
            </w: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Weighted average yield of debt and income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 xml:space="preserve">producing securities at amortized cost </w:t>
            </w:r>
            <w:r>
              <w:rPr>
                <w:rFonts w:ascii="Arial" w:cs="Arial" w:eastAsia="Arial" w:hAnsi="Arial"/>
                <w:sz w:val="15"/>
                <w:szCs w:val="15"/>
                <w:color w:val="auto"/>
              </w:rPr>
              <w:t>(4)</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5"/>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debt investments as a percentage of</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principal</w:t>
            </w: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98.5%</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96.7%</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98.2%</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Weighted average fair value of debt investments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as a percentage of call price</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92.1%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200" w:hanging="512"/>
        <w:spacing w:after="0" w:line="258"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consolidated financial statements included in this 10-K.</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9" w:lineRule="exact"/>
        <w:rPr>
          <w:rFonts w:ascii="Arial" w:cs="Arial" w:eastAsia="Arial" w:hAnsi="Arial"/>
          <w:sz w:val="18"/>
          <w:szCs w:val="18"/>
          <w:color w:val="auto"/>
        </w:rPr>
      </w:pPr>
    </w:p>
    <w:p>
      <w:pPr>
        <w:ind w:left="520" w:hanging="512"/>
        <w:spacing w:after="0" w:line="253"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 GAAP requires that total return be calculated as the change in net asset value per share during the period plus declared dividends per share, divided by the beginning net asset value per share. Our total return set forth in the table above for the years ended December 31, 2016, 2015, 2014, 2013 and 2012 reflects the Adviser’s waivers of its right to receive a portion of the Management Fee and Incentive Fees prior to our IPO and separately with respect to our ownership of shares of common stock of TICC Capital Corp. The Management Fee, excluding the effects of the waivers, would have been $24.3 million, $21.3</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2" w:name="page53"/>
    <w:bookmarkEnd w:id="52"/>
    <w:p>
      <w:pPr>
        <w:ind w:left="520" w:right="20"/>
        <w:spacing w:after="0" w:line="256" w:lineRule="auto"/>
        <w:rPr>
          <w:sz w:val="20"/>
          <w:szCs w:val="20"/>
          <w:color w:val="auto"/>
        </w:rPr>
      </w:pPr>
      <w:r>
        <w:rPr>
          <w:rFonts w:ascii="Arial" w:cs="Arial" w:eastAsia="Arial" w:hAnsi="Arial"/>
          <w:sz w:val="18"/>
          <w:szCs w:val="18"/>
          <w:color w:val="auto"/>
        </w:rPr>
        <w:t>million, $18.3 million, $13.4 million, and $8.9 million for the years ended December 31, 2016, 2015, 2014, 2013 and 2012, respectively. The Incentive Fee excluding the effects of the waiver would have been $22.7 million and $20.2 million for the year ended December 31, 2016 and 2015, respectively.</w:t>
      </w:r>
    </w:p>
    <w:p>
      <w:pPr>
        <w:ind w:left="520" w:right="40" w:hanging="512"/>
        <w:spacing w:after="0" w:line="252"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378" w:lineRule="exact"/>
        <w:rPr>
          <w:sz w:val="20"/>
          <w:szCs w:val="20"/>
          <w:color w:val="auto"/>
        </w:rPr>
      </w:pPr>
    </w:p>
    <w:p>
      <w:pPr>
        <w:ind w:right="140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ind w:right="100" w:firstLine="259"/>
        <w:spacing w:after="0" w:line="286" w:lineRule="auto"/>
        <w:rPr>
          <w:sz w:val="20"/>
          <w:szCs w:val="20"/>
          <w:color w:val="auto"/>
        </w:rPr>
      </w:pPr>
      <w:r>
        <w:rPr>
          <w:rFonts w:ascii="Arial" w:cs="Arial" w:eastAsia="Arial" w:hAnsi="Arial"/>
          <w:sz w:val="17"/>
          <w:szCs w:val="17"/>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20" w:hanging="255"/>
        <w:spacing w:after="0" w:line="277"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180" w:firstLine="259"/>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On August 4, 2015, our Board authorized us to enter into a new stock repurchase plan, the Company 10b5-1 Plan, to acquire up to $50 million in the aggregate of our common stock at prices just below our net asset value over a specified period, in accordance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right="140"/>
        <w:spacing w:after="0" w:line="312" w:lineRule="auto"/>
        <w:rPr>
          <w:sz w:val="20"/>
          <w:szCs w:val="20"/>
          <w:color w:val="auto"/>
        </w:rPr>
      </w:pPr>
      <w:r>
        <w:rPr>
          <w:rFonts w:ascii="Arial" w:cs="Arial" w:eastAsia="Arial" w:hAnsi="Arial"/>
          <w:sz w:val="16"/>
          <w:szCs w:val="16"/>
          <w:color w:val="auto"/>
        </w:rPr>
        <w:t>the guidelines specified in Rule 10b-18 and Rule 10b5-1 of the Exchange Act. On February 22, 2017, our Board authorized the extension of the termination date of the Company 10b5-1 Plan to August 31, 2017. Unless extended or terminated by the Board, the Company 10b5-1 Plan will be in effect through the earlier of August 31, 2017 or such time as the current approved repurchase amount of up to $50 million has been fully utilized, subject to certain conditions.</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2016, we have originated more than $5.0 billion aggregate principal amount of investments and retained approximately $3.5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2016, our core portfolio companies, which excludes certain investments that fall outside of our typical borrower profile and represent 88.2% of our total investments based on fair value, had weighted average annual revenue of $144.1 million and weighted average annual EBITDA of $31.4 million.</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2016, the average investment size in each of our portfolio companies was approximately $31.9 million based on fair value.</w:t>
      </w:r>
    </w:p>
    <w:p>
      <w:pPr>
        <w:spacing w:after="0" w:line="237" w:lineRule="exact"/>
        <w:rPr>
          <w:sz w:val="20"/>
          <w:szCs w:val="20"/>
          <w:color w:val="auto"/>
        </w:rPr>
      </w:pPr>
    </w:p>
    <w:p>
      <w:pPr>
        <w:ind w:right="220" w:firstLine="259"/>
        <w:spacing w:after="0" w:line="342"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December 31, 2016, the largest single investment based on fair value represented 4.5% of our total investment portfolio.</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2016, no industry represented more than 22.6% of our total investment portfolio based on fair value.</w:t>
      </w:r>
    </w:p>
    <w:p>
      <w:pPr>
        <w:spacing w:after="0" w:line="225"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December 31, 2016,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97.7% of our portfolio was invested in secured debt, including 96.5%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2016, the weighted average term on new investment commitments in new portfolio companies was 4.3 years.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4" w:name="page55"/>
    <w:bookmarkEnd w:id="54"/>
    <w:p>
      <w:pPr>
        <w:ind w:right="36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jc w:val="both"/>
        <w:ind w:right="80" w:firstLine="259"/>
        <w:spacing w:after="0" w:line="288"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December 31, 2016, we had call protection on 79.9% of our debt investments based on fair value, with weighted average call prices of 106.7% for the first year, 103.5% for the second year and 101.6% for the third year, in each case from the date of the initial investment. As of December 31, 2016,</w:t>
      </w:r>
    </w:p>
    <w:p>
      <w:pPr>
        <w:ind w:right="160"/>
        <w:spacing w:after="0" w:line="261" w:lineRule="auto"/>
        <w:rPr>
          <w:sz w:val="20"/>
          <w:szCs w:val="20"/>
          <w:color w:val="auto"/>
        </w:rPr>
      </w:pPr>
      <w:r>
        <w:rPr>
          <w:rFonts w:ascii="Arial" w:cs="Arial" w:eastAsia="Arial" w:hAnsi="Arial"/>
          <w:sz w:val="18"/>
          <w:szCs w:val="18"/>
          <w:color w:val="auto"/>
        </w:rPr>
        <w:t>98.4% of our debt investments based on fair value bore interest at floating rates (when including investment specific hedges), with 94.8% of these subject to interest rate floors, which we believe helps act as a portfolio-wide hedge against inflation.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60" w:firstLine="259"/>
        <w:spacing w:after="0" w:line="273" w:lineRule="auto"/>
        <w:rPr>
          <w:sz w:val="20"/>
          <w:szCs w:val="20"/>
          <w:color w:val="auto"/>
        </w:rPr>
      </w:pPr>
      <w:r>
        <w:rPr>
          <w:rFonts w:ascii="Arial" w:cs="Arial" w:eastAsia="Arial" w:hAnsi="Arial"/>
          <w:sz w:val="17"/>
          <w:szCs w:val="17"/>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TPG Special Situations Partners, or TSSP.</w:t>
      </w:r>
    </w:p>
    <w:p>
      <w:pPr>
        <w:spacing w:after="0" w:line="178" w:lineRule="exact"/>
        <w:rPr>
          <w:sz w:val="20"/>
          <w:szCs w:val="20"/>
          <w:color w:val="auto"/>
        </w:rPr>
      </w:pPr>
    </w:p>
    <w:p>
      <w:pPr>
        <w:ind w:right="280" w:firstLine="259"/>
        <w:spacing w:after="0" w:line="272" w:lineRule="auto"/>
        <w:rPr>
          <w:sz w:val="20"/>
          <w:szCs w:val="20"/>
          <w:color w:val="auto"/>
        </w:rPr>
      </w:pPr>
      <w:r>
        <w:rPr>
          <w:rFonts w:ascii="Arial" w:cs="Arial" w:eastAsia="Arial" w:hAnsi="Arial"/>
          <w:sz w:val="17"/>
          <w:szCs w:val="17"/>
          <w:color w:val="auto"/>
        </w:rPr>
        <w:t>TSSP, with approximately $18 billion of assets under management as of December 31, 2016,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 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160 investment and operating professionals. As of December 31, 2016, twenty nine (29) of these personnel are dedicated to our business, including twenty one (21) investment professionals.</w:t>
      </w:r>
    </w:p>
    <w:p>
      <w:pPr>
        <w:spacing w:after="0" w:line="178"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2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December 31, 2016, 98.4% of these investments based on fair value bore interest at a floating rate (when including investment specific hedges), with 94.8% of these subject to interest rate floors. Interest on debt investments is generally payable quarterly or semiannually. Some of our investments provide for deferred interest payments or PIK interest. For the year ended December 31, 2016, 4.6% of our total investment income was comprised of PIK interest.</w:t>
      </w:r>
    </w:p>
    <w:p>
      <w:pPr>
        <w:spacing w:after="0" w:line="193"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2019 Convertible Senior Notes, after taking into account the effect of the interest rate swaps we have entered into in connection with the 2019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0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We record prepayment premiums on loans as interest income.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on our outstanding debt. We bear all other costs and expenses of our operations, administration and transactions, including those relating to:</w:t>
      </w:r>
    </w:p>
    <w:p>
      <w:pPr>
        <w:spacing w:after="0" w:line="117" w:lineRule="exact"/>
        <w:rPr>
          <w:sz w:val="20"/>
          <w:szCs w:val="20"/>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60" w:hanging="255"/>
        <w:spacing w:after="0" w:line="264"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5"/>
        <w:spacing w:after="0" w:line="302" w:lineRule="auto"/>
        <w:tabs>
          <w:tab w:leader="none" w:pos="5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right="320" w:hanging="255"/>
        <w:spacing w:after="0" w:line="342" w:lineRule="auto"/>
        <w:tabs>
          <w:tab w:leader="none" w:pos="5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As of December 31, 2016, our portfolio based on fair value consisted of 96.5% first-lien debt investments, 1.2% second-lien debt investments, 0.6% mezzanine and unsecured debt investments, and 1.7% equity and other investments. As of December 31, 2015, our portfolio based on fair value consisted of 88.2% first-lien debt investments, 8.1% second-lien debt investments, 1.9% mezzanine and unsecured debt investments and 1.8% equity and other investments.</w:t>
      </w:r>
    </w:p>
    <w:p>
      <w:pPr>
        <w:spacing w:after="0" w:line="187"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As of December 31, 2016 and December 31, 2015, our weighted average total yield of debt and income producing securities at fair value (which includes interest income and amortization of fees and discounts) was 10.4% and 10.3%, respectively, and our weighted average total yield of debt and income producing securities at amortized cost (which includes interest income and amortization of fees and discounts) was 10.4% and 10.1%, respectively.</w:t>
      </w:r>
    </w:p>
    <w:p>
      <w:pPr>
        <w:spacing w:after="0" w:line="14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As of December 31, 2016 and December 31, 2015, we had investments in 52 and 46 portfolio companies, respectively, with an aggregate fair value of $1,657.4 million and $1,485.7 million, respectively.</w:t>
      </w:r>
    </w:p>
    <w:p>
      <w:pPr>
        <w:spacing w:after="0" w:line="170"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For the year ended December 31, 2016, we made new investment commitments of $562.7 million, including $492.7 million in 14 new portfolio companies and $70.0 million in 9 existing portfolio companies. For this period, we had $416.5 million aggregate principal amount in exits and repayments, resulting in a net portfolio increase of $103.6 million aggregate principal amount.</w:t>
      </w:r>
    </w:p>
    <w:p>
      <w:pPr>
        <w:spacing w:after="0" w:line="181"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For the year ended December 31, 2015, we made new investment commitments of $718.7 million, including $631.6 million in 20 new portfolio companies and $87.1 million in 14 existing portfolio companies. For this period, we had $385.2 million aggregate principal amount in exits and repayments, resulting in a net portfolio increase of $278.8 million aggregate principal amount.</w:t>
      </w:r>
    </w:p>
    <w:p>
      <w:pPr>
        <w:spacing w:after="0" w:line="181" w:lineRule="exact"/>
        <w:rPr>
          <w:sz w:val="20"/>
          <w:szCs w:val="20"/>
          <w:color w:val="auto"/>
        </w:rPr>
      </w:pPr>
    </w:p>
    <w:p>
      <w:pPr>
        <w:jc w:val="both"/>
        <w:ind w:right="780" w:firstLine="259"/>
        <w:spacing w:after="0" w:line="264" w:lineRule="auto"/>
        <w:rPr>
          <w:sz w:val="20"/>
          <w:szCs w:val="20"/>
          <w:color w:val="auto"/>
        </w:rPr>
      </w:pPr>
      <w:r>
        <w:rPr>
          <w:rFonts w:ascii="Arial" w:cs="Arial" w:eastAsia="Arial" w:hAnsi="Arial"/>
          <w:sz w:val="18"/>
          <w:szCs w:val="18"/>
          <w:color w:val="auto"/>
        </w:rPr>
        <w:t>For the year ended December 31, 2014, we made new investment commitments of $884.4 million, including $805.7 million in 20 new portfolio companies and $78.7 million in seven existing portfolio companies. For this period, we had $518.4 million aggregate principal amount in exits and repayments, resulting in a net portfolio increase of $296.5 million aggregate principal amount.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8" w:name="page59"/>
    <w:bookmarkEnd w:id="58"/>
    <w:p>
      <w:pPr>
        <w:ind w:right="60" w:firstLine="518"/>
        <w:spacing w:after="0" w:line="277" w:lineRule="auto"/>
        <w:rPr>
          <w:sz w:val="20"/>
          <w:szCs w:val="20"/>
          <w:color w:val="auto"/>
        </w:rPr>
      </w:pPr>
      <w:r>
        <w:rPr>
          <w:rFonts w:ascii="Arial" w:cs="Arial" w:eastAsia="Arial" w:hAnsi="Arial"/>
          <w:sz w:val="18"/>
          <w:szCs w:val="18"/>
          <w:color w:val="auto"/>
        </w:rPr>
        <w:t>Our investment activity for the years ended December 31, 2016, 2015 and 2014 is presented below (information presented herein is at par value unless otherwise indicated).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8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9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761.5</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964.2</w:t>
            </w:r>
          </w:p>
        </w:tc>
        <w:tc>
          <w:tcPr>
            <w:tcW w:w="2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Total new investment commitments</w:t>
            </w:r>
          </w:p>
        </w:tc>
        <w:tc>
          <w:tcPr>
            <w:tcW w:w="7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562.7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718.7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9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518.0</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581.3</w:t>
            </w:r>
          </w:p>
        </w:tc>
        <w:tc>
          <w:tcPr>
            <w:tcW w:w="2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9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316.2</w:t>
            </w:r>
          </w:p>
        </w:tc>
        <w:tc>
          <w:tcPr>
            <w:tcW w:w="2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353.3</w:t>
            </w:r>
          </w:p>
        </w:tc>
        <w:tc>
          <w:tcPr>
            <w:tcW w:w="2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Number of new investment commitments in</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new portfolio companies</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new portfolio companies</w:t>
            </w:r>
          </w:p>
        </w:tc>
        <w:tc>
          <w:tcPr>
            <w:tcW w:w="9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20"/>
                <w:szCs w:val="20"/>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commitments in new portfolio companies</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(in years)</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95.2%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at fixed rates</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investment commitments</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floating rate investment commitments</w:t>
            </w: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sold or paid down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520" w:hanging="512"/>
        <w:spacing w:after="0" w:line="277" w:lineRule="auto"/>
        <w:tabs>
          <w:tab w:leader="none" w:pos="520" w:val="left"/>
        </w:tabs>
        <w:numPr>
          <w:ilvl w:val="0"/>
          <w:numId w:val="56"/>
        </w:numPr>
        <w:rPr>
          <w:rFonts w:ascii="Arial" w:cs="Arial" w:eastAsia="Arial" w:hAnsi="Arial"/>
          <w:sz w:val="18"/>
          <w:szCs w:val="18"/>
          <w:i w:val="1"/>
          <w:iCs w:val="1"/>
          <w:color w:val="auto"/>
        </w:rPr>
      </w:pPr>
      <w:r>
        <w:rPr>
          <w:rFonts w:ascii="Arial" w:cs="Arial" w:eastAsia="Arial" w:hAnsi="Arial"/>
          <w:sz w:val="18"/>
          <w:szCs w:val="18"/>
          <w:color w:val="auto"/>
        </w:rPr>
        <w:t>Includes one fixed rate investment for the year ended December 31, 2015 for which we entered into an interest rate swap agreement to swap to a floating rate.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2016 and 2015, our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w w:val="90"/>
              </w:rPr>
              <w:t>Amortized Cost</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0"/>
              </w:rPr>
              <w:t>Amortized Cost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5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5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5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1,529.7</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580" w:type="dxa"/>
            <w:vAlign w:val="bottom"/>
            <w:vMerge w:val="restart"/>
          </w:tcPr>
          <w:p>
            <w:pPr>
              <w:jc w:val="right"/>
              <w:ind w:right="70"/>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9" w:name="page60"/>
    <w:bookmarkEnd w:id="59"/>
    <w:p>
      <w:pPr>
        <w:ind w:left="260"/>
        <w:spacing w:after="0"/>
        <w:rPr>
          <w:sz w:val="20"/>
          <w:szCs w:val="20"/>
          <w:color w:val="auto"/>
        </w:rPr>
      </w:pPr>
      <w:r>
        <w:rPr>
          <w:rFonts w:ascii="Arial" w:cs="Arial" w:eastAsia="Arial" w:hAnsi="Arial"/>
          <w:sz w:val="17"/>
          <w:szCs w:val="17"/>
          <w:color w:val="auto"/>
        </w:rPr>
        <w:t>The following tables show the fair value and amortized cost of our performing and non-accrual investments as of December 31, 2016 and 2015: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right"/>
              <w:ind w:right="99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CFF0FC"/>
            </w:tcBorders>
            <w:vMerge w:val="continue"/>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Percentage</w:t>
            </w:r>
          </w:p>
        </w:tc>
        <w:tc>
          <w:tcPr>
            <w:tcW w:w="3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(2)</w:t>
            </w:r>
          </w:p>
        </w:tc>
        <w:tc>
          <w:tcPr>
            <w:tcW w:w="2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2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3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5"/>
          </w:tcPr>
          <w:p>
            <w:pPr>
              <w:jc w:val="right"/>
              <w:ind w:right="99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CFF0FC"/>
            </w:tcBorders>
            <w:vMerge w:val="continue"/>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ind w:right="16"/>
              <w:spacing w:after="0" w:line="155" w:lineRule="exact"/>
              <w:rPr>
                <w:sz w:val="20"/>
                <w:szCs w:val="20"/>
                <w:color w:val="auto"/>
              </w:rPr>
            </w:pPr>
            <w:r>
              <w:rPr>
                <w:rFonts w:ascii="Arial" w:cs="Arial" w:eastAsia="Arial" w:hAnsi="Arial"/>
                <w:sz w:val="14"/>
                <w:szCs w:val="14"/>
                <w:b w:val="1"/>
                <w:bCs w:val="1"/>
                <w:color w:val="auto"/>
                <w:w w:val="98"/>
              </w:rPr>
              <w:t>Amortized Cost</w:t>
            </w:r>
          </w:p>
        </w:tc>
        <w:tc>
          <w:tcPr>
            <w:tcW w:w="30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Percentage</w:t>
            </w:r>
          </w:p>
        </w:tc>
        <w:tc>
          <w:tcPr>
            <w:tcW w:w="380" w:type="dxa"/>
            <w:vAlign w:val="bottom"/>
            <w:tcBorders>
              <w:bottom w:val="single" w:sz="8" w:color="CFF0FC"/>
            </w:tcBorders>
            <w:gridSpan w:val="2"/>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gridSpan w:val="2"/>
          </w:tcPr>
          <w:p>
            <w:pPr>
              <w:jc w:val="right"/>
              <w:ind w:right="16"/>
              <w:spacing w:after="0" w:line="155" w:lineRule="exact"/>
              <w:rPr>
                <w:sz w:val="20"/>
                <w:szCs w:val="20"/>
                <w:color w:val="auto"/>
              </w:rPr>
            </w:pPr>
            <w:r>
              <w:rPr>
                <w:rFonts w:ascii="Arial" w:cs="Arial" w:eastAsia="Arial" w:hAnsi="Arial"/>
                <w:sz w:val="14"/>
                <w:szCs w:val="14"/>
                <w:b w:val="1"/>
                <w:bCs w:val="1"/>
                <w:color w:val="auto"/>
                <w:w w:val="96"/>
              </w:rPr>
              <w:t>Amortized Cost</w:t>
            </w:r>
          </w:p>
        </w:tc>
        <w:tc>
          <w:tcPr>
            <w:tcW w:w="30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87"/>
              </w:rPr>
              <w:t>%</w:t>
            </w: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1,529.7</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(2)</w:t>
            </w:r>
          </w:p>
        </w:tc>
        <w:tc>
          <w:tcPr>
            <w:tcW w:w="2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2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3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100.0%</w:t>
            </w: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1,529.7</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40" w:hanging="512"/>
        <w:spacing w:after="0" w:line="255" w:lineRule="auto"/>
        <w:tabs>
          <w:tab w:leader="none" w:pos="520" w:val="left"/>
        </w:tabs>
        <w:numPr>
          <w:ilvl w:val="0"/>
          <w:numId w:val="57"/>
        </w:numPr>
        <w:rPr>
          <w:rFonts w:ascii="Arial" w:cs="Arial" w:eastAsia="Arial" w:hAnsi="Arial"/>
          <w:sz w:val="18"/>
          <w:szCs w:val="18"/>
          <w:i w:val="1"/>
          <w:iCs w:val="1"/>
          <w:color w:val="auto"/>
        </w:rPr>
      </w:pPr>
      <w:r>
        <w:rPr>
          <w:rFonts w:ascii="Arial" w:cs="Arial" w:eastAsia="Arial" w:hAnsi="Arial"/>
          <w:sz w:val="18"/>
          <w:szCs w:val="18"/>
          <w:color w:val="auto"/>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Arial" w:cs="Arial" w:eastAsia="Arial" w:hAnsi="Arial"/>
          <w:sz w:val="18"/>
          <w:szCs w:val="18"/>
          <w:i w:val="1"/>
          <w:iCs w:val="1"/>
          <w:color w:val="auto"/>
        </w:rPr>
        <w:t>“–Critical Accounting Policies –</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and Dividend Recognition.”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weighted average yields and interest rates of our performing debt investments at fair value as of December 31, 2016 and 2015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96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2016</w:t>
            </w:r>
          </w:p>
        </w:tc>
        <w:tc>
          <w:tcPr>
            <w:tcW w:w="1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2015</w:t>
            </w:r>
          </w:p>
        </w:tc>
      </w:tr>
      <w:tr>
        <w:trPr>
          <w:trHeight w:val="209"/>
        </w:trPr>
        <w:tc>
          <w:tcPr>
            <w:tcW w:w="20" w:type="dxa"/>
            <w:vAlign w:val="bottom"/>
          </w:tcPr>
          <w:p>
            <w:pPr>
              <w:spacing w:after="0"/>
              <w:rPr>
                <w:sz w:val="18"/>
                <w:szCs w:val="18"/>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producing securities</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w:t>
            </w:r>
          </w:p>
        </w:tc>
      </w:tr>
      <w:tr>
        <w:trPr>
          <w:trHeight w:val="215"/>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producing securities</w:t>
            </w:r>
          </w:p>
        </w:tc>
        <w:tc>
          <w:tcPr>
            <w:tcW w:w="178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15"/>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rate investments</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r>
    </w:tbl>
    <w:p>
      <w:pPr>
        <w:spacing w:after="0" w:line="202"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40" w:hanging="255"/>
        <w:spacing w:after="0" w:line="277"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800" w:hanging="255"/>
        <w:spacing w:after="0" w:line="264"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73" w:lineRule="exact"/>
        <w:rPr>
          <w:rFonts w:ascii="Arial" w:cs="Arial" w:eastAsia="Arial" w:hAnsi="Arial"/>
          <w:sz w:val="18"/>
          <w:szCs w:val="18"/>
          <w:color w:val="auto"/>
        </w:rPr>
      </w:pPr>
    </w:p>
    <w:p>
      <w:pPr>
        <w:ind w:left="520" w:right="280" w:hanging="255"/>
        <w:spacing w:after="0" w:line="264"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ind w:left="520" w:right="40" w:hanging="255"/>
        <w:spacing w:after="0" w:line="264"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260" w:hanging="255"/>
        <w:spacing w:after="0" w:line="276" w:lineRule="auto"/>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4" w:lineRule="exact"/>
        <w:rPr>
          <w:rFonts w:ascii="Arial" w:cs="Arial" w:eastAsia="Arial" w:hAnsi="Arial"/>
          <w:sz w:val="17"/>
          <w:szCs w:val="17"/>
          <w:color w:val="auto"/>
        </w:rPr>
      </w:pPr>
    </w:p>
    <w:p>
      <w:pPr>
        <w:ind w:left="520" w:right="140" w:hanging="255"/>
        <w:spacing w:after="0" w:line="259"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investments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2016 and 2015. Investment performance ratings are accurate only as of those dates and may change due to subsequent developments relating to a portfolio company’s business or financial condition, market conditions or developments, and other factors.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8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0"/>
              </w:rPr>
              <w:t>December 31, 2016</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0"/>
              </w:rPr>
              <w:t>December 31, 2015</w:t>
            </w: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4"/>
          </w:tcPr>
          <w:p>
            <w:pPr>
              <w:jc w:val="center"/>
              <w:ind w:right="74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jc w:val="center"/>
              <w:ind w:right="7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4"/>
                <w:szCs w:val="14"/>
                <w:color w:val="auto"/>
              </w:rPr>
            </w:pPr>
          </w:p>
        </w:tc>
        <w:tc>
          <w:tcPr>
            <w:tcW w:w="12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Fair Value</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Percentage of</w:t>
            </w:r>
          </w:p>
        </w:tc>
        <w:tc>
          <w:tcPr>
            <w:tcW w:w="0" w:type="dxa"/>
            <w:vAlign w:val="bottom"/>
          </w:tcPr>
          <w:p>
            <w:pPr>
              <w:spacing w:after="0"/>
              <w:rPr>
                <w:sz w:val="1"/>
                <w:szCs w:val="1"/>
                <w:color w:val="auto"/>
              </w:rPr>
            </w:pPr>
          </w:p>
        </w:tc>
      </w:tr>
      <w:tr>
        <w:trPr>
          <w:trHeight w:val="171"/>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80" w:type="dxa"/>
            <w:vAlign w:val="bottom"/>
            <w:tcBorders>
              <w:bottom w:val="single" w:sz="8" w:color="CFF0FC"/>
            </w:tcBorders>
          </w:tcPr>
          <w:p>
            <w:pPr>
              <w:spacing w:after="0"/>
              <w:rPr>
                <w:sz w:val="14"/>
                <w:szCs w:val="14"/>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3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2"/>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1,099.1</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2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1760" w:type="dxa"/>
            <w:vAlign w:val="bottom"/>
          </w:tcPr>
          <w:p>
            <w:pPr>
              <w:jc w:val="right"/>
              <w:ind w:right="716"/>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1760" w:type="dxa"/>
            <w:vAlign w:val="bottom"/>
          </w:tcPr>
          <w:p>
            <w:pPr>
              <w:jc w:val="right"/>
              <w:ind w:right="716"/>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280" w:type="dxa"/>
            <w:vAlign w:val="bottom"/>
          </w:tcPr>
          <w:p>
            <w:pPr>
              <w:spacing w:after="0"/>
              <w:rPr>
                <w:sz w:val="19"/>
                <w:szCs w:val="19"/>
                <w:color w:val="auto"/>
              </w:rPr>
            </w:pP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1,657.4</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9"/>
                <w:szCs w:val="19"/>
                <w:color w:val="auto"/>
              </w:rPr>
            </w:pPr>
          </w:p>
        </w:tc>
        <w:tc>
          <w:tcPr>
            <w:tcW w:w="600" w:type="dxa"/>
            <w:vAlign w:val="bottom"/>
          </w:tcPr>
          <w:p>
            <w:pPr>
              <w:jc w:val="right"/>
              <w:ind w:right="42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1,485.7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years ended December 31, 2016, 2015 and 2014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820" w:type="dxa"/>
            <w:vAlign w:val="bottom"/>
            <w:gridSpan w:val="2"/>
            <w:vMerge w:val="restart"/>
          </w:tcPr>
          <w:p>
            <w:pPr>
              <w:ind w:left="220"/>
              <w:spacing w:after="0"/>
              <w:rPr>
                <w:sz w:val="20"/>
                <w:szCs w:val="20"/>
                <w:color w:val="auto"/>
              </w:rPr>
            </w:pPr>
            <w:r>
              <w:rPr>
                <w:rFonts w:ascii="Arial" w:cs="Arial" w:eastAsia="Arial" w:hAnsi="Arial"/>
                <w:sz w:val="14"/>
                <w:szCs w:val="14"/>
                <w:color w:val="auto"/>
              </w:rPr>
              <w:t>($ in millions)</w:t>
            </w:r>
          </w:p>
        </w:tc>
        <w:tc>
          <w:tcPr>
            <w:tcW w:w="1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820" w:type="dxa"/>
            <w:vAlign w:val="bottom"/>
            <w:gridSpan w:val="2"/>
            <w:vMerge w:val="continue"/>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center"/>
              <w:ind w:right="213"/>
              <w:spacing w:after="0" w:line="155"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14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1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1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 xml:space="preserve">Net realized losses </w:t>
            </w:r>
            <w:r>
              <w:rPr>
                <w:rFonts w:ascii="Arial" w:cs="Arial" w:eastAsia="Arial" w:hAnsi="Arial"/>
                <w:sz w:val="15"/>
                <w:szCs w:val="15"/>
                <w:color w:val="auto"/>
              </w:rPr>
              <w:t>(1)</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b w:val="1"/>
                <w:bCs w:val="1"/>
                <w:color w:val="auto"/>
                <w:w w:val="97"/>
              </w:rPr>
              <w:t>Net increase in net assets resulting from operations</w:t>
            </w:r>
          </w:p>
        </w:tc>
        <w:tc>
          <w:tcPr>
            <w:tcW w:w="14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(1)</w:t>
            </w:r>
          </w:p>
        </w:tc>
        <w:tc>
          <w:tcPr>
            <w:tcW w:w="48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482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0" w:type="dxa"/>
            <w:vAlign w:val="bottom"/>
          </w:tcPr>
          <w:p>
            <w:pPr>
              <w:spacing w:after="0"/>
              <w:rPr>
                <w:sz w:val="24"/>
                <w:szCs w:val="24"/>
                <w:color w:val="auto"/>
              </w:rPr>
            </w:pPr>
          </w:p>
        </w:tc>
        <w:tc>
          <w:tcPr>
            <w:tcW w:w="4820" w:type="dxa"/>
            <w:vAlign w:val="bottom"/>
            <w:gridSpan w:val="2"/>
            <w:vMerge w:val="restart"/>
          </w:tcPr>
          <w:p>
            <w:pPr>
              <w:ind w:left="220"/>
              <w:spacing w:after="0"/>
              <w:rPr>
                <w:sz w:val="20"/>
                <w:szCs w:val="20"/>
                <w:color w:val="auto"/>
              </w:rPr>
            </w:pPr>
            <w:r>
              <w:rPr>
                <w:rFonts w:ascii="Arial" w:cs="Arial" w:eastAsia="Arial" w:hAnsi="Arial"/>
                <w:sz w:val="14"/>
                <w:szCs w:val="14"/>
                <w:color w:val="auto"/>
              </w:rPr>
              <w:t>($ in millions)</w:t>
            </w:r>
          </w:p>
        </w:tc>
        <w:tc>
          <w:tcPr>
            <w:tcW w:w="1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820" w:type="dxa"/>
            <w:vAlign w:val="bottom"/>
            <w:gridSpan w:val="2"/>
            <w:vMerge w:val="continue"/>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center"/>
              <w:ind w:right="213"/>
              <w:spacing w:after="0" w:line="155"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14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Dividend income</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4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0" w:type="dxa"/>
            <w:vAlign w:val="bottom"/>
            <w:vMerge w:val="restart"/>
          </w:tcPr>
          <w:p>
            <w:pPr>
              <w:jc w:val="right"/>
              <w:ind w:right="690"/>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61" w:name="page62"/>
    <w:bookmarkEnd w:id="61"/>
    <w:p>
      <w:pPr>
        <w:ind w:left="260"/>
        <w:spacing w:after="0"/>
        <w:rPr>
          <w:sz w:val="20"/>
          <w:szCs w:val="20"/>
          <w:color w:val="auto"/>
        </w:rPr>
      </w:pPr>
      <w:r>
        <w:rPr>
          <w:rFonts w:ascii="Arial" w:cs="Arial" w:eastAsia="Arial" w:hAnsi="Arial"/>
          <w:sz w:val="17"/>
          <w:szCs w:val="17"/>
          <w:color w:val="auto"/>
        </w:rPr>
        <w:t>Interest from investments, which includes amortization of upfront fees and prepayment fees, increased from $164.6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to $177.8 million for the year ended December 31, 2016, primarily due to the increase in the size of our investment portfolio. The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size of our investment portfolio increased from $1.4 billion during the year ended December 31, 2015 to $1.6 billion during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Accelerated amortization of upfront fees primarily from unscheduled paydowns decreased from $6.9 million for the year ended December 31, 2015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 million for the year ended December 31, 2016, and prepayment fees decreased from $15.4 million for the year ended December 31, 2015 to $2.6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2016. The accelerated amortization and prepayment fees primarily resulted from a partial paydown on one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and full paydowns on eleven portfolio investments during the year ended December 31, 2015 and a partial paydown on one portfolio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full paydowns on seven portfolio investments during the year ended December 31, 2016. Dividend income increased from $0.9 million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to $1.7 million for the year ended December 31, 2016 due to owning our dividend yielding investments for a full calendar year.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increased from $7.9 million for the year ended December 31, 2015 to $12.9 million for the year ended December 31, 2016, primarily due to higher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syndication, amendment and agency fees earned during 2016.</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Interest from investments, which includes amortization of upfront fees and prepayment fees, increased from $154.0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to $164.6 million for the year ended December 31, 2015, primarily due to the increase in the size of our investment portfolio. The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size of our investment portfolio increased from $1.2 billion during the year ended December 31, 2014 to $1.4 billion during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Accelerated amortization of upfront fees primarily from unscheduled paydowns decreased from $12.5 million for the year ended December 31, 2014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$6.9 million for the year ended December 31, 2015, and prepayment fees decreased from $21.0 million for the year ended December 31, 2014 to</w:t>
      </w:r>
    </w:p>
    <w:p>
      <w:pPr>
        <w:spacing w:after="0" w:line="2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$15.4 million for the year ended December 31, 2015. The accelerated amortization and prepayment fees primarily resulted from partial paydowns on two portfolio investments, full paydowns on thirteen portfolio investments and the expiration of one unfunded commitment during the year ended December 31, 2014 and a partial paydown on one portfolio investment and full paydowns on eleven portfolio investments during the year ended December 31, 2015. Dividend income for the year ended December 31, 2015 was $0.9 million. We did not have dividend income for the year ended December 31, 2014. Other income decreased from $9.3 million for the year ended December 31, 2014 to $7.9 million for the year ended December 31, 2015, primarily due to higher syndication, amendment and agency fees earned during 2014.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years ended December 31, 2016, 2015 and 2014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40" w:type="dxa"/>
            <w:vAlign w:val="bottom"/>
            <w:tcBorders>
              <w:bottom w:val="single" w:sz="8" w:color="CFF0FC"/>
            </w:tcBorders>
            <w:vMerge w:val="continue"/>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 investment income</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jc w:val="right"/>
              <w:ind w:right="3972"/>
              <w:spacing w:after="0"/>
              <w:rPr>
                <w:sz w:val="20"/>
                <w:szCs w:val="20"/>
                <w:color w:val="auto"/>
              </w:rPr>
            </w:pPr>
            <w:r>
              <w:rPr>
                <w:rFonts w:ascii="Arial" w:cs="Arial" w:eastAsia="Arial" w:hAnsi="Arial"/>
                <w:sz w:val="18"/>
                <w:szCs w:val="18"/>
                <w:color w:val="auto"/>
              </w:rPr>
              <w:t>(net of waivers)</w:t>
            </w: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 (losses)</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Directors fees</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jc w:val="right"/>
              <w:ind w:right="3972"/>
              <w:spacing w:after="0"/>
              <w:rPr>
                <w:sz w:val="20"/>
                <w:szCs w:val="20"/>
                <w:color w:val="auto"/>
              </w:rPr>
            </w:pPr>
            <w:r>
              <w:rPr>
                <w:rFonts w:ascii="Arial" w:cs="Arial" w:eastAsia="Arial" w:hAnsi="Arial"/>
                <w:sz w:val="18"/>
                <w:szCs w:val="18"/>
                <w:b w:val="1"/>
                <w:bCs w:val="1"/>
                <w:color w:val="auto"/>
              </w:rPr>
              <w:t>Net Expenses</w:t>
            </w: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Interest expense, including other debt financing expenses, increased from $22.0 million for the year ended December 31, 2015 to $23.1 million for the year ended December 31, 2016. This increase was primarily due to an increase in the weighted average debt outstanding from $540.8 million for the year ended December 31, 2015 to $725.9 million for the year ended December 31, 2016, as well an increase in the average 1-month LIBOR rate for the year ended December 31, 2015 from 0.20% to 0.50% for the year ended December 31, 2016. The average interest rate on our debt outstanding increased from 2.6% for the year ended December 31, 2015 to 2.7% for the year ended December 31, 2016 due to the increase in LIBOR.</w:t>
      </w:r>
    </w:p>
    <w:p>
      <w:pPr>
        <w:spacing w:after="0" w:line="173"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Interest expense, including other debt financing expenses, increased from $15.1 million for the year ended December 31, 2014 to $22.0 million for the year ended December 31, 2015. This increase was primarily due to an increase in the weighted average debt outstanding from $377 million for the year ended December 31, 2014 to $541 million for the year ended December 31, 2015. The average interest rate on our debt outstanding for both the year ended December 31, 2014 and the year ended December 31, 2015 was 2.6%.</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2" w:name="page63"/>
    <w:bookmarkEnd w:id="62"/>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100" w:firstLine="259"/>
        <w:spacing w:after="0" w:line="255" w:lineRule="auto"/>
        <w:rPr>
          <w:sz w:val="20"/>
          <w:szCs w:val="20"/>
          <w:color w:val="auto"/>
        </w:rPr>
      </w:pPr>
      <w:r>
        <w:rPr>
          <w:rFonts w:ascii="Arial" w:cs="Arial" w:eastAsia="Arial" w:hAnsi="Arial"/>
          <w:sz w:val="18"/>
          <w:szCs w:val="18"/>
          <w:color w:val="auto"/>
        </w:rPr>
        <w:t>Management Fees (net of waivers) increased from $21.2 million for the year ended December 31, 2015 to $24.1 million for the year ended December 31, 2016. Management Fees increased from $21.3 million for the year ended December 31, 2015 to $24.3 million for the year ended December 31, 2016 due to the increase in total assets, which increased from an average of $1.4 billion for the year ended December 31, 2015 to an average of $1.6 billion for the year ended December 31, 2016. Management Fees waived for both the year ended December 31, 2015 and the year ended December 31, 2016 were $0.1 million. Management Fees waived during the year ended December 31, 2015 and the year ended December 31, 2016 were solely attributable to our ownership of TICC Shares.</w:t>
      </w:r>
    </w:p>
    <w:p>
      <w:pPr>
        <w:spacing w:after="0" w:line="193" w:lineRule="exact"/>
        <w:rPr>
          <w:sz w:val="20"/>
          <w:szCs w:val="20"/>
          <w:color w:val="auto"/>
        </w:rPr>
      </w:pPr>
    </w:p>
    <w:p>
      <w:pPr>
        <w:ind w:right="100" w:firstLine="259"/>
        <w:spacing w:after="0" w:line="293" w:lineRule="auto"/>
        <w:rPr>
          <w:sz w:val="20"/>
          <w:szCs w:val="20"/>
          <w:color w:val="auto"/>
        </w:rPr>
      </w:pPr>
      <w:r>
        <w:rPr>
          <w:rFonts w:ascii="Arial" w:cs="Arial" w:eastAsia="Arial" w:hAnsi="Arial"/>
          <w:sz w:val="16"/>
          <w:szCs w:val="16"/>
          <w:color w:val="auto"/>
        </w:rPr>
        <w:t>Management Fees (net of waivers) increased from $15.8 million for the year ended December 31, 2014 to $21.2 million for the year ended December 31, 2015. Management Fees increased from $18.3 million for the year ended December 31, 2014 to $21.3 million for the year ended December 31, 2015 due to the increase in total assets, which increased from an average of $1.2 billion for the year ended December 31, 2014 to an average of $1.4 billion for the year ended December 31, 2015. Management Fees waived decreased from $2.5 million for the year ended December 31, 2014 to $0.1 million for the year ended December 31, 2015. There were no Management Fees waived during the period April 1, 2014 through December 31, 2014, following our IPO. Management Fees waived during the year ended December 31, 2015 were solely attributable to our ownership of TICC Shares.</w:t>
      </w:r>
    </w:p>
    <w:p>
      <w:pPr>
        <w:spacing w:after="0" w:line="165"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Adviser has voluntarily waived the Management Fee on our ownership of the TICC Shares for any period in which TICC Capital Corp. remains our portfolio company. 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 There can be no assurance that the Adviser will continue to waive Management Fees related to the TICC Shares, as the Adviser can discontinue the voluntary waiver at any time. Accordingly, we may be required to pay the full amount of the Management Fee, including with respect to the TICC Shares, in future periods.</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Incentive Fees (net of waivers) related to pre-Incentive Fee net investment income increased from $20.0 million for the year ended December 31, 2015 and $22.4 million for the year ended December 31, 2016. This increase resulted from the increase in the size of the portfolio and related increase in net investment income. Incentive Fees waived related to pre-Incentive Fee net investment income increased from $0.2 million for the year ended December 31, 2015 to $0.3 million for the year ended December 31, 2016, consisting solely of Incentive Fees attributable to our ownership of the TICC Shares. There were no Incentive Fees related to capital gains and losses for the year ended December 31, 2015 and the year ended December 31, 2016 due to unrealized losses on our investments and realized losses on our investments.</w:t>
      </w:r>
    </w:p>
    <w:p>
      <w:pPr>
        <w:spacing w:after="0" w:line="178"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Incentive Fees (net of waivers) related to pre-Incentive Fee net investment income remained relatively flat at $20.8 million for the year ended December 31, 2014 and $20.0 million for the year ended December 31, 2015. For the year ended December 31, 2015, Incentive Fees related to pre-Incentive Fee net investment income of $0.2 million were waived, consisting solely of Incentive Fees attributable to our ownership of the TICC Shares. There were no Incentive Fees related to pre-Incentive Fee net investment income waived for the year ended December 31, 2014, as we did not hold any TICC Shares during the period. Incentive Fees related to capital gains and losses were ($2.9) million for the year ended December 31, 2014 due to unrealized losses on our investments and realized losses on foreign exchange transactions. There were no Incentive Fees related to capital gains and losses for the year ended December 31, 2015 due to unrealized losses on our investments and realized losses on our investments.</w:t>
      </w:r>
    </w:p>
    <w:p>
      <w:pPr>
        <w:spacing w:after="0" w:line="178"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Incentive Fee related to capital gains and losses attributable to our ownership of the TICC Shares and, accordingly, any realized capital gains or losses and unrealized capital appreciation and depreciation with respect to the TICC Shares will be applied towards our cumulative realized capital gains on which the Incentive Fee related to capital gains and losses is calculated.</w:t>
      </w:r>
    </w:p>
    <w:p>
      <w:pPr>
        <w:spacing w:after="0" w:line="18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Any waived Incentive Fees are not subject to recoupment by the Adviser. There can be no assurance that the Adviser will continue to waive any Incentive Fee related to the TICC Shares, as the Adviser can discontinue the voluntary waiver at any time. Accordingly, we may be required to pay the full amount of the Incentive Fee, including with respect to the TICC Shares, in future periods.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Professional fees increased from $8.2 million for the year ended December 31, 2015 to $8.5 million for the year ended December 31, 2016 due to an increase in costs associated with servicing our investment portfolio, as well as additional professional fees incurred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ind w:right="400"/>
        <w:spacing w:after="0" w:line="277" w:lineRule="auto"/>
        <w:rPr>
          <w:sz w:val="20"/>
          <w:szCs w:val="20"/>
          <w:color w:val="auto"/>
        </w:rPr>
      </w:pPr>
      <w:r>
        <w:rPr>
          <w:rFonts w:ascii="Arial" w:cs="Arial" w:eastAsia="Arial" w:hAnsi="Arial"/>
          <w:sz w:val="18"/>
          <w:szCs w:val="18"/>
          <w:color w:val="auto"/>
        </w:rPr>
        <w:t>relating to our investment in the TICC shares and related activity. Other general and administrative fees decreased from $4.8 million for the year ended December 31, 2015 to $4.4 million for the year ended December 31, 2016.</w:t>
      </w:r>
    </w:p>
    <w:p>
      <w:pPr>
        <w:spacing w:after="0" w:line="170" w:lineRule="exact"/>
        <w:rPr>
          <w:sz w:val="20"/>
          <w:szCs w:val="20"/>
          <w:color w:val="auto"/>
        </w:rPr>
      </w:pPr>
    </w:p>
    <w:p>
      <w:pPr>
        <w:ind w:right="280" w:firstLine="259"/>
        <w:spacing w:after="0" w:line="259" w:lineRule="auto"/>
        <w:rPr>
          <w:sz w:val="20"/>
          <w:szCs w:val="20"/>
          <w:color w:val="auto"/>
        </w:rPr>
      </w:pPr>
      <w:r>
        <w:rPr>
          <w:rFonts w:ascii="Arial" w:cs="Arial" w:eastAsia="Arial" w:hAnsi="Arial"/>
          <w:sz w:val="18"/>
          <w:szCs w:val="18"/>
          <w:color w:val="auto"/>
        </w:rPr>
        <w:t>Professional fees increased from $4.7 million for the year ended December 31, 2014 to $8.2 million for the year ended December 31, 2015 and other general and administrative fees increased from $3.9 million for the year ended December 31, 2014 to $4.8 million for the year ended December 31, 2015, both due to an increase in costs associated with servicing a growing investment portfolio, as well as additional professional fees incurred relating to our investment in the TICC shares and related activity.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For the calendar years ended December 31, 2016, 2015 and 2014 we recorded a net expense of $2.2 million, $1.5 million and $1.1 million, respectively, for U.S. federal excise tax.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years ended December 31, 2016, 2015 and 2014:</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7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vMerge w:val="continue"/>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(0.8)</w:t>
            </w:r>
          </w:p>
        </w:tc>
        <w:tc>
          <w:tcPr>
            <w:tcW w:w="1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realized gains (losses) on foreign currency forward contracts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on foreign currency investments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 on foreign currency borrowings</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realized losses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9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7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vMerge w:val="continue"/>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Unrealized appreciation (depreciation) on foreign currency</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borrowings</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Unrealized appreciation (depreciation) on foreign</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currency cash and forward contracts</w:t>
            </w: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Unrealized appreciation (depreciation) on interest rate swaps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7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right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9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(3.9)</w:t>
            </w: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For the years ended December 31, 2016, 2015 and 2014, we had net realized losses on investments of $0.8 million and $5.0 million and net realized gains on investments of $0.1 million, respectively. For the year ended December 31, 2015, we had net realized gains on interest rate swaps of $1.8 million. We did not have realized gains or losses on interest rate swaps for the years ended December 31, 2016 or 2014. For the years ended December 31, 2016, and 2014, we had net realized losses on foreign currency transactions of $0.2 million and $0.4 million, respectively, and net realized gains on foreign currency transactions of less than $0.1 million for the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64" w:name="page65"/>
    <w:bookmarkEnd w:id="64"/>
    <w:p>
      <w:pPr>
        <w:ind w:right="40"/>
        <w:spacing w:after="0" w:line="293" w:lineRule="auto"/>
        <w:rPr>
          <w:sz w:val="20"/>
          <w:szCs w:val="20"/>
          <w:color w:val="auto"/>
        </w:rPr>
      </w:pPr>
      <w:r>
        <w:rPr>
          <w:rFonts w:ascii="Arial" w:cs="Arial" w:eastAsia="Arial" w:hAnsi="Arial"/>
          <w:sz w:val="16"/>
          <w:szCs w:val="16"/>
          <w:color w:val="auto"/>
        </w:rPr>
        <w:t>year ended December 31, 2015, primarily as a result of translating foreign currency related to our non-USD denominated investments. For the years ended December 31, 2016 and 2015, we had net realized gains on foreign currency forward contracts of less than $0.1 million, and net realized losses on foreign currency forward contracts of $1.6 million for the year ended December 31, 2014, primarily as a result of settling our foreign currency forward contracts. For the years ended December 31, 2016 and December 31, 2015, we had net realized losses on foreign currency investments of $10.9 million and $0.4 million, respectively. We did not have realized gains or losses on foreign currency investments for the year ended December 31, 2014. For the years ended December 31, 2016, 2015, and 2014 we had net realized gains on foreign currency borrowings of $11.8 million, $0.4 million and $0.2 million, respectively.</w:t>
      </w:r>
    </w:p>
    <w:p>
      <w:pPr>
        <w:spacing w:after="0" w:line="165"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For the year ended December 31, 2016 we had $56.7 million in unrealized appreciation on 48 portfolio company investments, which was offset by $23.0 million in unrealized depreciation on 10 portfolio company investments. Unrealized appreciation for the year ended December 31, 2016 resulted from an increase in fair value, primarily due to positive valuation adjustments and tightening credit spreads. Unrealized depreciation for the year ended December 31, 2016 resulted from the reversal of prior period unrealized appreciation on realized investments and in some instances negative credit-related adjustments.</w:t>
      </w:r>
    </w:p>
    <w:p>
      <w:pPr>
        <w:spacing w:after="0" w:line="154"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For the year ended December 31, 2015 we had $9.0 million in unrealized appreciation on 15 portfolio company investments, which was offset by $43.3 million in unrealized depreciation on 40 portfolio company investments. Unrealized appreciation for the year ended December 31, 2015 resulted from an increase in fair value, primarily due to positive valuation adjustments. Unrealized depreciation for the year ended December 31, 2015 resulted from widening in credit spreads, the reversal of prior period unrealized appreciation and in some instances negative credit-related adjustments.</w:t>
      </w:r>
    </w:p>
    <w:p>
      <w:pPr>
        <w:spacing w:after="0" w:line="171" w:lineRule="exact"/>
        <w:rPr>
          <w:sz w:val="20"/>
          <w:szCs w:val="20"/>
          <w:color w:val="auto"/>
        </w:rPr>
      </w:pPr>
    </w:p>
    <w:p>
      <w:pPr>
        <w:ind w:right="40" w:firstLine="259"/>
        <w:spacing w:after="0" w:line="297" w:lineRule="auto"/>
        <w:rPr>
          <w:sz w:val="20"/>
          <w:szCs w:val="20"/>
          <w:color w:val="auto"/>
        </w:rPr>
      </w:pPr>
      <w:r>
        <w:rPr>
          <w:rFonts w:ascii="Arial" w:cs="Arial" w:eastAsia="Arial" w:hAnsi="Arial"/>
          <w:sz w:val="16"/>
          <w:szCs w:val="16"/>
          <w:color w:val="auto"/>
        </w:rPr>
        <w:t>For the year ended December 31, 2014 we had $5.4 million in unrealized appreciation on 10 portfolio company investments, which was offset by $34.3 million in unrealized depreciation on 35 portfolio company investments. Unrealized appreciation for the year ended December 31, 2014 resulted from an increase in fair value, primarily due to a tightening spread environment during the six months ended June 30, 2014 and positive credit-related adjustments. Unrealized depreciation for the year ended December 31, 2014 resulted from the reversal of prior period unrealized appreciation, primarily due to a widening spread environment during the six months ended December 31, 2014, and in some instances negative credit-related and energy-related adjustments.</w:t>
      </w:r>
    </w:p>
    <w:p>
      <w:pPr>
        <w:spacing w:after="0" w:line="158" w:lineRule="exact"/>
        <w:rPr>
          <w:sz w:val="20"/>
          <w:szCs w:val="20"/>
          <w:color w:val="auto"/>
        </w:rPr>
      </w:pPr>
    </w:p>
    <w:p>
      <w:pPr>
        <w:ind w:firstLine="259"/>
        <w:spacing w:after="0" w:line="253" w:lineRule="auto"/>
        <w:rPr>
          <w:sz w:val="20"/>
          <w:szCs w:val="20"/>
          <w:color w:val="auto"/>
        </w:rPr>
      </w:pPr>
      <w:r>
        <w:rPr>
          <w:rFonts w:ascii="Arial" w:cs="Arial" w:eastAsia="Arial" w:hAnsi="Arial"/>
          <w:sz w:val="18"/>
          <w:szCs w:val="18"/>
          <w:color w:val="auto"/>
        </w:rPr>
        <w:t>For the year ended December 31, 2016 we had unrealized depreciation on foreign currency borrowings of $3.6 million primarily as a result of fluctuations in the GBP, SEK and EUR exchange rates. For the years ended December 31, 2015 and 2014, we had unrealized appreciation on foreign currency borrowings of $6.3 million and $8.9 million, respectively, primarily as a result of fluctuations in the GBP, SEK and EUR exchange rates. For the years ended December 31, 2016 and 2014, we had unrealized appreciation on foreign currency cash and forward contracts of less than $0.1 million and $1.3 million, respectively, primarily as a result of settling our foreign currency forward contracts. For the year ended December 31, 2015, we had unrealized depreciation on foreign currency cash and forward contracts of less than $0.1 million, primarily as a result of settling our foreign currency forward contracts. For the years ended December 31, 2016 and 2015, we had unrealized depreciation on interest rate swaps of $0.3 million and $0.5 million, respectively, due to fluctuations in interest rates. For the year ended December 31, 2014, we had unrealized appreciation on interest rate swaps of $1.0 million due to fluctuations in interest rates.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ind w:right="80" w:firstLine="259"/>
        <w:spacing w:after="0" w:line="286" w:lineRule="auto"/>
        <w:rPr>
          <w:sz w:val="20"/>
          <w:szCs w:val="20"/>
          <w:color w:val="auto"/>
        </w:rPr>
      </w:pPr>
      <w:r>
        <w:rPr>
          <w:rFonts w:ascii="Arial" w:cs="Arial" w:eastAsia="Arial" w:hAnsi="Arial"/>
          <w:sz w:val="17"/>
          <w:szCs w:val="17"/>
          <w:color w:val="auto"/>
        </w:rPr>
        <w:t>Since we began investing in 2011 through December 31, 2016, our exited investments have resulted in an aggregate cash flow realized gross internal rate of return to us of 15.3% (based on cash invested of $1.6 billion and total proceeds from these exited investments of $2.0 billion). Ninety percent of these exited investments resulted in an aggregate cash flow realized gross internal rate of return to us of 10% or greater.</w:t>
      </w:r>
    </w:p>
    <w:p>
      <w:pPr>
        <w:spacing w:after="0" w:line="166"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6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5" w:name="page66"/>
    <w:bookmarkEnd w:id="65"/>
    <w:p>
      <w:pPr>
        <w:ind w:right="6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6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right="40" w:firstLine="259"/>
        <w:spacing w:after="0" w:line="290" w:lineRule="auto"/>
        <w:rPr>
          <w:sz w:val="20"/>
          <w:szCs w:val="20"/>
          <w:color w:val="auto"/>
        </w:rPr>
      </w:pPr>
      <w:r>
        <w:rPr>
          <w:rFonts w:ascii="Arial" w:cs="Arial" w:eastAsia="Arial" w:hAnsi="Arial"/>
          <w:sz w:val="16"/>
          <w:szCs w:val="16"/>
          <w:color w:val="auto"/>
        </w:rPr>
        <w:t>Our current approach to hedging the foreign currency exposure in our non-U.S. dollar denominated investments is primarily to borrow the necessary local currency under our Revolving Credit Facility to fund these investments. For the years ended December 31, 2016, 2015 and 2014, we had $3.6 million of unrealized losses and $6.3 million and $8.9 million of unrealized gains, respectively, on the translation of our non-U.S. dollar denominated debt into U.S. dollars; such amounts approximate the corresponding unrealized gains and losses on the translation of our non-U.S. dollar denominated investments into U.S. dollars for the years ended December 31, 2016, 2015 and 2014. See Note 2 to our consolidated financial statements for additional disclosure regarding our accounting for foreign currency. See Note 7 to our consolidated financial statements for additional disclosure regarding the amounts of outstanding debt denominated in each foreign currency at December 31, 2016. See our consolidated schedule of investments for additional disclosure regarding the foreign currency amounts (in both par and fair value) of our non-U.S. dollar denominated investments.</w:t>
      </w:r>
    </w:p>
    <w:p>
      <w:pPr>
        <w:spacing w:after="0" w:line="166"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During the years ended December 31, 2016 and December 31, 2015, we entered into foreign currency forward contracts to facilitate settlement of purchases and sales of investments denominated in foreign currencies. We bear the costs incurred in connection with entering into, administering and settling derivative contracts. There can be no assurance any hedging strategy we employ will be successful.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December 31, 2016, 2015 and 2014, our asset coverage ratio was 237.7%, 225.7%, and 311.0%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82" w:lineRule="exact"/>
        <w:rPr>
          <w:sz w:val="20"/>
          <w:szCs w:val="20"/>
          <w:color w:val="auto"/>
        </w:rPr>
      </w:pPr>
    </w:p>
    <w:p>
      <w:pPr>
        <w:jc w:val="both"/>
        <w:ind w:right="380" w:firstLine="259"/>
        <w:spacing w:after="0" w:line="264" w:lineRule="auto"/>
        <w:rPr>
          <w:sz w:val="20"/>
          <w:szCs w:val="20"/>
          <w:color w:val="auto"/>
        </w:rPr>
      </w:pPr>
      <w:r>
        <w:rPr>
          <w:rFonts w:ascii="Arial" w:cs="Arial" w:eastAsia="Arial" w:hAnsi="Arial"/>
          <w:sz w:val="18"/>
          <w:szCs w:val="18"/>
          <w:color w:val="auto"/>
        </w:rPr>
        <w:t>Cash and cash equivalents as of December 31, 2016, taken together with cash available under our credit facilities, is expected to be sufficient for our investing activities and to conduct our operations in the near term. As of December 31, 2016, we had approximately $366.3 million of availability on our Revolving Credit Facility, subject to asset coverage limitations.</w:t>
      </w:r>
    </w:p>
    <w:p>
      <w:pPr>
        <w:spacing w:after="0" w:line="181" w:lineRule="exact"/>
        <w:rPr>
          <w:sz w:val="20"/>
          <w:szCs w:val="20"/>
          <w:color w:val="auto"/>
        </w:rPr>
      </w:pPr>
    </w:p>
    <w:p>
      <w:pPr>
        <w:jc w:val="both"/>
        <w:ind w:right="20" w:firstLine="259"/>
        <w:spacing w:after="0" w:line="257" w:lineRule="auto"/>
        <w:rPr>
          <w:sz w:val="20"/>
          <w:szCs w:val="20"/>
          <w:color w:val="auto"/>
        </w:rPr>
      </w:pPr>
      <w:r>
        <w:rPr>
          <w:rFonts w:ascii="Arial" w:cs="Arial" w:eastAsia="Arial" w:hAnsi="Arial"/>
          <w:sz w:val="18"/>
          <w:szCs w:val="18"/>
          <w:color w:val="auto"/>
        </w:rPr>
        <w:t>As of December 31, 2016, we had $4.9 million in cash and cash equivalents. During the year ended December 31, 2016, we used $37.9 million in cash for operating activities, primarily as a result of funding portfolio investments of $720.7 million and other operating activity of $49.8 million, which was partially offset by proceeds from investments of $71.4 million, repayments on investments of $524.2 million, and an increase in net assets resulting from operations of $137.0 million. Lastly, cash provided by financing activities was $40.3 million during the period, primarily due to borrowings of $580.4 million and proceeds from issuance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6" w:name="page67"/>
    <w:bookmarkEnd w:id="66"/>
    <w:p>
      <w:pPr>
        <w:ind w:right="940"/>
        <w:spacing w:after="0" w:line="277" w:lineRule="auto"/>
        <w:rPr>
          <w:sz w:val="20"/>
          <w:szCs w:val="20"/>
          <w:color w:val="auto"/>
        </w:rPr>
      </w:pPr>
      <w:r>
        <w:rPr>
          <w:rFonts w:ascii="Arial" w:cs="Arial" w:eastAsia="Arial" w:hAnsi="Arial"/>
          <w:sz w:val="18"/>
          <w:szCs w:val="18"/>
          <w:color w:val="auto"/>
        </w:rPr>
        <w:t>common stock (net of purchases of treasury stock and offering and underwriting costs) of $76.9 million, partially offset by repayments on debt of $533.8 million, debt issuance costs of $2.9 million and dividends paid of $80.3 million.</w:t>
      </w:r>
    </w:p>
    <w:p>
      <w:pPr>
        <w:spacing w:after="0" w:line="170"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color w:val="auto"/>
        </w:rPr>
        <w:t>As of December 31, 2015, we had $2.4 million in cash and cash equivalents. During the year ended December 31, 2015, we used $183.5 million in cash for operating activities, primarily as a result of funding portfolio investments of $757.3 million and other operating activity of $3.4 million, which was partially offset by proceeds from investments of $39.1 million, repayments on investments of $474.5 million, and an increase in net assets resulting from operations of $63.6 million. Lastly, cash provided by financing activities was $183.5 million during the period, primarily due to borrowings of $847.5 million, partially offset by repayments on debt of $584.5 million, debt issuance costs of $1.4 million and dividends paid of $78.1 million.</w:t>
      </w:r>
    </w:p>
    <w:p>
      <w:pPr>
        <w:spacing w:after="0" w:line="173"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As of December 31, 2016, we had $1.1 million of restricted cash pledged as collateral under our interest rate swap agreements, compared to $0.9 million as of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On March 3, 2016, we issued 5,000,000 shares of common stock at $16.42 per share. Net of underwriting fees and offering costs, we received total cash proceeds of $78.3 million.</w:t>
      </w:r>
    </w:p>
    <w:p>
      <w:pPr>
        <w:spacing w:after="0" w:line="170"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During the years ended December 31, 2016 and 2015, we also issued 638,326 and 368,602 shares of our common stock, respectively, to investors who have not opted out of our dividend reinvestment plan for proceeds of $10.3 million and $6.1 million, respectively. On February 1, 2017, we issued 122,836 shares of our common stock through our dividend reinvestment plan for proceeds of $2.1 million, which is not reflected in the number of shares issued for the year ended December 31, 2015 in this section or the consolidated financial statements for the year ended December 31, 2015.</w:t>
      </w:r>
    </w:p>
    <w:p>
      <w:pPr>
        <w:spacing w:after="0" w:line="171" w:lineRule="exact"/>
        <w:rPr>
          <w:sz w:val="20"/>
          <w:szCs w:val="20"/>
          <w:color w:val="auto"/>
        </w:rPr>
      </w:pPr>
    </w:p>
    <w:p>
      <w:pPr>
        <w:ind w:right="220" w:firstLine="259"/>
        <w:spacing w:after="0" w:line="30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current market conditions, if our common stock is trading below our then-current net asset value, it is in the best interest of our stockholders for us to reinvest in our portfolio and increase our leverage ratio through share repurchases.</w:t>
      </w:r>
    </w:p>
    <w:p>
      <w:pPr>
        <w:spacing w:after="0" w:line="154"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The Company 10b5-1 Plan expired in accordance with its terms on June 30, 2015. On August 4, 2015, the Board authorized us to enter into a new stock repurchase plan, on substantially the same terms as the prior stock repurchase plan. On February 22, 2017, the Board authorized the extension of the termination date of the Company 10b5-1 Plan to August 31, 2017. Unless extended or terminated by the Board, the Company 10b5-1 Plan will be in effect through the earlier of August 31, 2017 or such time as the current approved repurchase amount of up to $50 million has been fully utilized, subject to certain conditions.</w:t>
      </w:r>
    </w:p>
    <w:p>
      <w:pPr>
        <w:spacing w:after="0" w:line="188" w:lineRule="exact"/>
        <w:rPr>
          <w:sz w:val="20"/>
          <w:szCs w:val="20"/>
          <w:color w:val="auto"/>
        </w:rPr>
      </w:pPr>
    </w:p>
    <w:p>
      <w:pPr>
        <w:ind w:right="400" w:firstLine="259"/>
        <w:spacing w:after="0" w:line="286" w:lineRule="auto"/>
        <w:rPr>
          <w:sz w:val="20"/>
          <w:szCs w:val="20"/>
          <w:color w:val="auto"/>
        </w:rPr>
      </w:pPr>
      <w:r>
        <w:rPr>
          <w:rFonts w:ascii="Arial" w:cs="Arial" w:eastAsia="Arial" w:hAnsi="Arial"/>
          <w:sz w:val="17"/>
          <w:szCs w:val="17"/>
          <w:color w:val="auto"/>
        </w:rPr>
        <w:t>During the year ended December 31, 2016, 86,081 shares were repurchased under the Company 10b5-1 Plan at a weighted average price per share of $15.44, inclusive of commissions, for a total cost of $1.3 million. During the year ended December 31, 2015, 2,000 shares were repurchased under the Company 10b5-1 Plan at a weighted average price per share of $14.44, inclusive of commissions, for a total cost of $28.9.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December 31, 2016 and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446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5"/>
              </w:rPr>
              <w:t>Aggregate Principal</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79"/>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5"/>
                <w:szCs w:val="15"/>
                <w:color w:val="auto"/>
              </w:rPr>
            </w:pPr>
          </w:p>
        </w:tc>
      </w:tr>
      <w:tr>
        <w:trPr>
          <w:trHeight w:val="219"/>
        </w:trPr>
        <w:tc>
          <w:tcPr>
            <w:tcW w:w="4460" w:type="dxa"/>
            <w:vAlign w:val="bottom"/>
          </w:tcPr>
          <w:p>
            <w:pPr>
              <w:spacing w:after="0"/>
              <w:rPr>
                <w:sz w:val="20"/>
                <w:szCs w:val="20"/>
                <w:color w:val="auto"/>
              </w:rPr>
            </w:pPr>
            <w:r>
              <w:rPr>
                <w:rFonts w:ascii="Arial" w:cs="Arial" w:eastAsia="Arial" w:hAnsi="Arial"/>
                <w:sz w:val="14"/>
                <w:szCs w:val="14"/>
                <w:color w:val="auto"/>
              </w:rPr>
              <w:t>($ in millions)</w:t>
            </w: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6"/>
              </w:rPr>
              <w:t>Amount Committed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279"/>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17"/>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Convertible Senior Notes</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FF0FC"/>
            </w:tcBorders>
          </w:tcPr>
          <w:p>
            <w:pPr>
              <w:spacing w:after="0"/>
              <w:rPr>
                <w:sz w:val="19"/>
                <w:szCs w:val="19"/>
                <w:color w:val="auto"/>
              </w:rPr>
            </w:pPr>
          </w:p>
        </w:tc>
      </w:tr>
      <w:tr>
        <w:trPr>
          <w:trHeight w:val="223"/>
        </w:trPr>
        <w:tc>
          <w:tcPr>
            <w:tcW w:w="4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Convertible Senior Notes are presented net of deferred financing costs of $8.7 million and $2.3 million, respectively.</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446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5"/>
              </w:rPr>
              <w:t>Aggregate Principal</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79"/>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5"/>
                <w:szCs w:val="15"/>
                <w:color w:val="auto"/>
              </w:rPr>
            </w:pPr>
          </w:p>
        </w:tc>
      </w:tr>
      <w:tr>
        <w:trPr>
          <w:trHeight w:val="219"/>
        </w:trPr>
        <w:tc>
          <w:tcPr>
            <w:tcW w:w="4460" w:type="dxa"/>
            <w:vAlign w:val="bottom"/>
          </w:tcPr>
          <w:p>
            <w:pPr>
              <w:spacing w:after="0"/>
              <w:rPr>
                <w:sz w:val="20"/>
                <w:szCs w:val="20"/>
                <w:color w:val="auto"/>
              </w:rPr>
            </w:pPr>
            <w:r>
              <w:rPr>
                <w:rFonts w:ascii="Arial" w:cs="Arial" w:eastAsia="Arial" w:hAnsi="Arial"/>
                <w:sz w:val="14"/>
                <w:szCs w:val="14"/>
                <w:color w:val="auto"/>
              </w:rPr>
              <w:t>($ in millions)</w:t>
            </w: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6"/>
              </w:rPr>
              <w:t>Amount Committed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279"/>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17"/>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Convertible Senior Notes</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FF0FC"/>
            </w:tcBorders>
          </w:tcPr>
          <w:p>
            <w:pPr>
              <w:spacing w:after="0"/>
              <w:rPr>
                <w:sz w:val="19"/>
                <w:szCs w:val="19"/>
                <w:color w:val="auto"/>
              </w:rPr>
            </w:pPr>
          </w:p>
        </w:tc>
      </w:tr>
      <w:tr>
        <w:trPr>
          <w:trHeight w:val="223"/>
        </w:trPr>
        <w:tc>
          <w:tcPr>
            <w:tcW w:w="4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936.3</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Convertible Senior Notes are presented net of deferred financing costs of $7.3 million and $3.1 million, respectively.</w:t>
      </w:r>
    </w:p>
    <w:p>
      <w:pPr>
        <w:spacing w:after="0" w:line="184"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As of December 31, 2016 and December 31, 2015,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5"/>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500" w:hanging="255"/>
        <w:spacing w:after="0" w:line="277"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780" w:right="260" w:hanging="259"/>
        <w:spacing w:after="0" w:line="277" w:lineRule="auto"/>
        <w:tabs>
          <w:tab w:leader="none" w:pos="7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8" w:name="page69"/>
    <w:bookmarkEnd w:id="68"/>
    <w:p>
      <w:pPr>
        <w:jc w:val="both"/>
        <w:ind w:right="160" w:firstLine="259"/>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17" w:lineRule="exact"/>
        <w:rPr>
          <w:sz w:val="20"/>
          <w:szCs w:val="20"/>
          <w:color w:val="auto"/>
        </w:rPr>
      </w:pPr>
    </w:p>
    <w:p>
      <w:pPr>
        <w:ind w:left="520" w:right="60" w:hanging="255"/>
        <w:spacing w:after="0" w:line="308" w:lineRule="auto"/>
        <w:tabs>
          <w:tab w:leader="none" w:pos="5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right="100" w:firstLine="259"/>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2, 2015, we entered into a fourth amendment to the Revolving Credit Facility:</w:t>
      </w:r>
    </w:p>
    <w:p>
      <w:pPr>
        <w:spacing w:after="0" w:line="117" w:lineRule="exact"/>
        <w:rPr>
          <w:sz w:val="20"/>
          <w:szCs w:val="20"/>
          <w:color w:val="auto"/>
        </w:rPr>
      </w:pPr>
    </w:p>
    <w:p>
      <w:pPr>
        <w:ind w:left="520" w:right="60" w:hanging="255"/>
        <w:spacing w:after="0" w:line="264"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17" w:lineRule="exact"/>
        <w:rPr>
          <w:rFonts w:ascii="Arial" w:cs="Arial" w:eastAsia="Arial" w:hAnsi="Arial"/>
          <w:sz w:val="18"/>
          <w:szCs w:val="18"/>
          <w:color w:val="auto"/>
        </w:rPr>
      </w:pPr>
    </w:p>
    <w:p>
      <w:pPr>
        <w:ind w:left="520" w:right="40" w:hanging="255"/>
        <w:spacing w:after="0" w:line="277"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increasing the accordion feature, which allows us, under certain circumstances, to increase the size of the Revolving Credit Facility, from a maximum of $956.3 million to a maximum of $1.25 billion.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22, 2016, we entered into a fifth amendment to the Revolving Credit Facility:</w:t>
      </w:r>
    </w:p>
    <w:p>
      <w:pPr>
        <w:spacing w:after="0" w:line="117" w:lineRule="exact"/>
        <w:rPr>
          <w:sz w:val="20"/>
          <w:szCs w:val="20"/>
          <w:color w:val="auto"/>
        </w:rPr>
      </w:pPr>
    </w:p>
    <w:p>
      <w:pPr>
        <w:ind w:left="520" w:hanging="255"/>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increasing the aggregate commitments from $821.3 million to $945.0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respect to $885.0 million in commitments,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extending the revolving period from October 2, 2019 to December 22, 2020; and</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extending the stated maturity date from October 2, 2020 to December 22, 2021.</w:t>
      </w:r>
    </w:p>
    <w:p>
      <w:pPr>
        <w:spacing w:after="0" w:line="225"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December 31, 2016, we had outstanding debt denominated in Euro (EUR) of 47.1 million and Pound Sterling (GBP) of 13.3 million on our Revolving Credit Facility, included in the Outstanding Principal amount in the table above.</w:t>
      </w:r>
    </w:p>
    <w:p>
      <w:pPr>
        <w:spacing w:after="0" w:line="181" w:lineRule="exact"/>
        <w:rPr>
          <w:sz w:val="20"/>
          <w:szCs w:val="20"/>
          <w:color w:val="auto"/>
        </w:rPr>
      </w:pPr>
    </w:p>
    <w:p>
      <w:pPr>
        <w:jc w:val="both"/>
        <w:ind w:firstLine="259"/>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ind w:right="140" w:firstLine="259"/>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69" w:name="page70"/>
    <w:bookmarkEnd w:id="69"/>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 and</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Net proceeds received from our IPO, the exercise of the underwriters’ over-allotment option from the IPO, and net proceeds received from the issuance of the 2019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On May 8, 2012, the Closing Date, our wholly owned subsidiary TPG SL SPV, LLC,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 retain a residual interest in assets contributed to or acquired by TPG SL SPV through our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67" w:lineRule="exact"/>
        <w:rPr>
          <w:sz w:val="20"/>
          <w:szCs w:val="20"/>
          <w:color w:val="auto"/>
        </w:rPr>
      </w:pPr>
    </w:p>
    <w:p>
      <w:pPr>
        <w:ind w:right="80" w:firstLine="259"/>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After giving effect to amendments to the credit and security agreement in January 2014 and March 2015, the facility had commitments of $175 million and the pricing ranged from cost of funds plus 225 basis points to LIBOR plus 235 basis points and the facility was scheduled to mature on January 21, 2021.</w:t>
      </w:r>
    </w:p>
    <w:p>
      <w:pPr>
        <w:spacing w:after="0" w:line="181" w:lineRule="exact"/>
        <w:rPr>
          <w:sz w:val="20"/>
          <w:szCs w:val="20"/>
          <w:color w:val="auto"/>
        </w:rPr>
      </w:pPr>
    </w:p>
    <w:p>
      <w:pPr>
        <w:ind w:right="340" w:firstLine="259"/>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our other debt obligations.</w:t>
      </w:r>
    </w:p>
    <w:p>
      <w:pPr>
        <w:spacing w:after="0" w:line="188" w:lineRule="exact"/>
        <w:rPr>
          <w:sz w:val="20"/>
          <w:szCs w:val="20"/>
          <w:color w:val="auto"/>
        </w:rPr>
      </w:pPr>
    </w:p>
    <w:p>
      <w:pPr>
        <w:ind w:firstLine="259"/>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On June 10, 2014, we issued in a private offering $115 million aggregate principal amount convertible senior notes due December 2019, or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our common stock or a combination of cash and shares of our common stock, at our election, at an initial conversion rate of 38.7162 shares of common stock per $1,000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ind w:right="60"/>
        <w:spacing w:after="0" w:line="255" w:lineRule="auto"/>
        <w:rPr>
          <w:sz w:val="20"/>
          <w:szCs w:val="20"/>
          <w:color w:val="auto"/>
        </w:rPr>
      </w:pPr>
      <w:r>
        <w:rPr>
          <w:rFonts w:ascii="Arial" w:cs="Arial" w:eastAsia="Arial" w:hAnsi="Arial"/>
          <w:sz w:val="18"/>
          <w:szCs w:val="18"/>
          <w:color w:val="auto"/>
        </w:rPr>
        <w:t>principal amount of 2019 Convertible Senior Notes, which is equivalent to an initial conversion price of approximately $25.83 per share of our common stock, subject to customary anti-dilution adjustments. The sale of the 2019 Convertible Senior Notes generated net proceeds of approximately $110.8 million. We used the net proceeds of the offering to pay down debt under the Revolving Credit Facility. In connection with the offering of 2019 Convertible Senior Notes, we have entered into interest rate swaps to continue to align the interest rates of our liabilities with our investment portfolio, which consists of predominately floating rate loans. As a result of the swaps, our effective interest rate on the 2019 Convertible Senior Notes is three-month LIBOR plus 286 basis points.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2019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120" w:firstLine="8"/>
        <w:spacing w:after="0" w:line="254"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or the measurement period, in which the trading price (as defined in the indenture governing the 2019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w:t>
      </w:r>
    </w:p>
    <w:p>
      <w:pPr>
        <w:spacing w:after="0" w:line="190"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0"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54"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As of December 31, 2016, the principal amount of the 2019 Convertible Senior Notes exceeded the value of the underlying shares multiplied by the per share closing price of our common stock.</w:t>
      </w:r>
    </w:p>
    <w:p>
      <w:pPr>
        <w:spacing w:after="0" w:line="170"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2019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2019 Convertible Senior Notes under certain circumstances. These covenants are subject to important limitations and exceptions that are described in the 2019 Convertible Senior Notes Indenture. As of December 31, 2016 and December 31, 2015, we were in compliance with the terms of the 2019 Convertible Senior Notes Indenture.</w:t>
      </w:r>
    </w:p>
    <w:p>
      <w:pPr>
        <w:spacing w:after="0" w:line="188"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The 2019 Convertible Senior Notes are accounted for in accordance with Accounting Standards Codification (“ASC”) 470-20. Upon conversion of any of the 2019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2019 Convertible Senior Notes Indenture. We have determined that the embedded conversion options in the 2019 Convertible Senior Notes are not required to be separately accounted for as a derivative under U.S. GAAP. In accounting for the 2019 Convertible Senior Notes, we estimated at the time of issuance separate debt and equity components of the 2019 Convertible Senior Notes. An original issue discount equal to the equity components of the 2019 Convertible Senior Notes was recorded in “additional paid-in capital” in the accompanying consolidated balance sheet. Additionally, the issuance costs associated with the 2019 Convertible Senior Notes were allocated to the debt and equity components in proportion to the allocation of the proceeds and accounted for as debt issuance costs and equity issuance costs,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Senior Notes</w:t>
      </w:r>
    </w:p>
    <w:p>
      <w:pPr>
        <w:spacing w:after="0" w:line="117"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On February 1, 2017, we issued in a private offering $100 million aggregate principal amount of 4.50% Convertible Senior Notes due 2022 (the “2022 Convertible Senior Notes”). On February 3, 2017, we issued an additional $15 million aggregate principal amount of the 2022 Convertible Senior Notes pursuant to the exercise in full of the over-allotment option to purchase additional notes granted to the initial purchasers. The 2022 Convertible Senior Notes are unsecured, and bear interest at a rate of 4.50% per year, payable semiannually. The 2022 Convertible Senior Notes will mature on August 1, 2022. In certain circumstances, the Convertible Senior Notes will be convertible into cash, shares of the Company’s common stock or a combination of cash and shares of the Company’s common stock, at the Company’s election, at an initial conversion rate of 46.8516 shares of common stock per $1,000 principal amount of 2022 Convertible Senior Notes, which is equivalent to an initial conversion price of approximately $21.34 per share of our common stock, subject to customary anti-dilution adjustments. The sale of the 2022 Convertible Senior Notes generated net proceeds of approximately $110.6 million. We used the net proceeds of the 2022 Convertible Senior Notes issuances to pay down debt under the Revolving Credit Facility.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ind w:right="100" w:firstLine="259"/>
        <w:spacing w:after="0" w:line="264" w:lineRule="auto"/>
        <w:rPr>
          <w:sz w:val="20"/>
          <w:szCs w:val="20"/>
          <w:color w:val="auto"/>
        </w:rPr>
      </w:pPr>
      <w:r>
        <w:rPr>
          <w:rFonts w:ascii="Arial" w:cs="Arial" w:eastAsia="Arial" w:hAnsi="Arial"/>
          <w:sz w:val="18"/>
          <w:szCs w:val="18"/>
          <w:color w:val="auto"/>
        </w:rPr>
        <w:t>On February 1, 2017, in connection with the issuance of the 2022 Convertible Senior Notes, we entered into an interest rate swap transaction with a notional amount of $115 million. We pay three-month LIBOR plus 237.2 basis points and receives fixed rate interest at 4.50%. The swap transaction matures on August 1,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2016 and 2015, we had the following commitments to fund investments in current portfolio companies: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80" w:type="dxa"/>
            <w:vAlign w:val="bottom"/>
          </w:tcPr>
          <w:p>
            <w:pPr>
              <w:spacing w:after="0"/>
              <w:rPr>
                <w:sz w:val="20"/>
                <w:szCs w:val="20"/>
                <w:color w:val="auto"/>
              </w:rPr>
            </w:pPr>
            <w:r>
              <w:rPr>
                <w:rFonts w:ascii="Arial" w:cs="Arial" w:eastAsia="Arial" w:hAnsi="Arial"/>
                <w:sz w:val="14"/>
                <w:szCs w:val="14"/>
                <w:color w:val="auto"/>
              </w:rPr>
              <w:t>($ in millions)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2015</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AvidXchange, Inc. - Delayed Draw Term Loan</w:t>
            </w:r>
          </w:p>
        </w:tc>
        <w:tc>
          <w:tcPr>
            <w:tcW w:w="4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Clarabridge, Inc. - Revolver</w:t>
            </w: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CrunchTime Information Systems, Inc. - Delayed Draw</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Term Loan</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0"/>
                <w:szCs w:val="20"/>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Revolver</w:t>
            </w: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Ecommerce Industries, Inc. - Delayed Draw Term Loan</w:t>
            </w:r>
          </w:p>
        </w:tc>
        <w:tc>
          <w:tcPr>
            <w:tcW w:w="4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Heartland Automotive Holdings, LLC - Revolver</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Helix Health, Ltd. - Revolver</w:t>
            </w: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Highwinds Capital, Inc. - Revolver</w:t>
            </w:r>
          </w:p>
        </w:tc>
        <w:tc>
          <w:tcPr>
            <w:tcW w:w="4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Marketo, Inc. - Revolver</w:t>
            </w: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MyAlarm Center, LLC - Delayed Draw</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Network Merchants, Inc. - Revolver</w:t>
            </w: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PayLease, LLC - Revolver</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SailPoint Technologies, Inc. - Revolver</w:t>
            </w: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ScentAir Technologies, Inc. - Multi Draw Term Loan</w:t>
            </w:r>
          </w:p>
        </w:tc>
        <w:tc>
          <w:tcPr>
            <w:tcW w:w="4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Sears - ABL Revolver</w:t>
            </w:r>
          </w:p>
        </w:tc>
        <w:tc>
          <w:tcPr>
            <w:tcW w:w="4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6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As of December 31, 2016, we had additional unfunded commitments of $50.0 million to fund investments to new borrowers that were not current portfolio companies as of December 31, 2016. As of December 31, 2015, we did not have any unfunded commitments to fund investments to new borrowers that were not current portfolio companies as of December 31, 2015.</w:t>
      </w:r>
    </w:p>
    <w:p>
      <w:pPr>
        <w:spacing w:after="0" w:line="181"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2" w:name="page73"/>
    <w:bookmarkEnd w:id="72"/>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December 31, 2016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88"/>
              </w:rPr>
              <w:t>Less than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1 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2019 Convertible Senior Notes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 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jc w:val="both"/>
        <w:ind w:right="220" w:firstLine="259"/>
        <w:spacing w:after="0" w:line="264"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3" w:name="page74"/>
    <w:bookmarkEnd w:id="73"/>
    <w:p>
      <w:pPr>
        <w:ind w:right="60"/>
        <w:spacing w:after="0" w:line="277" w:lineRule="auto"/>
        <w:rPr>
          <w:sz w:val="20"/>
          <w:szCs w:val="20"/>
          <w:color w:val="auto"/>
        </w:rPr>
      </w:pPr>
      <w:r>
        <w:rPr>
          <w:rFonts w:ascii="Arial" w:cs="Arial" w:eastAsia="Arial" w:hAnsi="Arial"/>
          <w:sz w:val="18"/>
          <w:szCs w:val="18"/>
          <w:color w:val="auto"/>
        </w:rPr>
        <w:t>who receive distributions in the form of shares of common stock will be subject to the same U.S. federal, state and local tax consequences as if they received cash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60" w:hanging="255"/>
        <w:spacing w:after="0" w:line="264"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Arial" w:cs="Arial" w:eastAsia="Arial" w:hAnsi="Arial"/>
          <w:sz w:val="17"/>
          <w:szCs w:val="17"/>
          <w:i w:val="1"/>
          <w:iCs w:val="1"/>
          <w:color w:val="auto"/>
        </w:rPr>
        <w:t>“ITEM 1A. RISK FACTORS.”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160" w:firstLine="259"/>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17" w:lineRule="exact"/>
        <w:rPr>
          <w:sz w:val="20"/>
          <w:szCs w:val="20"/>
          <w:color w:val="auto"/>
        </w:rPr>
      </w:pPr>
    </w:p>
    <w:p>
      <w:pPr>
        <w:ind w:left="520" w:hanging="255"/>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17" w:lineRule="exact"/>
        <w:rPr>
          <w:rFonts w:ascii="Arial" w:cs="Arial" w:eastAsia="Arial" w:hAnsi="Arial"/>
          <w:sz w:val="18"/>
          <w:szCs w:val="18"/>
          <w:color w:val="auto"/>
        </w:rPr>
      </w:pPr>
    </w:p>
    <w:p>
      <w:pPr>
        <w:ind w:left="520" w:right="420" w:hanging="255"/>
        <w:spacing w:after="0" w:line="277"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620" w:firstLine="259"/>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74" w:name="page75"/>
    <w:bookmarkEnd w:id="74"/>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40" w:hanging="255"/>
        <w:spacing w:after="0" w:line="277"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40" w:hanging="255"/>
        <w:spacing w:after="0" w:line="277"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60" w:hanging="255"/>
        <w:spacing w:after="0" w:line="264"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right="120" w:firstLine="259"/>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20" w:hanging="255"/>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17" w:lineRule="exact"/>
        <w:rPr>
          <w:rFonts w:ascii="Arial" w:cs="Arial" w:eastAsia="Arial" w:hAnsi="Arial"/>
          <w:sz w:val="18"/>
          <w:szCs w:val="18"/>
          <w:color w:val="auto"/>
        </w:rPr>
      </w:pPr>
    </w:p>
    <w:p>
      <w:pPr>
        <w:ind w:left="520" w:right="740" w:hanging="255"/>
        <w:spacing w:after="0" w:line="277"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67"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our consolidated financial statements included in this Form 10-K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5" w:name="page76"/>
    <w:bookmarkEnd w:id="75"/>
    <w:p>
      <w:pPr>
        <w:ind w:right="320"/>
        <w:spacing w:after="0" w:line="277" w:lineRule="auto"/>
        <w:rPr>
          <w:sz w:val="20"/>
          <w:szCs w:val="20"/>
          <w:color w:val="auto"/>
        </w:rPr>
      </w:pPr>
      <w:r>
        <w:rPr>
          <w:rFonts w:ascii="Arial" w:cs="Arial" w:eastAsia="Arial" w:hAnsi="Arial"/>
          <w:sz w:val="18"/>
          <w:szCs w:val="18"/>
          <w:color w:val="auto"/>
        </w:rPr>
        <w:t>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70"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7" w:lineRule="exact"/>
        <w:rPr>
          <w:sz w:val="20"/>
          <w:szCs w:val="20"/>
          <w:color w:val="auto"/>
        </w:rPr>
      </w:pPr>
    </w:p>
    <w:p>
      <w:pPr>
        <w:ind w:right="100" w:firstLine="259"/>
        <w:spacing w:after="0" w:line="255" w:lineRule="auto"/>
        <w:rPr>
          <w:sz w:val="20"/>
          <w:szCs w:val="20"/>
          <w:color w:val="auto"/>
        </w:rPr>
      </w:pPr>
      <w:r>
        <w:rPr>
          <w:rFonts w:ascii="Arial" w:cs="Arial" w:eastAsia="Arial" w:hAnsi="Arial"/>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As of December 31, 2016, the Company did not have any uncertain tax positions that met the recognition or measurement criteria, nor did the Company have any unrecognized tax benefits. Conclusions regarding tax positions are subject to review and may be adjusted at a later date based on factors including on-going analyses of tax laws, regulations and interpretations thereof. The Company’s 2015, 2014 and 2013 tax year returns remain subject to examination by the relevant federal and state tax authorities.</w:t>
      </w:r>
    </w:p>
    <w:p>
      <w:pPr>
        <w:spacing w:after="0" w:line="189"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2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As of December 31, 2016, 98.4% of our debt investments based on fair value in our portfolio bore interest at floating rates (when including investment specific hedges), with 94.8% of these subject to interest rate floors. Our credit facilities also bear interest at floating rates, and in connection with our 2019 Convertible Senior Notes, which bear interest at a fixed rate; we entered into fixed-to-floating interest rate swaps in order to continue to align the interest rates of our liabilities with our investment portfolio.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6" w:name="page77"/>
    <w:bookmarkEnd w:id="76"/>
    <w:p>
      <w:pPr>
        <w:ind w:firstLine="259"/>
        <w:spacing w:after="0" w:line="264" w:lineRule="auto"/>
        <w:rPr>
          <w:sz w:val="20"/>
          <w:szCs w:val="20"/>
          <w:color w:val="auto"/>
        </w:rPr>
      </w:pPr>
      <w:r>
        <w:rPr>
          <w:rFonts w:ascii="Arial" w:cs="Arial" w:eastAsia="Arial" w:hAnsi="Arial"/>
          <w:sz w:val="18"/>
          <w:szCs w:val="18"/>
          <w:color w:val="auto"/>
        </w:rPr>
        <w:t>Assuming that our consolidated balance sheet as of December 31, 2016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Interest Income</w:t>
            </w:r>
          </w:p>
        </w:tc>
        <w:tc>
          <w:tcPr>
            <w:tcW w:w="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Up 200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Down 25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6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10280" w:type="dxa"/>
            <w:vAlign w:val="bottom"/>
            <w:gridSpan w:val="8"/>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60" w:type="dxa"/>
            <w:vAlign w:val="bottom"/>
            <w:gridSpan w:val="6"/>
          </w:tcPr>
          <w:p>
            <w:pPr>
              <w:jc w:val="center"/>
              <w:ind w:right="3080"/>
              <w:spacing w:after="0"/>
              <w:rPr>
                <w:sz w:val="20"/>
                <w:szCs w:val="20"/>
                <w:color w:val="auto"/>
              </w:rPr>
            </w:pPr>
            <w:r>
              <w:rPr>
                <w:rFonts w:ascii="Arial" w:cs="Arial" w:eastAsia="Arial" w:hAnsi="Arial"/>
                <w:sz w:val="18"/>
                <w:szCs w:val="18"/>
                <w:b w:val="1"/>
                <w:bCs w:val="1"/>
                <w:color w:val="auto"/>
              </w:rPr>
              <w:t>TPG SPECIALTY LENDING, INC.</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7120" w:type="dxa"/>
            <w:vAlign w:val="bottom"/>
            <w:gridSpan w:val="7"/>
          </w:tcPr>
          <w:p>
            <w:pPr>
              <w:jc w:val="center"/>
              <w:ind w:right="200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280" w:type="dxa"/>
            <w:vAlign w:val="bottom"/>
            <w:gridSpan w:val="8"/>
            <w:vMerge w:val="restart"/>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Report of Independent Registered Public Accounting Firm</w:t>
              </w:r>
            </w:hyperlink>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280" w:type="dxa"/>
            <w:vAlign w:val="bottom"/>
            <w:gridSpan w:val="8"/>
            <w:vMerge w:val="continue"/>
          </w:tcPr>
          <w:p>
            <w:pPr>
              <w:spacing w:after="0"/>
              <w:rPr>
                <w:sz w:val="13"/>
                <w:szCs w:val="13"/>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Consolidated Balance Sheets as of December 31, 2016 and 2015</w:t>
              </w:r>
            </w:hyperlink>
          </w:p>
        </w:tc>
        <w:tc>
          <w:tcPr>
            <w:tcW w:w="5620" w:type="dxa"/>
            <w:vAlign w:val="bottom"/>
            <w:gridSpan w:val="5"/>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18"/>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Operations for the Years Ended December 31, 2016, 2015 and 2014</w:t>
              </w:r>
            </w:hyperlink>
          </w:p>
        </w:tc>
        <w:tc>
          <w:tcPr>
            <w:tcW w:w="3360" w:type="dxa"/>
            <w:vAlign w:val="bottom"/>
            <w:gridSpan w:val="3"/>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18"/>
        </w:trPr>
        <w:tc>
          <w:tcPr>
            <w:tcW w:w="10280" w:type="dxa"/>
            <w:vAlign w:val="bottom"/>
            <w:gridSpan w:val="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Schedules of Investments as of December 31, 2016 and 2015</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80" w:type="dxa"/>
            <w:vAlign w:val="bottom"/>
            <w:gridSpan w:val="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Consolidated Statements of Changes in Net Assets for the Years Ended December 31, 2016, 2015 and 2014</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318"/>
        </w:trPr>
        <w:tc>
          <w:tcPr>
            <w:tcW w:w="7740" w:type="dxa"/>
            <w:vAlign w:val="bottom"/>
            <w:tcBorders>
              <w:top w:val="single" w:sz="8" w:color="0000EE"/>
            </w:tcBorders>
            <w:gridSpan w:val="7"/>
          </w:tcPr>
          <w:p>
            <w:pPr>
              <w:spacing w:after="0"/>
              <w:rPr>
                <w:rFonts w:ascii="Arial" w:cs="Arial" w:eastAsia="Arial" w:hAnsi="Arial"/>
                <w:sz w:val="18"/>
                <w:szCs w:val="18"/>
                <w:color w:val="0000EE"/>
                <w:w w:val="99"/>
              </w:rPr>
            </w:pPr>
            <w:hyperlink w:anchor="page92">
              <w:r>
                <w:rPr>
                  <w:rFonts w:ascii="Arial" w:cs="Arial" w:eastAsia="Arial" w:hAnsi="Arial"/>
                  <w:sz w:val="18"/>
                  <w:szCs w:val="18"/>
                  <w:color w:val="0000EE"/>
                  <w:w w:val="99"/>
                </w:rPr>
                <w:t>Consolidated Statements of Cash Flows for the Years Ended December 31, 2016, 2015 and 2014</w:t>
              </w:r>
            </w:hyperlink>
          </w:p>
        </w:tc>
        <w:tc>
          <w:tcPr>
            <w:tcW w:w="25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5"/>
          </w:tcPr>
          <w:p>
            <w:pPr>
              <w:spacing w:after="0"/>
              <w:rPr>
                <w:sz w:val="24"/>
                <w:szCs w:val="24"/>
                <w:color w:val="auto"/>
              </w:rPr>
            </w:pPr>
          </w:p>
        </w:tc>
        <w:tc>
          <w:tcPr>
            <w:tcW w:w="3320" w:type="dxa"/>
            <w:vAlign w:val="bottom"/>
            <w:gridSpan w:val="2"/>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0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have audited the accompanying consolidated balance sheets of TPG Specialty Lending, Inc. (and subsidiaries) (the Company), including the consolidated schedules of investments, as of December 31, 2016 and 2015, and the related consolidated statements of operations, changes in net assets, and cash flows for each of the years in the three-year period ended December 31, 2016. We also have audited TPG Specialty Lending, Inc.’s internal control over financial reporting as of December 31, 2016,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9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procedures included confirmation of securities owned as of December 31, 2016 and 2015, by correspondence with custodians, or by other appropriate auditing procedures.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balance sheets of TPG Specialty Lending, Inc. (and subsidiaries), including the consolidated schedules of investments, as of December 31, 2016 and 2015, and the related consolidated statements of operations, changes in net assets, and cash flows for each of the years in the three-year period ended December 31, 2016, in conformity with U.S. generally accepted accounting principles. Also in our opinion, TPG Specialty Lending, Inc.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$1,567,673</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$1,443,017, respectively)</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1,591,544</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1,422,211</w:t>
            </w:r>
          </w:p>
        </w:tc>
        <w:tc>
          <w:tcPr>
            <w:tcW w:w="120" w:type="dxa"/>
            <w:vAlign w:val="bottom"/>
            <w:shd w:val="clear" w:color="auto" w:fill="CFF0FC"/>
          </w:tcPr>
          <w:p>
            <w:pPr>
              <w:spacing w:after="0"/>
              <w:rPr>
                <w:sz w:val="20"/>
                <w:szCs w:val="20"/>
                <w:color w:val="auto"/>
              </w:rPr>
            </w:pPr>
          </w:p>
        </w:tc>
      </w:tr>
      <w:tr>
        <w:trPr>
          <w:trHeight w:val="215"/>
        </w:trPr>
        <w:tc>
          <w:tcPr>
            <w:tcW w:w="686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$100,014 and $86,659,</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respectively)</w:t>
            </w:r>
          </w:p>
        </w:tc>
        <w:tc>
          <w:tcPr>
            <w:tcW w:w="10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65,859</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63,498</w:t>
            </w:r>
          </w:p>
        </w:tc>
        <w:tc>
          <w:tcPr>
            <w:tcW w:w="120" w:type="dxa"/>
            <w:vAlign w:val="bottom"/>
            <w:tcBorders>
              <w:bottom w:val="single" w:sz="8" w:color="CFF0FC"/>
            </w:tcBorders>
          </w:tcPr>
          <w:p>
            <w:pPr>
              <w:spacing w:after="0"/>
              <w:rPr>
                <w:sz w:val="20"/>
                <w:szCs w:val="20"/>
                <w:color w:val="auto"/>
              </w:rPr>
            </w:pPr>
          </w:p>
        </w:tc>
      </w:tr>
      <w:tr>
        <w:trPr>
          <w:trHeight w:val="20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$1,667,687 and $1,529,676,</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1,485,709</w:t>
            </w:r>
          </w:p>
        </w:tc>
        <w:tc>
          <w:tcPr>
            <w:tcW w:w="120" w:type="dxa"/>
            <w:vAlign w:val="bottom"/>
            <w:shd w:val="clear" w:color="auto" w:fill="CFF0FC"/>
          </w:tcPr>
          <w:p>
            <w:pPr>
              <w:spacing w:after="0"/>
              <w:rPr>
                <w:sz w:val="20"/>
                <w:szCs w:val="20"/>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10,146</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7,880</w:t>
            </w:r>
          </w:p>
        </w:tc>
        <w:tc>
          <w:tcPr>
            <w:tcW w:w="120" w:type="dxa"/>
            <w:vAlign w:val="bottom"/>
            <w:shd w:val="clear" w:color="auto" w:fill="CFF0FC"/>
          </w:tcPr>
          <w:p>
            <w:pPr>
              <w:spacing w:after="0"/>
              <w:rPr>
                <w:sz w:val="19"/>
                <w:szCs w:val="19"/>
                <w:color w:val="auto"/>
              </w:rPr>
            </w:pPr>
          </w:p>
        </w:tc>
      </w:tr>
      <w:tr>
        <w:trPr>
          <w:trHeight w:val="26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1,675,532</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1,506,568</w:t>
            </w:r>
          </w:p>
        </w:tc>
        <w:tc>
          <w:tcPr>
            <w:tcW w:w="120" w:type="dxa"/>
            <w:vAlign w:val="bottom"/>
            <w:tcBorders>
              <w:bottom w:val="single" w:sz="8" w:color="CFF0FC"/>
            </w:tcBorders>
          </w:tcPr>
          <w:p>
            <w:pPr>
              <w:spacing w:after="0"/>
              <w:rPr>
                <w:sz w:val="22"/>
                <w:szCs w:val="22"/>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Debt (net of deferred financing costs of $11,019 and $10,365, respectively)</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680,709</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642,423</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21,124</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Payables to affiliate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723,320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685,827</w:t>
            </w:r>
          </w:p>
        </w:tc>
        <w:tc>
          <w:tcPr>
            <w:tcW w:w="120" w:type="dxa"/>
            <w:vAlign w:val="bottom"/>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and outstanding</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59,805,285 and</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54,166,959 shares issued, respectively; and 59,716,205 and 54,163,960 shares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respectively</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FF0FC"/>
          </w:tcPr>
          <w:p>
            <w:pPr>
              <w:spacing w:after="0"/>
              <w:rPr>
                <w:sz w:val="20"/>
                <w:szCs w:val="20"/>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898,868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812,586</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89,080 and 2,999 shares held, respectively</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50,142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27,521</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 (losses)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(28,380)</w:t>
            </w: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Undistributed net realized gains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952,212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820,741</w:t>
            </w:r>
          </w:p>
        </w:tc>
        <w:tc>
          <w:tcPr>
            <w:tcW w:w="120" w:type="dxa"/>
            <w:vAlign w:val="bottom"/>
            <w:shd w:val="clear" w:color="auto" w:fill="CFF0FC"/>
          </w:tcPr>
          <w:p>
            <w:pPr>
              <w:spacing w:after="0"/>
              <w:rPr>
                <w:sz w:val="19"/>
                <w:szCs w:val="19"/>
                <w:color w:val="auto"/>
              </w:rPr>
            </w:pPr>
          </w:p>
        </w:tc>
      </w:tr>
      <w:tr>
        <w:trPr>
          <w:trHeight w:val="26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10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1,675,532</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1,506,568</w:t>
            </w:r>
          </w:p>
        </w:tc>
        <w:tc>
          <w:tcPr>
            <w:tcW w:w="120" w:type="dxa"/>
            <w:vAlign w:val="bottom"/>
            <w:tcBorders>
              <w:bottom w:val="single" w:sz="8" w:color="CFF0FC"/>
            </w:tcBorders>
          </w:tcPr>
          <w:p>
            <w:pPr>
              <w:spacing w:after="0"/>
              <w:rPr>
                <w:sz w:val="22"/>
                <w:szCs w:val="22"/>
                <w:color w:val="auto"/>
              </w:rPr>
            </w:pPr>
          </w:p>
        </w:tc>
      </w:tr>
      <w:tr>
        <w:trPr>
          <w:trHeight w:val="210"/>
        </w:trPr>
        <w:tc>
          <w:tcPr>
            <w:tcW w:w="6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740" w:type="dxa"/>
            <w:vAlign w:val="bottom"/>
          </w:tcPr>
          <w:p>
            <w:pPr>
              <w:spacing w:after="0"/>
              <w:rPr>
                <w:sz w:val="14"/>
                <w:szCs w:val="14"/>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December 31, 2016</w:t>
            </w:r>
          </w:p>
        </w:tc>
        <w:tc>
          <w:tcPr>
            <w:tcW w:w="120" w:type="dxa"/>
            <w:vAlign w:val="bottom"/>
          </w:tcPr>
          <w:p>
            <w:pPr>
              <w:spacing w:after="0"/>
              <w:rPr>
                <w:sz w:val="14"/>
                <w:szCs w:val="14"/>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December 31, 2015</w:t>
            </w:r>
          </w:p>
        </w:tc>
        <w:tc>
          <w:tcPr>
            <w:tcW w:w="10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2014</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167,819</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157,964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151,020</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9,162</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Interest from cash and cash equivalents</w:t>
            </w: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09"/>
        </w:trPr>
        <w:tc>
          <w:tcPr>
            <w:tcW w:w="67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investment income from non-controlled, non-affiliated</w:t>
            </w: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67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182,231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166,537</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160,183</w:t>
            </w:r>
          </w:p>
        </w:tc>
        <w:tc>
          <w:tcPr>
            <w:tcW w:w="100" w:type="dxa"/>
            <w:vAlign w:val="bottom"/>
            <w:shd w:val="clear" w:color="auto" w:fill="CFF0FC"/>
          </w:tcPr>
          <w:p>
            <w:pPr>
              <w:spacing w:after="0"/>
              <w:rPr>
                <w:sz w:val="20"/>
                <w:szCs w:val="20"/>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investment income from controlled, affiliated investments</w:t>
            </w: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6,878</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100" w:type="dxa"/>
            <w:vAlign w:val="bottom"/>
            <w:shd w:val="clear" w:color="auto" w:fill="CFF0FC"/>
          </w:tcPr>
          <w:p>
            <w:pPr>
              <w:spacing w:after="0"/>
              <w:rPr>
                <w:sz w:val="19"/>
                <w:szCs w:val="19"/>
                <w:color w:val="auto"/>
              </w:rPr>
            </w:pPr>
          </w:p>
        </w:tc>
      </w:tr>
      <w:tr>
        <w:trPr>
          <w:trHeight w:val="223"/>
        </w:trPr>
        <w:tc>
          <w:tcPr>
            <w:tcW w:w="674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192,410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173,415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163,320</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15,078</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18,296</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Incentive fees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20,180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17,839</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4,752</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Directors’ fees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4,830</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3,858</w:t>
            </w:r>
          </w:p>
        </w:tc>
        <w:tc>
          <w:tcPr>
            <w:tcW w:w="100" w:type="dxa"/>
            <w:vAlign w:val="bottom"/>
            <w:shd w:val="clear" w:color="auto" w:fill="CFF0FC"/>
          </w:tcPr>
          <w:p>
            <w:pPr>
              <w:spacing w:after="0"/>
              <w:rPr>
                <w:sz w:val="19"/>
                <w:szCs w:val="19"/>
                <w:color w:val="auto"/>
              </w:rPr>
            </w:pPr>
          </w:p>
        </w:tc>
      </w:tr>
      <w:tr>
        <w:trPr>
          <w:trHeight w:val="223"/>
        </w:trPr>
        <w:tc>
          <w:tcPr>
            <w:tcW w:w="6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83,282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76,843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60,165</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Management and incentive fees waived (Note 3)</w:t>
            </w: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FF0FC"/>
          </w:tcPr>
          <w:p>
            <w:pPr>
              <w:spacing w:after="0"/>
              <w:rPr>
                <w:sz w:val="19"/>
                <w:szCs w:val="19"/>
                <w:color w:val="auto"/>
              </w:rPr>
            </w:pPr>
          </w:p>
        </w:tc>
      </w:tr>
      <w:tr>
        <w:trPr>
          <w:trHeight w:val="223"/>
        </w:trPr>
        <w:tc>
          <w:tcPr>
            <w:tcW w:w="674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Net Expenses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76,617</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57,701</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96,798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105,619</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 including excise taxes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Investment Income</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95,298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104,475</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(17,008)</w:t>
            </w: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(22,950)</w:t>
            </w: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(10,994)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(17,217)</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(5,945)</w:t>
            </w: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of assets and liabilities in foreign currencies</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(3,547)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8,909</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Foreign currency forward contracts</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r>
      <w:tr>
        <w:trPr>
          <w:trHeight w:val="223"/>
        </w:trPr>
        <w:tc>
          <w:tcPr>
            <w:tcW w:w="67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net change in unrealized gains (losses)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(28,568)</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Realized gains (losses):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transactions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(1,839)</w:t>
            </w:r>
          </w:p>
        </w:tc>
      </w:tr>
      <w:tr>
        <w:trPr>
          <w:trHeight w:val="223"/>
        </w:trPr>
        <w:tc>
          <w:tcPr>
            <w:tcW w:w="67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realized losses</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ind w:left="1000"/>
              <w:spacing w:after="0"/>
              <w:rPr>
                <w:sz w:val="20"/>
                <w:szCs w:val="20"/>
                <w:color w:val="auto"/>
              </w:rPr>
            </w:pPr>
            <w:r>
              <w:rPr>
                <w:rFonts w:ascii="Arial" w:cs="Arial" w:eastAsia="Arial" w:hAnsi="Arial"/>
                <w:sz w:val="18"/>
                <w:szCs w:val="18"/>
                <w:b w:val="1"/>
                <w:bCs w:val="1"/>
                <w:color w:val="auto"/>
              </w:rPr>
              <w:t>Total Unrealized and Realized Gains (Losses)</w:t>
            </w: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(31,730)</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(19,425)</w:t>
            </w:r>
          </w:p>
        </w:tc>
        <w:tc>
          <w:tcPr>
            <w:tcW w:w="100" w:type="dxa"/>
            <w:vAlign w:val="bottom"/>
            <w:shd w:val="clear" w:color="auto" w:fill="CFF0FC"/>
          </w:tcPr>
          <w:p>
            <w:pPr>
              <w:spacing w:after="0"/>
              <w:rPr>
                <w:sz w:val="19"/>
                <w:szCs w:val="19"/>
                <w:color w:val="auto"/>
              </w:rPr>
            </w:pPr>
          </w:p>
        </w:tc>
      </w:tr>
      <w:tr>
        <w:trPr>
          <w:trHeight w:val="263"/>
        </w:trPr>
        <w:tc>
          <w:tcPr>
            <w:tcW w:w="67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63,568</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85,050</w:t>
            </w:r>
          </w:p>
        </w:tc>
        <w:tc>
          <w:tcPr>
            <w:tcW w:w="100" w:type="dxa"/>
            <w:vAlign w:val="bottom"/>
            <w:tcBorders>
              <w:bottom w:val="single" w:sz="8" w:color="CFF0FC"/>
            </w:tcBorders>
          </w:tcPr>
          <w:p>
            <w:pPr>
              <w:spacing w:after="0"/>
              <w:rPr>
                <w:sz w:val="22"/>
                <w:szCs w:val="22"/>
                <w:color w:val="auto"/>
              </w:rPr>
            </w:pPr>
          </w:p>
        </w:tc>
      </w:tr>
      <w:tr>
        <w:trPr>
          <w:trHeight w:val="21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8"/>
                <w:szCs w:val="18"/>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58,591,380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54,006,322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50,509,692</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940" w:type="dxa"/>
            <w:vAlign w:val="bottom"/>
            <w:gridSpan w:val="2"/>
          </w:tcPr>
          <w:p>
            <w:pPr>
              <w:ind w:left="1060"/>
              <w:spacing w:after="0"/>
              <w:rPr>
                <w:sz w:val="20"/>
                <w:szCs w:val="20"/>
                <w:color w:val="auto"/>
              </w:rPr>
            </w:pPr>
            <w:r>
              <w:rPr>
                <w:rFonts w:ascii="Arial" w:cs="Arial" w:eastAsia="Arial" w:hAnsi="Arial"/>
                <w:sz w:val="14"/>
                <w:szCs w:val="14"/>
                <w:b w:val="1"/>
                <w:bCs w:val="1"/>
                <w:color w:val="auto"/>
              </w:rPr>
              <w:t>Investment</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20" w:type="dxa"/>
            <w:vAlign w:val="bottom"/>
            <w:tcBorders>
              <w:top w:val="single" w:sz="8" w:color="CFF0FC"/>
            </w:tcBorders>
            <w:shd w:val="clear" w:color="auto" w:fill="CFF0FC"/>
          </w:tcPr>
          <w:p>
            <w:pPr>
              <w:spacing w:after="0"/>
              <w:rPr>
                <w:sz w:val="19"/>
                <w:szCs w:val="19"/>
                <w:color w:val="auto"/>
              </w:rPr>
            </w:pPr>
          </w:p>
        </w:tc>
        <w:tc>
          <w:tcPr>
            <w:tcW w:w="2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Automotive</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($29,233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Holdings, LLC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6/2017)</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29,136</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29,159</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($1,417 par, due 6/2017)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10.75%</w:t>
            </w:r>
          </w:p>
        </w:tc>
        <w:tc>
          <w:tcPr>
            <w:tcW w:w="920" w:type="dxa"/>
            <w:vAlign w:val="bottom"/>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1,403</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30,537</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($61,542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3/2020)</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60,698</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57,850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($54,982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4/2018)</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54,366</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56,219</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($45,000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11/2020)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11/12/2015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44,095</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45,225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Clarabridge, Inc.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($19,719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4/2019)</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19,446</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Idera,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($61,875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4/2021)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920" w:type="dxa"/>
            <w:vAlign w:val="bottom"/>
          </w:tcPr>
          <w:p>
            <w:pPr>
              <w:jc w:val="right"/>
              <w:spacing w:after="0"/>
              <w:rPr>
                <w:sz w:val="20"/>
                <w:szCs w:val="20"/>
                <w:color w:val="auto"/>
              </w:rPr>
            </w:pPr>
            <w:r>
              <w:rPr>
                <w:rFonts w:ascii="Arial" w:cs="Arial" w:eastAsia="Arial" w:hAnsi="Arial"/>
                <w:sz w:val="18"/>
                <w:szCs w:val="18"/>
                <w:color w:val="auto"/>
              </w:rPr>
              <w:t>10/9/2015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56,817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61,875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($27,090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6/2019)</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26,752</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Marketo,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($28,125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8/2021)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920" w:type="dxa"/>
            <w:vAlign w:val="bottom"/>
          </w:tcPr>
          <w:p>
            <w:pPr>
              <w:jc w:val="right"/>
              <w:spacing w:after="0"/>
              <w:rPr>
                <w:sz w:val="20"/>
                <w:szCs w:val="20"/>
                <w:color w:val="auto"/>
              </w:rPr>
            </w:pPr>
            <w:r>
              <w:rPr>
                <w:rFonts w:ascii="Arial" w:cs="Arial" w:eastAsia="Arial" w:hAnsi="Arial"/>
                <w:sz w:val="18"/>
                <w:szCs w:val="18"/>
                <w:color w:val="auto"/>
              </w:rPr>
              <w:t>8/16/2016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27,278</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27,750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($20,157 par,</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11.00% (incl.</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7/2021)</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3.00% PIK)</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20,106</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Qlik Technologies,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($40,399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8/2022)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9.25%</w:t>
            </w:r>
          </w:p>
        </w:tc>
        <w:tc>
          <w:tcPr>
            <w:tcW w:w="920" w:type="dxa"/>
            <w:vAlign w:val="bottom"/>
          </w:tcPr>
          <w:p>
            <w:pPr>
              <w:jc w:val="right"/>
              <w:spacing w:after="0"/>
              <w:rPr>
                <w:sz w:val="20"/>
                <w:szCs w:val="20"/>
                <w:color w:val="auto"/>
              </w:rPr>
            </w:pPr>
            <w:r>
              <w:rPr>
                <w:rFonts w:ascii="Arial" w:cs="Arial" w:eastAsia="Arial" w:hAnsi="Arial"/>
                <w:sz w:val="18"/>
                <w:szCs w:val="18"/>
                <w:color w:val="auto"/>
              </w:rPr>
              <w:t>8/22/2016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39,691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40,096</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SailPoint Technologies, Inc.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($27,500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8/2021)</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26,973</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($19,986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12/30/2014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19,717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20,263</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($29,177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3/2022)</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Tibco Software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w w:val="95"/>
              </w:rPr>
              <w:t>First-lien loan ($247 par, due 12/2020)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920" w:type="dxa"/>
            <w:vAlign w:val="bottom"/>
          </w:tcPr>
          <w:p>
            <w:pPr>
              <w:jc w:val="right"/>
              <w:spacing w:after="0"/>
              <w:rPr>
                <w:sz w:val="20"/>
                <w:szCs w:val="20"/>
                <w:color w:val="auto"/>
              </w:rPr>
            </w:pPr>
            <w:r>
              <w:rPr>
                <w:rFonts w:ascii="Arial" w:cs="Arial" w:eastAsia="Arial" w:hAnsi="Arial"/>
                <w:sz w:val="18"/>
                <w:szCs w:val="18"/>
                <w:color w:val="auto"/>
              </w:rPr>
              <w:t>1/26/2016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363,664</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375,031</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Chemicals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($4,967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4/2018)</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4,937</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4,942</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Second-lien loan ($3,341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10/2021)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10/31/2016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8,278</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Education</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Finalsite Holdings, Inc.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($45,000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8/2022)</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43,830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Frontline Technologies Group</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($54,725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(3)(5)</w:t>
            </w:r>
          </w:p>
        </w:tc>
        <w:tc>
          <w:tcPr>
            <w:tcW w:w="2940" w:type="dxa"/>
            <w:vAlign w:val="bottom"/>
            <w:gridSpan w:val="2"/>
          </w:tcPr>
          <w:p>
            <w:pPr>
              <w:spacing w:after="0"/>
              <w:rPr>
                <w:sz w:val="20"/>
                <w:szCs w:val="20"/>
                <w:color w:val="auto"/>
              </w:rPr>
            </w:pPr>
            <w:r>
              <w:rPr>
                <w:rFonts w:ascii="Arial" w:cs="Arial" w:eastAsia="Arial" w:hAnsi="Arial"/>
                <w:sz w:val="18"/>
                <w:szCs w:val="18"/>
                <w:color w:val="auto"/>
              </w:rPr>
              <w:t>due 4/2021)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c>
          <w:tcPr>
            <w:tcW w:w="920" w:type="dxa"/>
            <w:vAlign w:val="bottom"/>
          </w:tcPr>
          <w:p>
            <w:pPr>
              <w:jc w:val="right"/>
              <w:spacing w:after="0"/>
              <w:rPr>
                <w:sz w:val="20"/>
                <w:szCs w:val="20"/>
                <w:color w:val="auto"/>
              </w:rPr>
            </w:pPr>
            <w:r>
              <w:rPr>
                <w:rFonts w:ascii="Arial" w:cs="Arial" w:eastAsia="Arial" w:hAnsi="Arial"/>
                <w:sz w:val="18"/>
                <w:szCs w:val="18"/>
                <w:color w:val="auto"/>
              </w:rPr>
              <w:t>4/1/2016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53,447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54,862</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97,277</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99,187</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Electronics</w:t>
            </w:r>
          </w:p>
        </w:tc>
        <w:tc>
          <w:tcPr>
            <w:tcW w:w="2940" w:type="dxa"/>
            <w:vAlign w:val="bottom"/>
            <w:gridSpan w:val="2"/>
            <w:vMerge w:val="restart"/>
          </w:tcPr>
          <w:p>
            <w:pPr>
              <w:ind w:left="2620"/>
              <w:spacing w:after="0"/>
              <w:rPr>
                <w:sz w:val="20"/>
                <w:szCs w:val="20"/>
                <w:color w:val="auto"/>
              </w:rPr>
            </w:pPr>
            <w:r>
              <w:rPr>
                <w:rFonts w:ascii="Arial" w:cs="Arial" w:eastAsia="Arial" w:hAnsi="Arial"/>
                <w:sz w:val="18"/>
                <w:szCs w:val="18"/>
                <w:color w:val="auto"/>
              </w:rPr>
              <w:t>F-5</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First-lien loan ($63,761 par,</w:t>
            </w:r>
          </w:p>
        </w:tc>
        <w:tc>
          <w:tcPr>
            <w:tcW w:w="1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due 1/2019)</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9.00%</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1/9/2014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63,342</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64,568</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APX Group Inc.</w:t>
            </w:r>
          </w:p>
        </w:tc>
        <w:tc>
          <w:tcPr>
            <w:tcW w:w="3140" w:type="dxa"/>
            <w:vAlign w:val="bottom"/>
          </w:tcPr>
          <w:p>
            <w:pPr>
              <w:ind w:left="320"/>
              <w:spacing w:after="0"/>
              <w:rPr>
                <w:sz w:val="20"/>
                <w:szCs w:val="20"/>
                <w:color w:val="auto"/>
              </w:rPr>
            </w:pPr>
            <w:r>
              <w:rPr>
                <w:rFonts w:ascii="Arial" w:cs="Arial" w:eastAsia="Arial" w:hAnsi="Arial"/>
                <w:sz w:val="18"/>
                <w:szCs w:val="18"/>
                <w:color w:val="auto"/>
              </w:rPr>
              <w:t>Senior notes 8.75% ($5,470 par,</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due 12/2020)</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12/11/2014</w:t>
            </w:r>
          </w:p>
        </w:tc>
        <w:tc>
          <w:tcPr>
            <w:tcW w:w="840" w:type="dxa"/>
            <w:vAlign w:val="bottom"/>
          </w:tcPr>
          <w:p>
            <w:pPr>
              <w:jc w:val="right"/>
              <w:spacing w:after="0"/>
              <w:rPr>
                <w:sz w:val="20"/>
                <w:szCs w:val="20"/>
                <w:color w:val="auto"/>
              </w:rPr>
            </w:pPr>
            <w:r>
              <w:rPr>
                <w:rFonts w:ascii="Arial" w:cs="Arial" w:eastAsia="Arial" w:hAnsi="Arial"/>
                <w:sz w:val="18"/>
                <w:szCs w:val="18"/>
                <w:color w:val="auto"/>
              </w:rPr>
              <w:t>4,717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5,511</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2560" w:type="dxa"/>
            <w:vAlign w:val="bottom"/>
            <w:shd w:val="clear" w:color="auto" w:fill="CFF0FC"/>
          </w:tcPr>
          <w:p>
            <w:pPr>
              <w:spacing w:after="0" w:line="20" w:lineRule="exact"/>
              <w:rPr>
                <w:sz w:val="1"/>
                <w:szCs w:val="1"/>
                <w:color w:val="auto"/>
              </w:rPr>
            </w:pPr>
          </w:p>
        </w:tc>
        <w:tc>
          <w:tcPr>
            <w:tcW w:w="314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56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68,059</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70,079</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r>
      <w:tr>
        <w:trPr>
          <w:trHeight w:val="223"/>
        </w:trPr>
        <w:tc>
          <w:tcPr>
            <w:tcW w:w="2560" w:type="dxa"/>
            <w:vAlign w:val="bottom"/>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3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First-lien loan ($22,200 par, due</w:t>
            </w:r>
          </w:p>
        </w:tc>
        <w:tc>
          <w:tcPr>
            <w:tcW w:w="1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8/2020)</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9.00%</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8/18/2015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21,781</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22,261</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3140" w:type="dxa"/>
            <w:vAlign w:val="bottom"/>
          </w:tcPr>
          <w:p>
            <w:pPr>
              <w:ind w:left="320"/>
              <w:spacing w:after="0"/>
              <w:rPr>
                <w:sz w:val="20"/>
                <w:szCs w:val="20"/>
                <w:color w:val="auto"/>
              </w:rPr>
            </w:pPr>
            <w:r>
              <w:rPr>
                <w:rFonts w:ascii="Arial" w:cs="Arial" w:eastAsia="Arial" w:hAnsi="Arial"/>
                <w:sz w:val="18"/>
                <w:szCs w:val="18"/>
                <w:color w:val="auto"/>
              </w:rPr>
              <w:t>First-lien loan ($53,528 par, due</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10.50% (incl.</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8/2020)</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2.38% PIK)</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8/7/2015</w:t>
            </w:r>
          </w:p>
        </w:tc>
        <w:tc>
          <w:tcPr>
            <w:tcW w:w="840" w:type="dxa"/>
            <w:vAlign w:val="bottom"/>
          </w:tcPr>
          <w:p>
            <w:pPr>
              <w:jc w:val="right"/>
              <w:spacing w:after="0"/>
              <w:rPr>
                <w:sz w:val="20"/>
                <w:szCs w:val="20"/>
                <w:color w:val="auto"/>
              </w:rPr>
            </w:pPr>
            <w:r>
              <w:rPr>
                <w:rFonts w:ascii="Arial" w:cs="Arial" w:eastAsia="Arial" w:hAnsi="Arial"/>
                <w:sz w:val="18"/>
                <w:szCs w:val="18"/>
                <w:color w:val="auto"/>
              </w:rPr>
              <w:t>52,779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53,394</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First-lien loan ($25,782 par,</w:t>
            </w:r>
          </w:p>
        </w:tc>
        <w:tc>
          <w:tcPr>
            <w:tcW w:w="1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due 9/2018)</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7.75%</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9/12/2013</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25,585</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25,981</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3140" w:type="dxa"/>
            <w:vAlign w:val="bottom"/>
          </w:tcPr>
          <w:p>
            <w:pPr>
              <w:ind w:left="320"/>
              <w:spacing w:after="0"/>
              <w:rPr>
                <w:sz w:val="20"/>
                <w:szCs w:val="20"/>
                <w:color w:val="auto"/>
              </w:rPr>
            </w:pPr>
            <w:r>
              <w:rPr>
                <w:rFonts w:ascii="Arial" w:cs="Arial" w:eastAsia="Arial" w:hAnsi="Arial"/>
                <w:sz w:val="18"/>
                <w:szCs w:val="18"/>
                <w:color w:val="auto"/>
              </w:rPr>
              <w:t>First-lien loan ($34,502 par,</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10.00% (incl.</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due 3/2020)</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2.50% PIK)</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3/6/2015</w:t>
            </w:r>
          </w:p>
        </w:tc>
        <w:tc>
          <w:tcPr>
            <w:tcW w:w="840" w:type="dxa"/>
            <w:vAlign w:val="bottom"/>
          </w:tcPr>
          <w:p>
            <w:pPr>
              <w:jc w:val="right"/>
              <w:spacing w:after="0"/>
              <w:rPr>
                <w:sz w:val="20"/>
                <w:szCs w:val="20"/>
                <w:color w:val="auto"/>
              </w:rPr>
            </w:pPr>
            <w:r>
              <w:rPr>
                <w:rFonts w:ascii="Arial" w:cs="Arial" w:eastAsia="Arial" w:hAnsi="Arial"/>
                <w:sz w:val="18"/>
                <w:szCs w:val="18"/>
                <w:color w:val="auto"/>
              </w:rPr>
              <w:t>33,979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34,700</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Smarsh, Inc. </w:t>
            </w:r>
            <w:r>
              <w:rPr>
                <w:rFonts w:ascii="Arial" w:cs="Arial" w:eastAsia="Arial" w:hAnsi="Arial"/>
                <w:sz w:val="15"/>
                <w:szCs w:val="15"/>
                <w:color w:val="auto"/>
              </w:rPr>
              <w:t>(3)(5)</w:t>
            </w: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First-lien loan ($30,000 par,</w:t>
            </w:r>
          </w:p>
        </w:tc>
        <w:tc>
          <w:tcPr>
            <w:tcW w:w="1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due 1/2021)</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8.50%</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1/7/2016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29,343</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30,300</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r>
      <w:tr>
        <w:trPr>
          <w:trHeight w:val="20"/>
        </w:trPr>
        <w:tc>
          <w:tcPr>
            <w:tcW w:w="2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25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163,467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166,636</w:t>
            </w: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r>
      <w:tr>
        <w:trPr>
          <w:trHeight w:val="223"/>
        </w:trPr>
        <w:tc>
          <w:tcPr>
            <w:tcW w:w="25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w:t>
            </w:r>
          </w:p>
        </w:tc>
        <w:tc>
          <w:tcPr>
            <w:tcW w:w="3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3140" w:type="dxa"/>
            <w:vAlign w:val="bottom"/>
          </w:tcPr>
          <w:p>
            <w:pPr>
              <w:ind w:left="320"/>
              <w:spacing w:after="0"/>
              <w:rPr>
                <w:sz w:val="20"/>
                <w:szCs w:val="20"/>
                <w:color w:val="auto"/>
              </w:rPr>
            </w:pPr>
            <w:r>
              <w:rPr>
                <w:rFonts w:ascii="Arial" w:cs="Arial" w:eastAsia="Arial" w:hAnsi="Arial"/>
                <w:sz w:val="18"/>
                <w:szCs w:val="18"/>
                <w:color w:val="auto"/>
              </w:rPr>
              <w:t>First-lien loan (EUR 40,573 par,</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44,934</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due 9/2019)</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9/30/2014</w:t>
            </w:r>
          </w:p>
        </w:tc>
        <w:tc>
          <w:tcPr>
            <w:tcW w:w="840" w:type="dxa"/>
            <w:vAlign w:val="bottom"/>
          </w:tcPr>
          <w:p>
            <w:pPr>
              <w:jc w:val="right"/>
              <w:spacing w:after="0"/>
              <w:rPr>
                <w:sz w:val="20"/>
                <w:szCs w:val="20"/>
                <w:color w:val="auto"/>
              </w:rPr>
            </w:pPr>
            <w:r>
              <w:rPr>
                <w:rFonts w:ascii="Arial" w:cs="Arial" w:eastAsia="Arial" w:hAnsi="Arial"/>
                <w:sz w:val="18"/>
                <w:szCs w:val="18"/>
                <w:color w:val="auto"/>
              </w:rPr>
              <w:t>47,830</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(EUR 43,158)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5"/>
        </w:trPr>
        <w:tc>
          <w:tcPr>
            <w:tcW w:w="2560" w:type="dxa"/>
            <w:vAlign w:val="bottom"/>
            <w:shd w:val="clear" w:color="auto" w:fill="CFF0FC"/>
          </w:tcPr>
          <w:p>
            <w:pPr>
              <w:spacing w:after="0"/>
              <w:rPr>
                <w:sz w:val="18"/>
                <w:szCs w:val="18"/>
                <w:color w:val="auto"/>
              </w:rPr>
            </w:pP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First-lien revolving loan</w:t>
            </w:r>
          </w:p>
        </w:tc>
        <w:tc>
          <w:tcPr>
            <w:tcW w:w="1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(EUR 300 par, due 9/2019)</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11.50%</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(EUR 500)</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3140" w:type="dxa"/>
            <w:vAlign w:val="bottom"/>
          </w:tcPr>
          <w:p>
            <w:pPr>
              <w:ind w:left="320"/>
              <w:spacing w:after="0"/>
              <w:rPr>
                <w:sz w:val="20"/>
                <w:szCs w:val="20"/>
                <w:color w:val="auto"/>
              </w:rPr>
            </w:pPr>
            <w:r>
              <w:rPr>
                <w:rFonts w:ascii="Arial" w:cs="Arial" w:eastAsia="Arial" w:hAnsi="Arial"/>
                <w:sz w:val="18"/>
                <w:szCs w:val="18"/>
                <w:color w:val="auto"/>
              </w:rPr>
              <w:t>First-lien loan ($44,663 par,</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due 12/2021)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12/17/2015</w:t>
            </w:r>
          </w:p>
        </w:tc>
        <w:tc>
          <w:tcPr>
            <w:tcW w:w="840" w:type="dxa"/>
            <w:vAlign w:val="bottom"/>
          </w:tcPr>
          <w:p>
            <w:pPr>
              <w:jc w:val="right"/>
              <w:spacing w:after="0"/>
              <w:rPr>
                <w:sz w:val="20"/>
                <w:szCs w:val="20"/>
                <w:color w:val="auto"/>
              </w:rPr>
            </w:pPr>
            <w:r>
              <w:rPr>
                <w:rFonts w:ascii="Arial" w:cs="Arial" w:eastAsia="Arial" w:hAnsi="Arial"/>
                <w:sz w:val="18"/>
                <w:szCs w:val="18"/>
                <w:color w:val="auto"/>
              </w:rPr>
              <w:t>43,959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45,109</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First-lien loan ($47,066 par, due</w:t>
            </w:r>
          </w:p>
        </w:tc>
        <w:tc>
          <w:tcPr>
            <w:tcW w:w="1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9.50% (incl.</w:t>
            </w: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9/2020)</w:t>
            </w:r>
          </w:p>
        </w:tc>
        <w:tc>
          <w:tcPr>
            <w:tcW w:w="1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2.50% PIK)</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45,920</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47,184</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3140" w:type="dxa"/>
            <w:vAlign w:val="bottom"/>
          </w:tcPr>
          <w:p>
            <w:pPr>
              <w:ind w:left="320"/>
              <w:spacing w:after="0"/>
              <w:rPr>
                <w:sz w:val="20"/>
                <w:szCs w:val="20"/>
                <w:color w:val="auto"/>
              </w:rPr>
            </w:pPr>
            <w:r>
              <w:rPr>
                <w:rFonts w:ascii="Arial" w:cs="Arial" w:eastAsia="Arial" w:hAnsi="Arial"/>
                <w:sz w:val="18"/>
                <w:szCs w:val="18"/>
                <w:color w:val="auto"/>
              </w:rPr>
              <w:t>First-lien loan ($29,775 par,</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due 2/2021)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2/29/2016</w:t>
            </w:r>
          </w:p>
        </w:tc>
        <w:tc>
          <w:tcPr>
            <w:tcW w:w="840" w:type="dxa"/>
            <w:vAlign w:val="bottom"/>
          </w:tcPr>
          <w:p>
            <w:pPr>
              <w:jc w:val="right"/>
              <w:spacing w:after="0"/>
              <w:rPr>
                <w:sz w:val="20"/>
                <w:szCs w:val="20"/>
                <w:color w:val="auto"/>
              </w:rPr>
            </w:pPr>
            <w:r>
              <w:rPr>
                <w:rFonts w:ascii="Arial" w:cs="Arial" w:eastAsia="Arial" w:hAnsi="Arial"/>
                <w:sz w:val="18"/>
                <w:szCs w:val="18"/>
                <w:color w:val="auto"/>
              </w:rPr>
              <w:t>28,894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29,849</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w:t>
            </w: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First-lien loan ($30,000 par,</w:t>
            </w:r>
          </w:p>
        </w:tc>
        <w:tc>
          <w:tcPr>
            <w:tcW w:w="1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due 12/2017)</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8.75%</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12/28/2012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29,820</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r>
      <w:tr>
        <w:trPr>
          <w:trHeight w:val="215"/>
        </w:trPr>
        <w:tc>
          <w:tcPr>
            <w:tcW w:w="256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First-lien revolving loan</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($2,000 par, due 12/2017)</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12/28/2012</w:t>
            </w:r>
          </w:p>
        </w:tc>
        <w:tc>
          <w:tcPr>
            <w:tcW w:w="840" w:type="dxa"/>
            <w:vAlign w:val="bottom"/>
          </w:tcPr>
          <w:p>
            <w:pPr>
              <w:jc w:val="right"/>
              <w:spacing w:after="0"/>
              <w:rPr>
                <w:sz w:val="20"/>
                <w:szCs w:val="20"/>
                <w:color w:val="auto"/>
              </w:rPr>
            </w:pPr>
            <w:r>
              <w:rPr>
                <w:rFonts w:ascii="Arial" w:cs="Arial" w:eastAsia="Arial" w:hAnsi="Arial"/>
                <w:sz w:val="18"/>
                <w:szCs w:val="18"/>
                <w:color w:val="auto"/>
              </w:rPr>
              <w:t>1,991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0"/>
        </w:trPr>
        <w:tc>
          <w:tcPr>
            <w:tcW w:w="2560" w:type="dxa"/>
            <w:vAlign w:val="bottom"/>
            <w:shd w:val="clear" w:color="auto" w:fill="CFF0FC"/>
          </w:tcPr>
          <w:p>
            <w:pPr>
              <w:spacing w:after="0" w:line="20" w:lineRule="exact"/>
              <w:rPr>
                <w:sz w:val="1"/>
                <w:szCs w:val="1"/>
                <w:color w:val="auto"/>
              </w:rPr>
            </w:pPr>
          </w:p>
        </w:tc>
        <w:tc>
          <w:tcPr>
            <w:tcW w:w="314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56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198,667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199,603</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23"/>
        </w:trPr>
        <w:tc>
          <w:tcPr>
            <w:tcW w:w="256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3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w:t>
            </w: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First-lien loan ($26,104 par, due</w:t>
            </w:r>
          </w:p>
        </w:tc>
        <w:tc>
          <w:tcPr>
            <w:tcW w:w="1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9.27% (incl.</w:t>
            </w: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Systems, Inc. </w:t>
            </w:r>
            <w:r>
              <w:rPr>
                <w:rFonts w:ascii="Arial" w:cs="Arial" w:eastAsia="Arial" w:hAnsi="Arial"/>
                <w:sz w:val="15"/>
                <w:szCs w:val="15"/>
                <w:color w:val="auto"/>
              </w:rPr>
              <w:t>(3)</w:t>
            </w: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4/2020)</w:t>
            </w:r>
          </w:p>
        </w:tc>
        <w:tc>
          <w:tcPr>
            <w:tcW w:w="1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2.50% PIK)</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4/16/2015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25,643</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26,104</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3140" w:type="dxa"/>
            <w:vAlign w:val="bottom"/>
          </w:tcPr>
          <w:p>
            <w:pPr>
              <w:ind w:left="320"/>
              <w:spacing w:after="0"/>
              <w:rPr>
                <w:sz w:val="20"/>
                <w:szCs w:val="20"/>
                <w:color w:val="auto"/>
              </w:rPr>
            </w:pPr>
            <w:r>
              <w:rPr>
                <w:rFonts w:ascii="Arial" w:cs="Arial" w:eastAsia="Arial" w:hAnsi="Arial"/>
                <w:sz w:val="18"/>
                <w:szCs w:val="18"/>
                <w:color w:val="auto"/>
              </w:rPr>
              <w:t>First-lien loan ($21,311 par, due</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10.50% (incl.</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9/2019)</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5.00% PIK)</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9/29/2015</w:t>
            </w:r>
          </w:p>
        </w:tc>
        <w:tc>
          <w:tcPr>
            <w:tcW w:w="840" w:type="dxa"/>
            <w:vAlign w:val="bottom"/>
          </w:tcPr>
          <w:p>
            <w:pPr>
              <w:jc w:val="right"/>
              <w:spacing w:after="0"/>
              <w:rPr>
                <w:sz w:val="20"/>
                <w:szCs w:val="20"/>
                <w:color w:val="auto"/>
              </w:rPr>
            </w:pPr>
            <w:r>
              <w:rPr>
                <w:rFonts w:ascii="Arial" w:cs="Arial" w:eastAsia="Arial" w:hAnsi="Arial"/>
                <w:sz w:val="18"/>
                <w:szCs w:val="18"/>
                <w:color w:val="auto"/>
              </w:rPr>
              <w:t>21,311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18,807</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5"/>
        </w:trPr>
        <w:tc>
          <w:tcPr>
            <w:tcW w:w="2560" w:type="dxa"/>
            <w:vAlign w:val="bottom"/>
            <w:shd w:val="clear" w:color="auto" w:fill="CFF0FC"/>
          </w:tcPr>
          <w:p>
            <w:pPr>
              <w:spacing w:after="0"/>
              <w:rPr>
                <w:sz w:val="18"/>
                <w:szCs w:val="18"/>
                <w:color w:val="auto"/>
              </w:rPr>
            </w:pP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w w:val="96"/>
              </w:rPr>
              <w:t>First-lien revolver loan ($14,755 par,</w:t>
            </w:r>
          </w:p>
        </w:tc>
        <w:tc>
          <w:tcPr>
            <w:tcW w:w="1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10.50% (incl.</w:t>
            </w: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3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due 9/2019)</w:t>
            </w:r>
          </w:p>
        </w:tc>
        <w:tc>
          <w:tcPr>
            <w:tcW w:w="1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5.00% PIK)</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9/29/2015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14,755</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13,021</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(4)</w:t>
            </w:r>
          </w:p>
        </w:tc>
        <w:tc>
          <w:tcPr>
            <w:tcW w:w="3140" w:type="dxa"/>
            <w:vAlign w:val="bottom"/>
          </w:tcPr>
          <w:p>
            <w:pPr>
              <w:ind w:left="320"/>
              <w:spacing w:after="0"/>
              <w:rPr>
                <w:sz w:val="20"/>
                <w:szCs w:val="20"/>
                <w:color w:val="auto"/>
              </w:rPr>
            </w:pPr>
            <w:r>
              <w:rPr>
                <w:rFonts w:ascii="Arial" w:cs="Arial" w:eastAsia="Arial" w:hAnsi="Arial"/>
                <w:sz w:val="18"/>
                <w:szCs w:val="18"/>
                <w:color w:val="auto"/>
                <w:w w:val="98"/>
              </w:rPr>
              <w:t>Second-lien bond (GBP 12,875 par,</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16,227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due 10/2018)</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9/20/2013</w:t>
            </w:r>
          </w:p>
        </w:tc>
        <w:tc>
          <w:tcPr>
            <w:tcW w:w="840" w:type="dxa"/>
            <w:vAlign w:val="bottom"/>
          </w:tcPr>
          <w:p>
            <w:pPr>
              <w:jc w:val="right"/>
              <w:spacing w:after="0"/>
              <w:rPr>
                <w:sz w:val="20"/>
                <w:szCs w:val="20"/>
                <w:color w:val="auto"/>
              </w:rPr>
            </w:pPr>
            <w:r>
              <w:rPr>
                <w:rFonts w:ascii="Arial" w:cs="Arial" w:eastAsia="Arial" w:hAnsi="Arial"/>
                <w:sz w:val="18"/>
                <w:szCs w:val="18"/>
                <w:color w:val="auto"/>
              </w:rPr>
              <w:t>20,618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9"/>
              </w:rPr>
              <w:t>(GBP 13,133)</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0"/>
        </w:trPr>
        <w:tc>
          <w:tcPr>
            <w:tcW w:w="2560" w:type="dxa"/>
            <w:vAlign w:val="bottom"/>
            <w:shd w:val="clear" w:color="auto" w:fill="CFF0FC"/>
          </w:tcPr>
          <w:p>
            <w:pPr>
              <w:spacing w:after="0" w:line="20" w:lineRule="exact"/>
              <w:rPr>
                <w:sz w:val="1"/>
                <w:szCs w:val="1"/>
                <w:color w:val="auto"/>
              </w:rPr>
            </w:pPr>
          </w:p>
        </w:tc>
        <w:tc>
          <w:tcPr>
            <w:tcW w:w="314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56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82,327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74,159</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r>
      <w:tr>
        <w:trPr>
          <w:trHeight w:val="20"/>
        </w:trPr>
        <w:tc>
          <w:tcPr>
            <w:tcW w:w="2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ind w:left="260"/>
        <w:spacing w:after="0"/>
        <w:rPr>
          <w:sz w:val="20"/>
          <w:szCs w:val="20"/>
          <w:color w:val="auto"/>
        </w:rPr>
      </w:pPr>
      <w:r>
        <w:rPr>
          <w:rFonts w:ascii="Arial" w:cs="Arial" w:eastAsia="Arial" w:hAnsi="Arial"/>
          <w:sz w:val="18"/>
          <w:szCs w:val="18"/>
          <w:b w:val="1"/>
          <w:bCs w:val="1"/>
          <w:color w:val="auto"/>
        </w:rPr>
        <w:t>Human resource support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services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(3)(5)</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First-lien loan ($54,175 par,</w:t>
            </w:r>
          </w:p>
        </w:tc>
        <w:tc>
          <w:tcPr>
            <w:tcW w:w="1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due 3/2021)</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9.75%</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3/30/2015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53,680</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54,310</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0"/>
                <w:szCs w:val="20"/>
                <w:color w:val="auto"/>
              </w:rPr>
            </w:pP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w:t>
            </w:r>
          </w:p>
        </w:tc>
        <w:tc>
          <w:tcPr>
            <w:tcW w:w="3200" w:type="dxa"/>
            <w:vAlign w:val="bottom"/>
          </w:tcPr>
          <w:p>
            <w:pPr>
              <w:ind w:left="240"/>
              <w:spacing w:after="0"/>
              <w:rPr>
                <w:sz w:val="20"/>
                <w:szCs w:val="20"/>
                <w:color w:val="auto"/>
              </w:rPr>
            </w:pPr>
            <w:r>
              <w:rPr>
                <w:rFonts w:ascii="Arial" w:cs="Arial" w:eastAsia="Arial" w:hAnsi="Arial"/>
                <w:sz w:val="18"/>
                <w:szCs w:val="18"/>
                <w:color w:val="auto"/>
              </w:rPr>
              <w:t>First-lien loan ($9,571 par,</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due 4/2021)</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11/5/2015</w:t>
            </w:r>
          </w:p>
        </w:tc>
        <w:tc>
          <w:tcPr>
            <w:tcW w:w="860" w:type="dxa"/>
            <w:vAlign w:val="bottom"/>
          </w:tcPr>
          <w:p>
            <w:pPr>
              <w:jc w:val="right"/>
              <w:spacing w:after="0"/>
              <w:rPr>
                <w:sz w:val="20"/>
                <w:szCs w:val="20"/>
                <w:color w:val="auto"/>
              </w:rPr>
            </w:pPr>
            <w:r>
              <w:rPr>
                <w:rFonts w:ascii="Arial" w:cs="Arial" w:eastAsia="Arial" w:hAnsi="Arial"/>
                <w:sz w:val="18"/>
                <w:szCs w:val="18"/>
                <w:color w:val="auto"/>
              </w:rPr>
              <w:t>7,629</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8,709</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32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0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61,309</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63,019</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r>
      <w:tr>
        <w:trPr>
          <w:trHeight w:val="223"/>
        </w:trPr>
        <w:tc>
          <w:tcPr>
            <w:tcW w:w="2700" w:type="dxa"/>
            <w:vAlign w:val="bottom"/>
          </w:tcPr>
          <w:p>
            <w:pPr>
              <w:ind w:left="260"/>
              <w:spacing w:after="0"/>
              <w:rPr>
                <w:sz w:val="20"/>
                <w:szCs w:val="20"/>
                <w:color w:val="auto"/>
              </w:rPr>
            </w:pPr>
            <w:r>
              <w:rPr>
                <w:rFonts w:ascii="Arial" w:cs="Arial" w:eastAsia="Arial" w:hAnsi="Arial"/>
                <w:sz w:val="18"/>
                <w:szCs w:val="18"/>
                <w:b w:val="1"/>
                <w:bCs w:val="1"/>
                <w:color w:val="auto"/>
              </w:rPr>
              <w:t>Insurance</w:t>
            </w:r>
          </w:p>
        </w:tc>
        <w:tc>
          <w:tcPr>
            <w:tcW w:w="3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First-lien loan ($64,978 par,</w:t>
            </w:r>
          </w:p>
        </w:tc>
        <w:tc>
          <w:tcPr>
            <w:tcW w:w="1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due 10/2020)</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7.25%</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10/31/2014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64,423</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65,952</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0"/>
                <w:szCs w:val="20"/>
                <w:color w:val="auto"/>
              </w:rPr>
            </w:pPr>
          </w:p>
        </w:tc>
      </w:tr>
      <w:tr>
        <w:trPr>
          <w:trHeight w:val="230"/>
        </w:trPr>
        <w:tc>
          <w:tcPr>
            <w:tcW w:w="2700" w:type="dxa"/>
            <w:vAlign w:val="bottom"/>
          </w:tcPr>
          <w:p>
            <w:pPr>
              <w:ind w:left="260"/>
              <w:spacing w:after="0"/>
              <w:rPr>
                <w:sz w:val="20"/>
                <w:szCs w:val="20"/>
                <w:color w:val="auto"/>
              </w:rPr>
            </w:pPr>
            <w:r>
              <w:rPr>
                <w:rFonts w:ascii="Arial" w:cs="Arial" w:eastAsia="Arial" w:hAnsi="Arial"/>
                <w:sz w:val="18"/>
                <w:szCs w:val="18"/>
                <w:b w:val="1"/>
                <w:bCs w:val="1"/>
                <w:color w:val="auto"/>
              </w:rPr>
              <w:t>Internet services</w:t>
            </w:r>
          </w:p>
        </w:tc>
        <w:tc>
          <w:tcPr>
            <w:tcW w:w="3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First-lien loan ($47,988 par, due</w:t>
            </w:r>
          </w:p>
        </w:tc>
        <w:tc>
          <w:tcPr>
            <w:tcW w:w="1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7/2018)</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9.00%</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3/7/2014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47,679</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48,588</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r>
      <w:tr>
        <w:trPr>
          <w:trHeight w:val="215"/>
        </w:trPr>
        <w:tc>
          <w:tcPr>
            <w:tcW w:w="2700" w:type="dxa"/>
            <w:vAlign w:val="bottom"/>
          </w:tcPr>
          <w:p>
            <w:pPr>
              <w:spacing w:after="0"/>
              <w:rPr>
                <w:sz w:val="18"/>
                <w:szCs w:val="18"/>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First-lien revolving loan ($3,000 par,</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due 7/2018)</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3/7/2014</w:t>
            </w:r>
          </w:p>
        </w:tc>
        <w:tc>
          <w:tcPr>
            <w:tcW w:w="860" w:type="dxa"/>
            <w:vAlign w:val="bottom"/>
          </w:tcPr>
          <w:p>
            <w:pPr>
              <w:jc w:val="right"/>
              <w:spacing w:after="0"/>
              <w:rPr>
                <w:sz w:val="20"/>
                <w:szCs w:val="20"/>
                <w:color w:val="auto"/>
              </w:rPr>
            </w:pPr>
            <w:r>
              <w:rPr>
                <w:rFonts w:ascii="Arial" w:cs="Arial" w:eastAsia="Arial" w:hAnsi="Arial"/>
                <w:sz w:val="18"/>
                <w:szCs w:val="18"/>
                <w:color w:val="auto"/>
              </w:rPr>
              <w:t>2,985</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3,038</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32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0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50,664</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51,626</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r>
      <w:tr>
        <w:trPr>
          <w:trHeight w:val="223"/>
        </w:trPr>
        <w:tc>
          <w:tcPr>
            <w:tcW w:w="2700" w:type="dxa"/>
            <w:vAlign w:val="bottom"/>
          </w:tcPr>
          <w:p>
            <w:pPr>
              <w:ind w:left="260"/>
              <w:spacing w:after="0"/>
              <w:rPr>
                <w:sz w:val="20"/>
                <w:szCs w:val="20"/>
                <w:color w:val="auto"/>
              </w:rPr>
            </w:pPr>
            <w:r>
              <w:rPr>
                <w:rFonts w:ascii="Arial" w:cs="Arial" w:eastAsia="Arial" w:hAnsi="Arial"/>
                <w:sz w:val="18"/>
                <w:szCs w:val="18"/>
                <w:b w:val="1"/>
                <w:bCs w:val="1"/>
                <w:color w:val="auto"/>
              </w:rPr>
              <w:t>Manufacturing</w:t>
            </w:r>
          </w:p>
        </w:tc>
        <w:tc>
          <w:tcPr>
            <w:tcW w:w="3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Power Solutions International,</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ABL FILO term loan ($53,550 par,</w:t>
            </w:r>
          </w:p>
        </w:tc>
        <w:tc>
          <w:tcPr>
            <w:tcW w:w="1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due 6/2021)</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10.75%</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6/28/2016</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47,285</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52,613</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r>
      <w:tr>
        <w:trPr>
          <w:trHeight w:val="230"/>
        </w:trPr>
        <w:tc>
          <w:tcPr>
            <w:tcW w:w="2700" w:type="dxa"/>
            <w:vAlign w:val="bottom"/>
          </w:tcPr>
          <w:p>
            <w:pPr>
              <w:ind w:left="260"/>
              <w:spacing w:after="0"/>
              <w:rPr>
                <w:sz w:val="20"/>
                <w:szCs w:val="20"/>
                <w:color w:val="auto"/>
              </w:rPr>
            </w:pPr>
            <w:r>
              <w:rPr>
                <w:rFonts w:ascii="Arial" w:cs="Arial" w:eastAsia="Arial" w:hAnsi="Arial"/>
                <w:sz w:val="18"/>
                <w:szCs w:val="18"/>
                <w:b w:val="1"/>
                <w:bCs w:val="1"/>
                <w:color w:val="auto"/>
              </w:rPr>
              <w:t>Office products</w:t>
            </w:r>
          </w:p>
        </w:tc>
        <w:tc>
          <w:tcPr>
            <w:tcW w:w="3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First-lien loan ($36,529 par,</w:t>
            </w:r>
          </w:p>
        </w:tc>
        <w:tc>
          <w:tcPr>
            <w:tcW w:w="1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due 3/2019)</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7.25%</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3/11/2014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36,366</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36,627</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211"/>
        </w:trPr>
        <w:tc>
          <w:tcPr>
            <w:tcW w:w="2700" w:type="dxa"/>
            <w:vAlign w:val="bottom"/>
          </w:tcPr>
          <w:p>
            <w:pPr>
              <w:ind w:left="260"/>
              <w:spacing w:after="0"/>
              <w:rPr>
                <w:sz w:val="20"/>
                <w:szCs w:val="20"/>
                <w:color w:val="auto"/>
              </w:rPr>
            </w:pPr>
            <w:r>
              <w:rPr>
                <w:rFonts w:ascii="Arial" w:cs="Arial" w:eastAsia="Arial" w:hAnsi="Arial"/>
                <w:sz w:val="18"/>
                <w:szCs w:val="18"/>
                <w:b w:val="1"/>
                <w:bCs w:val="1"/>
                <w:color w:val="auto"/>
              </w:rPr>
              <w:t>Oil, gas and consumable</w:t>
            </w:r>
          </w:p>
        </w:tc>
        <w:tc>
          <w:tcPr>
            <w:tcW w:w="3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700" w:type="dxa"/>
            <w:vAlign w:val="bottom"/>
          </w:tcPr>
          <w:p>
            <w:pPr>
              <w:ind w:left="380"/>
              <w:spacing w:after="0"/>
              <w:rPr>
                <w:sz w:val="20"/>
                <w:szCs w:val="20"/>
                <w:color w:val="auto"/>
              </w:rPr>
            </w:pPr>
            <w:r>
              <w:rPr>
                <w:rFonts w:ascii="Arial" w:cs="Arial" w:eastAsia="Arial" w:hAnsi="Arial"/>
                <w:sz w:val="18"/>
                <w:szCs w:val="18"/>
                <w:b w:val="1"/>
                <w:bCs w:val="1"/>
                <w:color w:val="auto"/>
              </w:rPr>
              <w:t>fuels</w:t>
            </w:r>
          </w:p>
        </w:tc>
        <w:tc>
          <w:tcPr>
            <w:tcW w:w="3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Key Energy Services </w:t>
            </w:r>
            <w:r>
              <w:rPr>
                <w:rFonts w:ascii="Arial" w:cs="Arial" w:eastAsia="Arial" w:hAnsi="Arial"/>
                <w:sz w:val="15"/>
                <w:szCs w:val="15"/>
                <w:color w:val="auto"/>
              </w:rPr>
              <w:t>(3)</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First-lien loan ($10,771 par,</w:t>
            </w:r>
          </w:p>
        </w:tc>
        <w:tc>
          <w:tcPr>
            <w:tcW w:w="1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due 12/2021)</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11.25%</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5/27/2015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10,717</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(3)(7)</w:t>
            </w:r>
          </w:p>
        </w:tc>
        <w:tc>
          <w:tcPr>
            <w:tcW w:w="3200" w:type="dxa"/>
            <w:vAlign w:val="bottom"/>
          </w:tcPr>
          <w:p>
            <w:pPr>
              <w:ind w:left="240"/>
              <w:spacing w:after="0"/>
              <w:rPr>
                <w:sz w:val="20"/>
                <w:szCs w:val="20"/>
                <w:color w:val="auto"/>
              </w:rPr>
            </w:pPr>
            <w:r>
              <w:rPr>
                <w:rFonts w:ascii="Arial" w:cs="Arial" w:eastAsia="Arial" w:hAnsi="Arial"/>
                <w:sz w:val="18"/>
                <w:szCs w:val="18"/>
                <w:color w:val="auto"/>
              </w:rPr>
              <w:t>First-lien loan ($51,537 par,</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7"/>
              </w:rPr>
              <w:t>13.00% (incl.</w:t>
            </w: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due 6/2018)</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1.50% PIK)</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6/4/2014</w:t>
            </w:r>
          </w:p>
        </w:tc>
        <w:tc>
          <w:tcPr>
            <w:tcW w:w="860" w:type="dxa"/>
            <w:vAlign w:val="bottom"/>
          </w:tcPr>
          <w:p>
            <w:pPr>
              <w:jc w:val="right"/>
              <w:spacing w:after="0"/>
              <w:rPr>
                <w:sz w:val="20"/>
                <w:szCs w:val="20"/>
                <w:color w:val="auto"/>
              </w:rPr>
            </w:pPr>
            <w:r>
              <w:rPr>
                <w:rFonts w:ascii="Arial" w:cs="Arial" w:eastAsia="Arial" w:hAnsi="Arial"/>
                <w:sz w:val="18"/>
                <w:szCs w:val="18"/>
                <w:color w:val="auto"/>
              </w:rPr>
              <w:t>51,078</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33,885</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32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0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61,532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44,602</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r>
      <w:tr>
        <w:trPr>
          <w:trHeight w:val="223"/>
        </w:trPr>
        <w:tc>
          <w:tcPr>
            <w:tcW w:w="2700" w:type="dxa"/>
            <w:vAlign w:val="bottom"/>
          </w:tcPr>
          <w:p>
            <w:pPr>
              <w:ind w:left="260"/>
              <w:spacing w:after="0"/>
              <w:rPr>
                <w:sz w:val="20"/>
                <w:szCs w:val="20"/>
                <w:color w:val="auto"/>
              </w:rPr>
            </w:pPr>
            <w:r>
              <w:rPr>
                <w:rFonts w:ascii="Arial" w:cs="Arial" w:eastAsia="Arial" w:hAnsi="Arial"/>
                <w:sz w:val="18"/>
                <w:szCs w:val="18"/>
                <w:b w:val="1"/>
                <w:bCs w:val="1"/>
                <w:color w:val="auto"/>
              </w:rPr>
              <w:t>Pharmaceuticals</w:t>
            </w:r>
          </w:p>
        </w:tc>
        <w:tc>
          <w:tcPr>
            <w:tcW w:w="3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note ($74,950 par, due</w:t>
            </w:r>
          </w:p>
        </w:tc>
        <w:tc>
          <w:tcPr>
            <w:tcW w:w="1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10/2020)</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7.75%</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10/5/2015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74,184</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74,575</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r>
      <w:tr>
        <w:trPr>
          <w:trHeight w:val="211"/>
        </w:trPr>
        <w:tc>
          <w:tcPr>
            <w:tcW w:w="2700" w:type="dxa"/>
            <w:vAlign w:val="bottom"/>
          </w:tcPr>
          <w:p>
            <w:pPr>
              <w:ind w:left="260"/>
              <w:spacing w:after="0"/>
              <w:rPr>
                <w:sz w:val="20"/>
                <w:szCs w:val="20"/>
                <w:color w:val="auto"/>
              </w:rPr>
            </w:pPr>
            <w:r>
              <w:rPr>
                <w:rFonts w:ascii="Arial" w:cs="Arial" w:eastAsia="Arial" w:hAnsi="Arial"/>
                <w:sz w:val="18"/>
                <w:szCs w:val="18"/>
                <w:b w:val="1"/>
                <w:bCs w:val="1"/>
                <w:color w:val="auto"/>
              </w:rPr>
              <w:t>Retail and consumer</w:t>
            </w:r>
          </w:p>
        </w:tc>
        <w:tc>
          <w:tcPr>
            <w:tcW w:w="3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700" w:type="dxa"/>
            <w:vAlign w:val="bottom"/>
          </w:tcPr>
          <w:p>
            <w:pPr>
              <w:ind w:left="380"/>
              <w:spacing w:after="0"/>
              <w:rPr>
                <w:sz w:val="20"/>
                <w:szCs w:val="20"/>
                <w:color w:val="auto"/>
              </w:rPr>
            </w:pPr>
            <w:r>
              <w:rPr>
                <w:rFonts w:ascii="Arial" w:cs="Arial" w:eastAsia="Arial" w:hAnsi="Arial"/>
                <w:sz w:val="18"/>
                <w:szCs w:val="18"/>
                <w:b w:val="1"/>
                <w:bCs w:val="1"/>
                <w:color w:val="auto"/>
              </w:rPr>
              <w:t>products</w:t>
            </w:r>
          </w:p>
        </w:tc>
        <w:tc>
          <w:tcPr>
            <w:tcW w:w="3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American Achievement</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First-lien loan ($23,918 par, due</w:t>
            </w:r>
          </w:p>
        </w:tc>
        <w:tc>
          <w:tcPr>
            <w:tcW w:w="1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9/2020)</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8.25%</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23,652</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23,858</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Destination Maternity</w:t>
            </w:r>
          </w:p>
        </w:tc>
        <w:tc>
          <w:tcPr>
            <w:tcW w:w="3200" w:type="dxa"/>
            <w:vAlign w:val="bottom"/>
          </w:tcPr>
          <w:p>
            <w:pPr>
              <w:ind w:left="240"/>
              <w:spacing w:after="0"/>
              <w:rPr>
                <w:sz w:val="20"/>
                <w:szCs w:val="20"/>
                <w:color w:val="auto"/>
              </w:rPr>
            </w:pPr>
            <w:r>
              <w:rPr>
                <w:rFonts w:ascii="Arial" w:cs="Arial" w:eastAsia="Arial" w:hAnsi="Arial"/>
                <w:sz w:val="18"/>
                <w:szCs w:val="18"/>
                <w:color w:val="auto"/>
              </w:rPr>
              <w:t>ABL FILO term loan ($17,371 par,</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3200" w:type="dxa"/>
            <w:vAlign w:val="bottom"/>
          </w:tcPr>
          <w:p>
            <w:pPr>
              <w:ind w:left="240"/>
              <w:spacing w:after="0"/>
              <w:rPr>
                <w:sz w:val="20"/>
                <w:szCs w:val="20"/>
                <w:color w:val="auto"/>
              </w:rPr>
            </w:pPr>
            <w:r>
              <w:rPr>
                <w:rFonts w:ascii="Arial" w:cs="Arial" w:eastAsia="Arial" w:hAnsi="Arial"/>
                <w:sz w:val="18"/>
                <w:szCs w:val="18"/>
                <w:color w:val="auto"/>
              </w:rPr>
              <w:t>due 3/2021)</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3/25/2016</w:t>
            </w:r>
          </w:p>
        </w:tc>
        <w:tc>
          <w:tcPr>
            <w:tcW w:w="860" w:type="dxa"/>
            <w:vAlign w:val="bottom"/>
          </w:tcPr>
          <w:p>
            <w:pPr>
              <w:jc w:val="right"/>
              <w:spacing w:after="0"/>
              <w:rPr>
                <w:sz w:val="20"/>
                <w:szCs w:val="20"/>
                <w:color w:val="auto"/>
              </w:rPr>
            </w:pPr>
            <w:r>
              <w:rPr>
                <w:rFonts w:ascii="Arial" w:cs="Arial" w:eastAsia="Arial" w:hAnsi="Arial"/>
                <w:sz w:val="18"/>
                <w:szCs w:val="18"/>
                <w:color w:val="auto"/>
              </w:rPr>
              <w:t>17,013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17,328</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Payless Inc. </w:t>
            </w:r>
            <w:r>
              <w:rPr>
                <w:rFonts w:ascii="Arial" w:cs="Arial" w:eastAsia="Arial" w:hAnsi="Arial"/>
                <w:sz w:val="15"/>
                <w:szCs w:val="15"/>
                <w:color w:val="auto"/>
              </w:rPr>
              <w:t>(3)</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ABL FILO term loan ($50,000 par,</w:t>
            </w:r>
          </w:p>
        </w:tc>
        <w:tc>
          <w:tcPr>
            <w:tcW w:w="1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due 3/2019)</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8.00%</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10/3/2016</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48,736</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49,125</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Quiksilver - Boardriders SA</w:t>
            </w:r>
          </w:p>
        </w:tc>
        <w:tc>
          <w:tcPr>
            <w:tcW w:w="3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5,170</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Bond (EUR 5,699 par, due 12/2020)</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5/26/2015</w:t>
            </w:r>
          </w:p>
        </w:tc>
        <w:tc>
          <w:tcPr>
            <w:tcW w:w="860" w:type="dxa"/>
            <w:vAlign w:val="bottom"/>
          </w:tcPr>
          <w:p>
            <w:pPr>
              <w:jc w:val="right"/>
              <w:spacing w:after="0"/>
              <w:rPr>
                <w:sz w:val="20"/>
                <w:szCs w:val="20"/>
                <w:color w:val="auto"/>
              </w:rPr>
            </w:pPr>
            <w:r>
              <w:rPr>
                <w:rFonts w:ascii="Arial" w:cs="Arial" w:eastAsia="Arial" w:hAnsi="Arial"/>
                <w:sz w:val="18"/>
                <w:szCs w:val="18"/>
                <w:color w:val="auto"/>
              </w:rPr>
              <w:t>6,036</w:t>
            </w:r>
          </w:p>
        </w:tc>
        <w:tc>
          <w:tcPr>
            <w:tcW w:w="2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(EUR 4,901)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(3)(4)(6)</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First-lien loan ($3,642 par,</w:t>
            </w:r>
          </w:p>
        </w:tc>
        <w:tc>
          <w:tcPr>
            <w:tcW w:w="1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due 6/2018)</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5.50%</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1/28/2016</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15"/>
        </w:trPr>
        <w:tc>
          <w:tcPr>
            <w:tcW w:w="2700" w:type="dxa"/>
            <w:vAlign w:val="bottom"/>
          </w:tcPr>
          <w:p>
            <w:pPr>
              <w:spacing w:after="0"/>
              <w:rPr>
                <w:sz w:val="18"/>
                <w:szCs w:val="18"/>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First-lien ABL loan ($22,727 par,</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due 7/2020)</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3/18/2016</w:t>
            </w:r>
          </w:p>
        </w:tc>
        <w:tc>
          <w:tcPr>
            <w:tcW w:w="860" w:type="dxa"/>
            <w:vAlign w:val="bottom"/>
          </w:tcPr>
          <w:p>
            <w:pPr>
              <w:jc w:val="right"/>
              <w:spacing w:after="0"/>
              <w:rPr>
                <w:sz w:val="20"/>
                <w:szCs w:val="20"/>
                <w:color w:val="auto"/>
              </w:rPr>
            </w:pPr>
            <w:r>
              <w:rPr>
                <w:rFonts w:ascii="Arial" w:cs="Arial" w:eastAsia="Arial" w:hAnsi="Arial"/>
                <w:sz w:val="18"/>
                <w:szCs w:val="18"/>
                <w:color w:val="auto"/>
              </w:rPr>
              <w:t>22,143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22,727</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ABL FILO term loan ($25,500 par,</w:t>
            </w:r>
          </w:p>
        </w:tc>
        <w:tc>
          <w:tcPr>
            <w:tcW w:w="1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due 10/2019)</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8.25%</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10/9/2014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25,349</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25,118</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r>
      <w:tr>
        <w:trPr>
          <w:trHeight w:val="20"/>
        </w:trPr>
        <w:tc>
          <w:tcPr>
            <w:tcW w:w="27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146,386</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146,813</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r>
      <w:tr>
        <w:trPr>
          <w:trHeight w:val="223"/>
        </w:trPr>
        <w:tc>
          <w:tcPr>
            <w:tcW w:w="2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Transportation</w:t>
            </w:r>
          </w:p>
        </w:tc>
        <w:tc>
          <w:tcPr>
            <w:tcW w:w="32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w:t>
            </w:r>
          </w:p>
        </w:tc>
        <w:tc>
          <w:tcPr>
            <w:tcW w:w="3200" w:type="dxa"/>
            <w:vAlign w:val="bottom"/>
          </w:tcPr>
          <w:p>
            <w:pPr>
              <w:ind w:left="240"/>
              <w:spacing w:after="0"/>
              <w:rPr>
                <w:sz w:val="20"/>
                <w:szCs w:val="20"/>
                <w:color w:val="auto"/>
              </w:rPr>
            </w:pPr>
            <w:r>
              <w:rPr>
                <w:rFonts w:ascii="Arial" w:cs="Arial" w:eastAsia="Arial" w:hAnsi="Arial"/>
                <w:sz w:val="18"/>
                <w:szCs w:val="18"/>
                <w:color w:val="auto"/>
              </w:rPr>
              <w:t>First-lien loan ($12,878 par,</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due 1/2019)</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3/17/2015</w:t>
            </w:r>
          </w:p>
        </w:tc>
        <w:tc>
          <w:tcPr>
            <w:tcW w:w="860" w:type="dxa"/>
            <w:vAlign w:val="bottom"/>
          </w:tcPr>
          <w:p>
            <w:pPr>
              <w:jc w:val="right"/>
              <w:spacing w:after="0"/>
              <w:rPr>
                <w:sz w:val="20"/>
                <w:szCs w:val="20"/>
                <w:color w:val="auto"/>
              </w:rPr>
            </w:pPr>
            <w:r>
              <w:rPr>
                <w:rFonts w:ascii="Arial" w:cs="Arial" w:eastAsia="Arial" w:hAnsi="Arial"/>
                <w:sz w:val="18"/>
                <w:szCs w:val="18"/>
                <w:color w:val="auto"/>
              </w:rPr>
              <w:t>12,342</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12,610</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30"/>
        </w:trPr>
        <w:tc>
          <w:tcPr>
            <w:tcW w:w="270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32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1,627,465</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1,629,836</w:t>
            </w: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and Other Investments</w:t>
            </w:r>
          </w:p>
        </w:tc>
        <w:tc>
          <w:tcPr>
            <w:tcW w:w="3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700" w:type="dxa"/>
            <w:vAlign w:val="bottom"/>
          </w:tcPr>
          <w:p>
            <w:pPr>
              <w:ind w:left="260"/>
              <w:spacing w:after="0"/>
              <w:rPr>
                <w:sz w:val="20"/>
                <w:szCs w:val="20"/>
                <w:color w:val="auto"/>
              </w:rPr>
            </w:pPr>
            <w:r>
              <w:rPr>
                <w:rFonts w:ascii="Arial" w:cs="Arial" w:eastAsia="Arial" w:hAnsi="Arial"/>
                <w:sz w:val="18"/>
                <w:szCs w:val="18"/>
                <w:b w:val="1"/>
                <w:bCs w:val="1"/>
                <w:color w:val="auto"/>
              </w:rPr>
              <w:t>Chemicals</w:t>
            </w:r>
          </w:p>
        </w:tc>
        <w:tc>
          <w:tcPr>
            <w:tcW w:w="3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Vertellus Specialties, Inc.</w:t>
            </w: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Units (2,672,990 units)</w:t>
            </w:r>
          </w:p>
        </w:tc>
        <w:tc>
          <w:tcPr>
            <w:tcW w:w="1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10/31/2016</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432"/>
        </w:trPr>
        <w:tc>
          <w:tcPr>
            <w:tcW w:w="2700" w:type="dxa"/>
            <w:vAlign w:val="bottom"/>
          </w:tcPr>
          <w:p>
            <w:pPr>
              <w:spacing w:after="0"/>
              <w:rPr>
                <w:sz w:val="24"/>
                <w:szCs w:val="24"/>
                <w:color w:val="auto"/>
              </w:rPr>
            </w:pPr>
          </w:p>
        </w:tc>
        <w:tc>
          <w:tcPr>
            <w:tcW w:w="3200" w:type="dxa"/>
            <w:vAlign w:val="bottom"/>
          </w:tcPr>
          <w:p>
            <w:pPr>
              <w:ind w:left="2880"/>
              <w:spacing w:after="0"/>
              <w:rPr>
                <w:sz w:val="20"/>
                <w:szCs w:val="20"/>
                <w:color w:val="auto"/>
              </w:rPr>
            </w:pPr>
            <w:r>
              <w:rPr>
                <w:rFonts w:ascii="Arial" w:cs="Arial" w:eastAsia="Arial" w:hAnsi="Arial"/>
                <w:sz w:val="18"/>
                <w:szCs w:val="18"/>
                <w:color w:val="auto"/>
              </w:rPr>
              <w:t>F-7</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70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2600" w:type="dxa"/>
            <w:vAlign w:val="bottom"/>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3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w:t>
            </w:r>
          </w:p>
        </w:tc>
        <w:tc>
          <w:tcPr>
            <w:tcW w:w="3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Series E Preferred Equity (214,132</w:t>
            </w:r>
          </w:p>
        </w:tc>
        <w:tc>
          <w:tcPr>
            <w:tcW w:w="108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30"/>
        </w:trPr>
        <w:tc>
          <w:tcPr>
            <w:tcW w:w="2600" w:type="dxa"/>
            <w:vAlign w:val="bottom"/>
            <w:shd w:val="clear" w:color="auto" w:fill="CFF0FC"/>
          </w:tcPr>
          <w:p>
            <w:pPr>
              <w:spacing w:after="0"/>
              <w:rPr>
                <w:sz w:val="20"/>
                <w:szCs w:val="20"/>
                <w:color w:val="auto"/>
              </w:rPr>
            </w:pPr>
          </w:p>
        </w:tc>
        <w:tc>
          <w:tcPr>
            <w:tcW w:w="3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w:t>
            </w:r>
          </w:p>
        </w:tc>
        <w:tc>
          <w:tcPr>
            <w:tcW w:w="1080" w:type="dxa"/>
            <w:vAlign w:val="bottom"/>
            <w:shd w:val="clear" w:color="auto" w:fill="CFF0FC"/>
          </w:tcPr>
          <w:p>
            <w:pPr>
              <w:spacing w:after="0"/>
              <w:rPr>
                <w:sz w:val="20"/>
                <w:szCs w:val="20"/>
                <w:color w:val="auto"/>
              </w:rPr>
            </w:pPr>
          </w:p>
        </w:tc>
        <w:tc>
          <w:tcPr>
            <w:tcW w:w="104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8/7/2015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4,548</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Network Merchants, Inc.</w:t>
            </w:r>
          </w:p>
        </w:tc>
        <w:tc>
          <w:tcPr>
            <w:tcW w:w="3580" w:type="dxa"/>
            <w:vAlign w:val="bottom"/>
          </w:tcPr>
          <w:p>
            <w:pPr>
              <w:ind w:left="340"/>
              <w:spacing w:after="0"/>
              <w:rPr>
                <w:sz w:val="20"/>
                <w:szCs w:val="20"/>
                <w:color w:val="auto"/>
              </w:rPr>
            </w:pPr>
            <w:r>
              <w:rPr>
                <w:rFonts w:ascii="Arial" w:cs="Arial" w:eastAsia="Arial" w:hAnsi="Arial"/>
                <w:sz w:val="18"/>
                <w:szCs w:val="18"/>
                <w:color w:val="auto"/>
              </w:rPr>
              <w:t>Non-Voting Preferred Units</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(774,099 units)</w:t>
            </w:r>
          </w:p>
        </w:tc>
        <w:tc>
          <w:tcPr>
            <w:tcW w:w="10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9/12/2013</w:t>
            </w:r>
          </w:p>
        </w:tc>
        <w:tc>
          <w:tcPr>
            <w:tcW w:w="860" w:type="dxa"/>
            <w:vAlign w:val="bottom"/>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w:t>
            </w:r>
          </w:p>
        </w:tc>
        <w:tc>
          <w:tcPr>
            <w:tcW w:w="3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Common Shares (995,419 shares)</w:t>
            </w:r>
          </w:p>
        </w:tc>
        <w:tc>
          <w:tcPr>
            <w:tcW w:w="108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8/5/2015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6,673</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6,580</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2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26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11,299</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12,678</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26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w:t>
            </w:r>
          </w:p>
        </w:tc>
        <w:tc>
          <w:tcPr>
            <w:tcW w:w="35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right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Global Healthcare Exchange,</w:t>
            </w:r>
          </w:p>
        </w:tc>
        <w:tc>
          <w:tcPr>
            <w:tcW w:w="3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LLC</w:t>
            </w:r>
          </w:p>
        </w:tc>
        <w:tc>
          <w:tcPr>
            <w:tcW w:w="3580" w:type="dxa"/>
            <w:vAlign w:val="bottom"/>
          </w:tcPr>
          <w:p>
            <w:pPr>
              <w:ind w:left="340"/>
              <w:spacing w:after="0"/>
              <w:rPr>
                <w:sz w:val="20"/>
                <w:szCs w:val="20"/>
                <w:color w:val="auto"/>
              </w:rPr>
            </w:pPr>
            <w:r>
              <w:rPr>
                <w:rFonts w:ascii="Arial" w:cs="Arial" w:eastAsia="Arial" w:hAnsi="Arial"/>
                <w:sz w:val="18"/>
                <w:szCs w:val="18"/>
                <w:color w:val="auto"/>
              </w:rPr>
              <w:t>Common Shares Class A (358 shares)</w:t>
            </w:r>
          </w:p>
        </w:tc>
        <w:tc>
          <w:tcPr>
            <w:tcW w:w="10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3/11/2014</w:t>
            </w:r>
          </w:p>
        </w:tc>
        <w:tc>
          <w:tcPr>
            <w:tcW w:w="860" w:type="dxa"/>
            <w:vAlign w:val="bottom"/>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2600" w:type="dxa"/>
            <w:vAlign w:val="bottom"/>
            <w:shd w:val="clear" w:color="auto" w:fill="CFF0FC"/>
          </w:tcPr>
          <w:p>
            <w:pPr>
              <w:spacing w:after="0"/>
              <w:rPr>
                <w:sz w:val="19"/>
                <w:szCs w:val="19"/>
                <w:color w:val="auto"/>
              </w:rPr>
            </w:pPr>
          </w:p>
        </w:tc>
        <w:tc>
          <w:tcPr>
            <w:tcW w:w="3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Common Shares Class B (196 shares)</w:t>
            </w:r>
          </w:p>
        </w:tc>
        <w:tc>
          <w:tcPr>
            <w:tcW w:w="108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3/11/2014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w:t>
            </w:r>
          </w:p>
        </w:tc>
        <w:tc>
          <w:tcPr>
            <w:tcW w:w="3580" w:type="dxa"/>
            <w:vAlign w:val="bottom"/>
          </w:tcPr>
          <w:p>
            <w:pPr>
              <w:ind w:left="340"/>
              <w:spacing w:after="0"/>
              <w:rPr>
                <w:sz w:val="20"/>
                <w:szCs w:val="20"/>
                <w:color w:val="auto"/>
              </w:rPr>
            </w:pPr>
            <w:r>
              <w:rPr>
                <w:rFonts w:ascii="Arial" w:cs="Arial" w:eastAsia="Arial" w:hAnsi="Arial"/>
                <w:sz w:val="18"/>
                <w:szCs w:val="18"/>
                <w:color w:val="auto"/>
              </w:rPr>
              <w:t>Warrants</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9/30/2014</w:t>
            </w:r>
          </w:p>
        </w:tc>
        <w:tc>
          <w:tcPr>
            <w:tcW w:w="860" w:type="dxa"/>
            <w:vAlign w:val="bottom"/>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(EUR 648)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SRS Parent Corp.</w:t>
            </w:r>
          </w:p>
        </w:tc>
        <w:tc>
          <w:tcPr>
            <w:tcW w:w="3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Common Shares Class A</w:t>
            </w:r>
          </w:p>
        </w:tc>
        <w:tc>
          <w:tcPr>
            <w:tcW w:w="108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30"/>
        </w:trPr>
        <w:tc>
          <w:tcPr>
            <w:tcW w:w="2600" w:type="dxa"/>
            <w:vAlign w:val="bottom"/>
            <w:shd w:val="clear" w:color="auto" w:fill="CFF0FC"/>
          </w:tcPr>
          <w:p>
            <w:pPr>
              <w:spacing w:after="0"/>
              <w:rPr>
                <w:sz w:val="20"/>
                <w:szCs w:val="20"/>
                <w:color w:val="auto"/>
              </w:rPr>
            </w:pPr>
          </w:p>
        </w:tc>
        <w:tc>
          <w:tcPr>
            <w:tcW w:w="3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(1,980 shares)</w:t>
            </w:r>
          </w:p>
        </w:tc>
        <w:tc>
          <w:tcPr>
            <w:tcW w:w="1080" w:type="dxa"/>
            <w:vAlign w:val="bottom"/>
            <w:shd w:val="clear" w:color="auto" w:fill="CFF0FC"/>
          </w:tcPr>
          <w:p>
            <w:pPr>
              <w:spacing w:after="0"/>
              <w:rPr>
                <w:sz w:val="20"/>
                <w:szCs w:val="20"/>
                <w:color w:val="auto"/>
              </w:rPr>
            </w:pPr>
          </w:p>
        </w:tc>
        <w:tc>
          <w:tcPr>
            <w:tcW w:w="104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12/28/2012</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r>
      <w:tr>
        <w:trPr>
          <w:trHeight w:val="215"/>
        </w:trPr>
        <w:tc>
          <w:tcPr>
            <w:tcW w:w="260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Common Shares Class B (2,953,020</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shares)</w:t>
            </w:r>
          </w:p>
        </w:tc>
        <w:tc>
          <w:tcPr>
            <w:tcW w:w="10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2600" w:type="dxa"/>
            <w:vAlign w:val="bottom"/>
            <w:shd w:val="clear" w:color="auto" w:fill="CFF0FC"/>
          </w:tcPr>
          <w:p>
            <w:pPr>
              <w:spacing w:after="0" w:line="20" w:lineRule="exact"/>
              <w:rPr>
                <w:sz w:val="1"/>
                <w:szCs w:val="1"/>
                <w:color w:val="auto"/>
              </w:rPr>
            </w:pPr>
          </w:p>
        </w:tc>
        <w:tc>
          <w:tcPr>
            <w:tcW w:w="35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4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23"/>
        </w:trPr>
        <w:tc>
          <w:tcPr>
            <w:tcW w:w="2600" w:type="dxa"/>
            <w:vAlign w:val="bottom"/>
            <w:shd w:val="clear" w:color="auto" w:fill="CFF0FC"/>
          </w:tcPr>
          <w:p>
            <w:pPr>
              <w:spacing w:after="0"/>
              <w:rPr>
                <w:sz w:val="19"/>
                <w:szCs w:val="19"/>
                <w:color w:val="auto"/>
              </w:rPr>
            </w:pPr>
          </w:p>
        </w:tc>
        <w:tc>
          <w:tcPr>
            <w:tcW w:w="3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260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3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w:t>
            </w:r>
          </w:p>
        </w:tc>
        <w:tc>
          <w:tcPr>
            <w:tcW w:w="3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Class A Units (5,000,000 units)</w:t>
            </w:r>
          </w:p>
        </w:tc>
        <w:tc>
          <w:tcPr>
            <w:tcW w:w="108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9/29/2015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2600" w:type="dxa"/>
            <w:vAlign w:val="bottom"/>
          </w:tcPr>
          <w:p>
            <w:pPr>
              <w:spacing w:after="0"/>
              <w:rPr>
                <w:sz w:val="19"/>
                <w:szCs w:val="19"/>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Class C-1 Units (8,800,000 units)</w:t>
            </w:r>
          </w:p>
        </w:tc>
        <w:tc>
          <w:tcPr>
            <w:tcW w:w="10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9/29/2015</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2600" w:type="dxa"/>
            <w:vAlign w:val="bottom"/>
            <w:shd w:val="clear" w:color="auto" w:fill="CFF0FC"/>
          </w:tcPr>
          <w:p>
            <w:pPr>
              <w:spacing w:after="0" w:line="20" w:lineRule="exact"/>
              <w:rPr>
                <w:sz w:val="1"/>
                <w:szCs w:val="1"/>
                <w:color w:val="auto"/>
              </w:rPr>
            </w:pPr>
          </w:p>
        </w:tc>
        <w:tc>
          <w:tcPr>
            <w:tcW w:w="35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4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23"/>
        </w:trPr>
        <w:tc>
          <w:tcPr>
            <w:tcW w:w="2600" w:type="dxa"/>
            <w:vAlign w:val="bottom"/>
            <w:shd w:val="clear" w:color="auto" w:fill="CFF0FC"/>
          </w:tcPr>
          <w:p>
            <w:pPr>
              <w:spacing w:after="0"/>
              <w:rPr>
                <w:sz w:val="19"/>
                <w:szCs w:val="19"/>
                <w:color w:val="auto"/>
              </w:rPr>
            </w:pPr>
          </w:p>
        </w:tc>
        <w:tc>
          <w:tcPr>
            <w:tcW w:w="3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05"/>
        </w:trPr>
        <w:tc>
          <w:tcPr>
            <w:tcW w:w="260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3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600" w:type="dxa"/>
            <w:vAlign w:val="bottom"/>
          </w:tcPr>
          <w:p>
            <w:pPr>
              <w:ind w:left="380"/>
              <w:spacing w:after="0"/>
              <w:rPr>
                <w:sz w:val="20"/>
                <w:szCs w:val="20"/>
                <w:color w:val="auto"/>
              </w:rPr>
            </w:pPr>
            <w:r>
              <w:rPr>
                <w:rFonts w:ascii="Arial" w:cs="Arial" w:eastAsia="Arial" w:hAnsi="Arial"/>
                <w:sz w:val="18"/>
                <w:szCs w:val="18"/>
                <w:b w:val="1"/>
                <w:bCs w:val="1"/>
                <w:color w:val="auto"/>
              </w:rPr>
              <w:t>fuels</w:t>
            </w:r>
          </w:p>
        </w:tc>
        <w:tc>
          <w:tcPr>
            <w:tcW w:w="3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w:t>
            </w:r>
          </w:p>
        </w:tc>
        <w:tc>
          <w:tcPr>
            <w:tcW w:w="3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Class A Member Units (933 units)</w:t>
            </w:r>
          </w:p>
        </w:tc>
        <w:tc>
          <w:tcPr>
            <w:tcW w:w="108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6/4/2014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2600" w:type="dxa"/>
            <w:vAlign w:val="bottom"/>
          </w:tcPr>
          <w:p>
            <w:pPr>
              <w:ind w:left="260"/>
              <w:spacing w:after="0"/>
              <w:rPr>
                <w:sz w:val="20"/>
                <w:szCs w:val="20"/>
                <w:color w:val="auto"/>
              </w:rPr>
            </w:pPr>
            <w:r>
              <w:rPr>
                <w:rFonts w:ascii="Arial" w:cs="Arial" w:eastAsia="Arial" w:hAnsi="Arial"/>
                <w:sz w:val="18"/>
                <w:szCs w:val="18"/>
                <w:b w:val="1"/>
                <w:bCs w:val="1"/>
                <w:color w:val="auto"/>
              </w:rPr>
              <w:t>Other</w:t>
            </w:r>
          </w:p>
        </w:tc>
        <w:tc>
          <w:tcPr>
            <w:tcW w:w="3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Oak Hill Credit Partners </w:t>
            </w:r>
            <w:r>
              <w:rPr>
                <w:rFonts w:ascii="Arial" w:cs="Arial" w:eastAsia="Arial" w:hAnsi="Arial"/>
                <w:sz w:val="15"/>
                <w:szCs w:val="15"/>
                <w:color w:val="auto"/>
              </w:rPr>
              <w:t>(4)(6)</w:t>
            </w:r>
          </w:p>
        </w:tc>
        <w:tc>
          <w:tcPr>
            <w:tcW w:w="3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Structured Product</w:t>
            </w: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6.38%</w:t>
            </w:r>
          </w:p>
        </w:tc>
        <w:tc>
          <w:tcPr>
            <w:tcW w:w="104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8/21/2015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3,162</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(4)(6)</w:t>
            </w:r>
          </w:p>
        </w:tc>
        <w:tc>
          <w:tcPr>
            <w:tcW w:w="3580" w:type="dxa"/>
            <w:vAlign w:val="bottom"/>
          </w:tcPr>
          <w:p>
            <w:pPr>
              <w:ind w:left="340"/>
              <w:spacing w:after="0"/>
              <w:rPr>
                <w:sz w:val="20"/>
                <w:szCs w:val="20"/>
                <w:color w:val="auto"/>
              </w:rPr>
            </w:pPr>
            <w:r>
              <w:rPr>
                <w:rFonts w:ascii="Arial" w:cs="Arial" w:eastAsia="Arial" w:hAnsi="Arial"/>
                <w:sz w:val="18"/>
                <w:szCs w:val="18"/>
                <w:color w:val="auto"/>
              </w:rPr>
              <w:t>Structured Product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11/17/2014</w:t>
            </w:r>
          </w:p>
        </w:tc>
        <w:tc>
          <w:tcPr>
            <w:tcW w:w="860" w:type="dxa"/>
            <w:vAlign w:val="bottom"/>
          </w:tcPr>
          <w:p>
            <w:pPr>
              <w:jc w:val="right"/>
              <w:spacing w:after="0"/>
              <w:rPr>
                <w:sz w:val="20"/>
                <w:szCs w:val="20"/>
                <w:color w:val="auto"/>
              </w:rPr>
            </w:pPr>
            <w:r>
              <w:rPr>
                <w:rFonts w:ascii="Arial" w:cs="Arial" w:eastAsia="Arial" w:hAnsi="Arial"/>
                <w:sz w:val="18"/>
                <w:szCs w:val="18"/>
                <w:color w:val="auto"/>
              </w:rPr>
              <w:t>5,638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5,360</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2600" w:type="dxa"/>
            <w:vAlign w:val="bottom"/>
            <w:shd w:val="clear" w:color="auto" w:fill="CFF0FC"/>
          </w:tcPr>
          <w:p>
            <w:pPr>
              <w:spacing w:after="0" w:line="20" w:lineRule="exact"/>
              <w:rPr>
                <w:sz w:val="1"/>
                <w:szCs w:val="1"/>
                <w:color w:val="auto"/>
              </w:rPr>
            </w:pPr>
          </w:p>
        </w:tc>
        <w:tc>
          <w:tcPr>
            <w:tcW w:w="35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4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23"/>
        </w:trPr>
        <w:tc>
          <w:tcPr>
            <w:tcW w:w="2600" w:type="dxa"/>
            <w:vAlign w:val="bottom"/>
            <w:shd w:val="clear" w:color="auto" w:fill="CFF0FC"/>
          </w:tcPr>
          <w:p>
            <w:pPr>
              <w:spacing w:after="0"/>
              <w:rPr>
                <w:sz w:val="19"/>
                <w:szCs w:val="19"/>
                <w:color w:val="auto"/>
              </w:rPr>
            </w:pPr>
          </w:p>
        </w:tc>
        <w:tc>
          <w:tcPr>
            <w:tcW w:w="3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8,983</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8,522</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r>
      <w:tr>
        <w:trPr>
          <w:trHeight w:val="205"/>
        </w:trPr>
        <w:tc>
          <w:tcPr>
            <w:tcW w:w="260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3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600" w:type="dxa"/>
            <w:vAlign w:val="bottom"/>
          </w:tcPr>
          <w:p>
            <w:pPr>
              <w:ind w:left="380"/>
              <w:spacing w:after="0"/>
              <w:rPr>
                <w:sz w:val="20"/>
                <w:szCs w:val="20"/>
                <w:color w:val="auto"/>
              </w:rPr>
            </w:pPr>
            <w:r>
              <w:rPr>
                <w:rFonts w:ascii="Arial" w:cs="Arial" w:eastAsia="Arial" w:hAnsi="Arial"/>
                <w:sz w:val="18"/>
                <w:szCs w:val="18"/>
                <w:b w:val="1"/>
                <w:bCs w:val="1"/>
                <w:color w:val="auto"/>
              </w:rPr>
              <w:t>Investments</w:t>
            </w:r>
          </w:p>
        </w:tc>
        <w:tc>
          <w:tcPr>
            <w:tcW w:w="3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40,222</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27,567</w:t>
            </w: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2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35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$ 1,667,687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$ 1,657,403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173.8</w:t>
            </w: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80" w:hanging="512"/>
        <w:spacing w:after="0" w:line="250"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jc w:val="both"/>
        <w:ind w:left="520" w:right="40" w:hanging="512"/>
        <w:spacing w:after="0" w:line="250"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 to the extent a loan has been allocated to “first out” and “last out” tranches, whereby the “first out” tranche will have priority as to the “last out” tranche with respect to payments of principal, interest and any amounts due thereunder.</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2016 in which the issuer was an Affiliated Person of and was deemed to Control a portfolio company are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Controlled, Affiliated Investments during the year ended December 31, 2016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Additions (a)</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Gain/(Loss)</w:t>
            </w:r>
          </w:p>
        </w:tc>
        <w:tc>
          <w:tcPr>
            <w:tcW w:w="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Gain/(Losses)</w:t>
            </w:r>
          </w:p>
        </w:tc>
        <w:tc>
          <w:tcPr>
            <w:tcW w:w="12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w w:val="97"/>
              </w:rPr>
              <w:t>Income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31,974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13,849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(10,994</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65,859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9,975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right="140" w:hanging="376"/>
        <w:spacing w:after="0" w:line="258"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140" w:right="260" w:hanging="376"/>
        <w:spacing w:after="0" w:line="250"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w:t>
      </w:r>
    </w:p>
    <w:p>
      <w:pPr>
        <w:ind w:left="520" w:hanging="512"/>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of December 31, 2016, the tax cost of the Company’s investments approximates their amortized cost.</w:t>
      </w:r>
    </w:p>
    <w:p>
      <w:pPr>
        <w:spacing w:after="0" w:line="9" w:lineRule="exact"/>
        <w:rPr>
          <w:rFonts w:ascii="Arial" w:cs="Arial" w:eastAsia="Arial" w:hAnsi="Arial"/>
          <w:sz w:val="18"/>
          <w:szCs w:val="18"/>
          <w:color w:val="auto"/>
        </w:rPr>
      </w:pPr>
    </w:p>
    <w:p>
      <w:pPr>
        <w:ind w:left="520" w:right="220" w:hanging="512"/>
        <w:spacing w:after="0" w:line="261"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Notes contain a fixed rate structure. The Company entered into an interest rate swap agreement to swap to a floating rate. Refer to Note 5 for further information related to the Company’s interest rate swaps.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2015</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Initial</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Acquisition</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6"/>
                <w:szCs w:val="16"/>
                <w:color w:val="auto"/>
              </w:rPr>
            </w:pPr>
          </w:p>
        </w:tc>
      </w:tr>
      <w:tr>
        <w:trPr>
          <w:trHeight w:val="228"/>
        </w:trPr>
        <w:tc>
          <w:tcPr>
            <w:tcW w:w="2920" w:type="dxa"/>
            <w:vAlign w:val="bottom"/>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80" w:type="dxa"/>
            <w:vAlign w:val="bottom"/>
          </w:tcPr>
          <w:p>
            <w:pPr>
              <w:spacing w:after="0"/>
              <w:rPr>
                <w:sz w:val="19"/>
                <w:szCs w:val="19"/>
                <w:color w:val="auto"/>
              </w:rPr>
            </w:pPr>
          </w:p>
        </w:tc>
        <w:tc>
          <w:tcPr>
            <w:tcW w:w="2380" w:type="dxa"/>
            <w:vAlign w:val="bottom"/>
            <w:gridSpan w:val="2"/>
          </w:tcPr>
          <w:p>
            <w:pPr>
              <w:ind w:left="800"/>
              <w:spacing w:after="0"/>
              <w:rPr>
                <w:sz w:val="20"/>
                <w:szCs w:val="20"/>
                <w:color w:val="auto"/>
              </w:rPr>
            </w:pPr>
            <w:r>
              <w:rPr>
                <w:rFonts w:ascii="Arial" w:cs="Arial" w:eastAsia="Arial" w:hAnsi="Arial"/>
                <w:sz w:val="14"/>
                <w:szCs w:val="14"/>
                <w:b w:val="1"/>
                <w:bCs w:val="1"/>
                <w:color w:val="auto"/>
              </w:rPr>
              <w:t>Investment</w:t>
            </w: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6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of Net Assets</w:t>
            </w:r>
          </w:p>
        </w:tc>
        <w:tc>
          <w:tcPr>
            <w:tcW w:w="20" w:type="dxa"/>
            <w:vAlign w:val="bottom"/>
          </w:tcPr>
          <w:p>
            <w:pPr>
              <w:spacing w:after="0"/>
              <w:rPr>
                <w:sz w:val="19"/>
                <w:szCs w:val="19"/>
                <w:color w:val="auto"/>
              </w:rPr>
            </w:pPr>
          </w:p>
        </w:tc>
      </w:tr>
      <w:tr>
        <w:trPr>
          <w:trHeight w:val="223"/>
        </w:trPr>
        <w:tc>
          <w:tcPr>
            <w:tcW w:w="2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8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20" w:type="dxa"/>
            <w:vAlign w:val="bottom"/>
          </w:tcPr>
          <w:p>
            <w:pPr>
              <w:ind w:left="260"/>
              <w:spacing w:after="0"/>
              <w:rPr>
                <w:sz w:val="20"/>
                <w:szCs w:val="20"/>
                <w:color w:val="auto"/>
              </w:rPr>
            </w:pPr>
            <w:r>
              <w:rPr>
                <w:rFonts w:ascii="Arial" w:cs="Arial" w:eastAsia="Arial" w:hAnsi="Arial"/>
                <w:sz w:val="18"/>
                <w:szCs w:val="18"/>
                <w:b w:val="1"/>
                <w:bCs w:val="1"/>
                <w:color w:val="auto"/>
              </w:rPr>
              <w:t>Automotive</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Heartland Automotive Holdings,</w:t>
            </w: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($31,271 par,</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6/2017)</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9.75%</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8/28/2012 $</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30,977</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30,176</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r>
      <w:tr>
        <w:trPr>
          <w:trHeight w:val="215"/>
        </w:trPr>
        <w:tc>
          <w:tcPr>
            <w:tcW w:w="2920" w:type="dxa"/>
            <w:vAlign w:val="bottom"/>
          </w:tcPr>
          <w:p>
            <w:pPr>
              <w:spacing w:after="0"/>
              <w:rPr>
                <w:sz w:val="18"/>
                <w:szCs w:val="18"/>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First-lien revolving loan</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($2,722 par, due 6/2017)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c>
          <w:tcPr>
            <w:tcW w:w="1040" w:type="dxa"/>
            <w:vAlign w:val="bottom"/>
          </w:tcPr>
          <w:p>
            <w:pPr>
              <w:jc w:val="right"/>
              <w:spacing w:after="0"/>
              <w:rPr>
                <w:sz w:val="20"/>
                <w:szCs w:val="20"/>
                <w:color w:val="auto"/>
              </w:rPr>
            </w:pPr>
            <w:r>
              <w:rPr>
                <w:rFonts w:ascii="Arial" w:cs="Arial" w:eastAsia="Arial" w:hAnsi="Arial"/>
                <w:sz w:val="18"/>
                <w:szCs w:val="18"/>
                <w:color w:val="auto"/>
              </w:rPr>
              <w:t>8/28/2012</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2,528</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32,704</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223"/>
        </w:trPr>
        <w:tc>
          <w:tcPr>
            <w:tcW w:w="2920" w:type="dxa"/>
            <w:vAlign w:val="bottom"/>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w:t>
            </w: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($63,660 par,</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shd w:val="clear" w:color="auto" w:fill="CFF0FC"/>
          </w:tcPr>
          <w:p>
            <w:pPr>
              <w:spacing w:after="0"/>
              <w:rPr>
                <w:sz w:val="20"/>
                <w:szCs w:val="20"/>
                <w:color w:val="auto"/>
              </w:rPr>
            </w:pP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3/2020)</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8.75%</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62,575</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62,705</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r>
      <w:tr>
        <w:trPr>
          <w:trHeight w:val="230"/>
        </w:trPr>
        <w:tc>
          <w:tcPr>
            <w:tcW w:w="2920" w:type="dxa"/>
            <w:vAlign w:val="bottom"/>
          </w:tcPr>
          <w:p>
            <w:pPr>
              <w:ind w:left="260"/>
              <w:spacing w:after="0"/>
              <w:rPr>
                <w:sz w:val="20"/>
                <w:szCs w:val="20"/>
                <w:color w:val="auto"/>
              </w:rPr>
            </w:pPr>
            <w:r>
              <w:rPr>
                <w:rFonts w:ascii="Arial" w:cs="Arial" w:eastAsia="Arial" w:hAnsi="Arial"/>
                <w:sz w:val="18"/>
                <w:szCs w:val="18"/>
                <w:b w:val="1"/>
                <w:bCs w:val="1"/>
                <w:color w:val="auto"/>
              </w:rPr>
              <w:t>Business services</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(3)(5)</w:t>
            </w: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($59,915 par,</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shd w:val="clear" w:color="auto" w:fill="CFF0FC"/>
          </w:tcPr>
          <w:p>
            <w:pPr>
              <w:spacing w:after="0"/>
              <w:rPr>
                <w:sz w:val="20"/>
                <w:szCs w:val="20"/>
                <w:color w:val="auto"/>
              </w:rPr>
            </w:pP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4/2018)</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7.50%</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58,781</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62,462</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First-lien loan ($45,000 par,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due 11/2020)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1040" w:type="dxa"/>
            <w:vAlign w:val="bottom"/>
          </w:tcPr>
          <w:p>
            <w:pPr>
              <w:jc w:val="right"/>
              <w:spacing w:after="0"/>
              <w:rPr>
                <w:sz w:val="20"/>
                <w:szCs w:val="20"/>
                <w:color w:val="auto"/>
              </w:rPr>
            </w:pPr>
            <w:r>
              <w:rPr>
                <w:rFonts w:ascii="Arial" w:cs="Arial" w:eastAsia="Arial" w:hAnsi="Arial"/>
                <w:sz w:val="18"/>
                <w:szCs w:val="18"/>
                <w:color w:val="auto"/>
              </w:rPr>
              <w:t>11/12/2015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43,916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43,763</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Clarabridge, Inc. </w:t>
            </w:r>
            <w:r>
              <w:rPr>
                <w:rFonts w:ascii="Arial" w:cs="Arial" w:eastAsia="Arial" w:hAnsi="Arial"/>
                <w:sz w:val="15"/>
                <w:szCs w:val="15"/>
                <w:color w:val="auto"/>
              </w:rPr>
              <w:t>(3)</w:t>
            </w: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($22,388 par,</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shd w:val="clear" w:color="auto" w:fill="CFF0FC"/>
          </w:tcPr>
          <w:p>
            <w:pPr>
              <w:spacing w:after="0"/>
              <w:rPr>
                <w:sz w:val="20"/>
                <w:szCs w:val="20"/>
                <w:color w:val="auto"/>
              </w:rPr>
            </w:pP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4/2019)</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8.50%</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5/20/2015</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21,963</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21,641</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 xml:space="preserve">Idera, Inc. </w:t>
            </w:r>
            <w:r>
              <w:rPr>
                <w:rFonts w:ascii="Arial" w:cs="Arial" w:eastAsia="Arial" w:hAnsi="Arial"/>
                <w:sz w:val="15"/>
                <w:szCs w:val="15"/>
                <w:color w:val="auto"/>
              </w:rPr>
              <w:t>(3)</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First-lien loan ($62,500 par,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due 4/2021)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1040" w:type="dxa"/>
            <w:vAlign w:val="bottom"/>
          </w:tcPr>
          <w:p>
            <w:pPr>
              <w:jc w:val="right"/>
              <w:spacing w:after="0"/>
              <w:rPr>
                <w:sz w:val="20"/>
                <w:szCs w:val="20"/>
                <w:color w:val="auto"/>
              </w:rPr>
            </w:pPr>
            <w:r>
              <w:rPr>
                <w:rFonts w:ascii="Arial" w:cs="Arial" w:eastAsia="Arial" w:hAnsi="Arial"/>
                <w:sz w:val="18"/>
                <w:szCs w:val="18"/>
                <w:color w:val="auto"/>
              </w:rPr>
              <w:t>10/9/2015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55,937</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($28,565 par,</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shd w:val="clear" w:color="auto" w:fill="CFF0FC"/>
          </w:tcPr>
          <w:p>
            <w:pPr>
              <w:spacing w:after="0"/>
              <w:rPr>
                <w:sz w:val="20"/>
                <w:szCs w:val="20"/>
                <w:color w:val="auto"/>
              </w:rPr>
            </w:pP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6/2019)</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7.50%</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6/30/2014</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28,085</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27,877</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First-lien loan ($25,782 par,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due 9/2018)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1040" w:type="dxa"/>
            <w:vAlign w:val="bottom"/>
          </w:tcPr>
          <w:p>
            <w:pPr>
              <w:jc w:val="right"/>
              <w:spacing w:after="0"/>
              <w:rPr>
                <w:sz w:val="20"/>
                <w:szCs w:val="20"/>
                <w:color w:val="auto"/>
              </w:rPr>
            </w:pPr>
            <w:r>
              <w:rPr>
                <w:rFonts w:ascii="Arial" w:cs="Arial" w:eastAsia="Arial" w:hAnsi="Arial"/>
                <w:sz w:val="18"/>
                <w:szCs w:val="18"/>
                <w:color w:val="auto"/>
              </w:rPr>
              <w:t>9/12/2013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25,481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25,981</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($18,857 par,</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shd w:val="clear" w:color="auto" w:fill="CFF0FC"/>
          </w:tcPr>
          <w:p>
            <w:pPr>
              <w:spacing w:after="0"/>
              <w:rPr>
                <w:sz w:val="20"/>
                <w:szCs w:val="20"/>
                <w:color w:val="auto"/>
              </w:rPr>
            </w:pP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12/2019)</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7.50%</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12/30/2014</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18,505</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18,463</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253,177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256,124</w:t>
            </w: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r>
      <w:tr>
        <w:trPr>
          <w:trHeight w:val="223"/>
        </w:trPr>
        <w:tc>
          <w:tcPr>
            <w:tcW w:w="2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Chemicals</w:t>
            </w:r>
          </w:p>
        </w:tc>
        <w:tc>
          <w:tcPr>
            <w:tcW w:w="8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First-lien loan ($10,839 par,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due 10/2019)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1040" w:type="dxa"/>
            <w:vAlign w:val="bottom"/>
          </w:tcPr>
          <w:p>
            <w:pPr>
              <w:jc w:val="right"/>
              <w:spacing w:after="0"/>
              <w:rPr>
                <w:sz w:val="20"/>
                <w:szCs w:val="20"/>
                <w:color w:val="auto"/>
              </w:rPr>
            </w:pPr>
            <w:r>
              <w:rPr>
                <w:rFonts w:ascii="Arial" w:cs="Arial" w:eastAsia="Arial" w:hAnsi="Arial"/>
                <w:sz w:val="18"/>
                <w:szCs w:val="18"/>
                <w:color w:val="auto"/>
              </w:rPr>
              <w:t>10/31/2014</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10,148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7,804</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30"/>
        </w:trPr>
        <w:tc>
          <w:tcPr>
            <w:tcW w:w="29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Education</w:t>
            </w:r>
          </w:p>
        </w:tc>
        <w:tc>
          <w:tcPr>
            <w:tcW w:w="8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 xml:space="preserve">Campus Management, Inc. </w:t>
            </w:r>
            <w:r>
              <w:rPr>
                <w:rFonts w:ascii="Arial" w:cs="Arial" w:eastAsia="Arial" w:hAnsi="Arial"/>
                <w:sz w:val="15"/>
                <w:szCs w:val="15"/>
                <w:color w:val="auto"/>
              </w:rPr>
              <w:t>(3)(5)</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First-lien loan ($26,277 par,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due 9/2018)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1040" w:type="dxa"/>
            <w:vAlign w:val="bottom"/>
          </w:tcPr>
          <w:p>
            <w:pPr>
              <w:jc w:val="right"/>
              <w:spacing w:after="0"/>
              <w:rPr>
                <w:sz w:val="20"/>
                <w:szCs w:val="20"/>
                <w:color w:val="auto"/>
              </w:rPr>
            </w:pPr>
            <w:r>
              <w:rPr>
                <w:rFonts w:ascii="Arial" w:cs="Arial" w:eastAsia="Arial" w:hAnsi="Arial"/>
                <w:sz w:val="18"/>
                <w:szCs w:val="18"/>
                <w:color w:val="auto"/>
              </w:rPr>
              <w:t>9/30/2013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25,879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26,277</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30"/>
        </w:trPr>
        <w:tc>
          <w:tcPr>
            <w:tcW w:w="29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Electronics</w:t>
            </w:r>
          </w:p>
        </w:tc>
        <w:tc>
          <w:tcPr>
            <w:tcW w:w="8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First-lien loan ($62,371 par,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due 1/2019)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1040" w:type="dxa"/>
            <w:vAlign w:val="bottom"/>
          </w:tcPr>
          <w:p>
            <w:pPr>
              <w:jc w:val="right"/>
              <w:spacing w:after="0"/>
              <w:rPr>
                <w:sz w:val="20"/>
                <w:szCs w:val="20"/>
                <w:color w:val="auto"/>
              </w:rPr>
            </w:pPr>
            <w:r>
              <w:rPr>
                <w:rFonts w:ascii="Arial" w:cs="Arial" w:eastAsia="Arial" w:hAnsi="Arial"/>
                <w:sz w:val="18"/>
                <w:szCs w:val="18"/>
                <w:color w:val="auto"/>
              </w:rPr>
              <w:t>1/9/2014</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61,766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61,887</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APX Group Inc.</w:t>
            </w: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Senior notes 8.75% ($24,818</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shd w:val="clear" w:color="auto" w:fill="CFF0FC"/>
          </w:tcPr>
          <w:p>
            <w:pPr>
              <w:spacing w:after="0"/>
              <w:rPr>
                <w:sz w:val="20"/>
                <w:szCs w:val="20"/>
                <w:color w:val="auto"/>
              </w:rPr>
            </w:pP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par, due 12/2020)</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8.75%</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12/11/2014</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21,689</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20,165</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82,052</w:t>
            </w: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23"/>
        </w:trPr>
        <w:tc>
          <w:tcPr>
            <w:tcW w:w="2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8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First-lien loan ($23,400 par,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due 8/2020)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1040" w:type="dxa"/>
            <w:vAlign w:val="bottom"/>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22,862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22,765</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5"/>
              </w:rPr>
              <w:t>Second-lien loan ($31,897 par,</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shd w:val="clear" w:color="auto" w:fill="CFF0FC"/>
          </w:tcPr>
          <w:p>
            <w:pPr>
              <w:spacing w:after="0"/>
              <w:rPr>
                <w:sz w:val="20"/>
                <w:szCs w:val="20"/>
                <w:color w:val="auto"/>
              </w:rPr>
            </w:pP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8/2020)</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10.50% PIK</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31,380</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30,910</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First-lien loan ($33,639 par,</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10.00% (incl.</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due 3/2020)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2.50% PIK)</w:t>
            </w:r>
          </w:p>
        </w:tc>
        <w:tc>
          <w:tcPr>
            <w:tcW w:w="1040" w:type="dxa"/>
            <w:vAlign w:val="bottom"/>
          </w:tcPr>
          <w:p>
            <w:pPr>
              <w:jc w:val="right"/>
              <w:spacing w:after="0"/>
              <w:rPr>
                <w:sz w:val="20"/>
                <w:szCs w:val="20"/>
                <w:color w:val="auto"/>
              </w:rPr>
            </w:pPr>
            <w:r>
              <w:rPr>
                <w:rFonts w:ascii="Arial" w:cs="Arial" w:eastAsia="Arial" w:hAnsi="Arial"/>
                <w:sz w:val="18"/>
                <w:szCs w:val="18"/>
                <w:color w:val="auto"/>
              </w:rPr>
              <w:t>3/6/2015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32,980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32,769</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87,222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86,444</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r>
      <w:tr>
        <w:trPr>
          <w:trHeight w:val="223"/>
        </w:trPr>
        <w:tc>
          <w:tcPr>
            <w:tcW w:w="2920" w:type="dxa"/>
            <w:vAlign w:val="bottom"/>
          </w:tcPr>
          <w:p>
            <w:pPr>
              <w:ind w:left="260"/>
              <w:spacing w:after="0"/>
              <w:rPr>
                <w:sz w:val="20"/>
                <w:szCs w:val="20"/>
                <w:color w:val="auto"/>
              </w:rPr>
            </w:pPr>
            <w:r>
              <w:rPr>
                <w:rFonts w:ascii="Arial" w:cs="Arial" w:eastAsia="Arial" w:hAnsi="Arial"/>
                <w:sz w:val="18"/>
                <w:szCs w:val="18"/>
                <w:b w:val="1"/>
                <w:bCs w:val="1"/>
                <w:color w:val="auto"/>
              </w:rPr>
              <w:t>Healthcare</w:t>
            </w: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Aesynt Incorporated </w:t>
            </w:r>
            <w:r>
              <w:rPr>
                <w:rFonts w:ascii="Arial" w:cs="Arial" w:eastAsia="Arial" w:hAnsi="Arial"/>
                <w:sz w:val="15"/>
                <w:szCs w:val="15"/>
                <w:color w:val="auto"/>
              </w:rPr>
              <w:t>(3)(5)</w:t>
            </w: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First-lien loan ($33,250 par,</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shd w:val="clear" w:color="auto" w:fill="CFF0FC"/>
          </w:tcPr>
          <w:p>
            <w:pPr>
              <w:spacing w:after="0"/>
              <w:rPr>
                <w:sz w:val="20"/>
                <w:szCs w:val="20"/>
                <w:color w:val="auto"/>
              </w:rPr>
            </w:pPr>
          </w:p>
        </w:tc>
        <w:tc>
          <w:tcPr>
            <w:tcW w:w="24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5/2019)</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7.00%</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5/8/2014</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32,598</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33,918</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First-lien loan (EUR 35,912</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40,572</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par, due 9/2019)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1040" w:type="dxa"/>
            <w:vAlign w:val="bottom"/>
          </w:tcPr>
          <w:p>
            <w:pPr>
              <w:jc w:val="right"/>
              <w:spacing w:after="0"/>
              <w:rPr>
                <w:sz w:val="20"/>
                <w:szCs w:val="20"/>
                <w:color w:val="auto"/>
              </w:rPr>
            </w:pPr>
            <w:r>
              <w:rPr>
                <w:rFonts w:ascii="Arial" w:cs="Arial" w:eastAsia="Arial" w:hAnsi="Arial"/>
                <w:sz w:val="18"/>
                <w:szCs w:val="18"/>
                <w:color w:val="auto"/>
              </w:rPr>
              <w:t>9/30/2014</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42,402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color w:val="auto"/>
              </w:rPr>
              <w:t>(EUR 37,349)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r>
      <w:tr>
        <w:trPr>
          <w:trHeight w:val="432"/>
        </w:trPr>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F-10</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5"/>
        </w:trPr>
        <w:tc>
          <w:tcPr>
            <w:tcW w:w="2720" w:type="dxa"/>
            <w:vAlign w:val="bottom"/>
            <w:shd w:val="clear" w:color="auto" w:fill="CFF0FC"/>
          </w:tcPr>
          <w:p>
            <w:pPr>
              <w:spacing w:after="0"/>
              <w:rPr>
                <w:sz w:val="18"/>
                <w:szCs w:val="18"/>
                <w:color w:val="auto"/>
              </w:rPr>
            </w:pP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First-lien revolving loan</w:t>
            </w:r>
          </w:p>
        </w:tc>
        <w:tc>
          <w:tcPr>
            <w:tcW w:w="1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shd w:val="clear" w:color="auto" w:fill="CFF0FC"/>
          </w:tcPr>
          <w:p>
            <w:pPr>
              <w:spacing w:after="0"/>
              <w:rPr>
                <w:sz w:val="20"/>
                <w:szCs w:val="20"/>
                <w:color w:val="auto"/>
              </w:rPr>
            </w:pP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(EUR 300 par, due 9/2019)</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(EUR 400)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720" w:type="dxa"/>
            <w:vAlign w:val="bottom"/>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640" w:type="dxa"/>
            <w:vAlign w:val="bottom"/>
          </w:tcPr>
          <w:p>
            <w:pPr>
              <w:ind w:left="280"/>
              <w:spacing w:after="0"/>
              <w:rPr>
                <w:sz w:val="20"/>
                <w:szCs w:val="20"/>
                <w:color w:val="auto"/>
              </w:rPr>
            </w:pPr>
            <w:r>
              <w:rPr>
                <w:rFonts w:ascii="Arial" w:cs="Arial" w:eastAsia="Arial" w:hAnsi="Arial"/>
                <w:sz w:val="18"/>
                <w:szCs w:val="18"/>
                <w:color w:val="auto"/>
              </w:rPr>
              <w:t>First-lien loan ($45,000 par,</w:t>
            </w: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due 12/2021)</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6.25%</w:t>
            </w:r>
          </w:p>
        </w:tc>
        <w:tc>
          <w:tcPr>
            <w:tcW w:w="1020" w:type="dxa"/>
            <w:vAlign w:val="bottom"/>
          </w:tcPr>
          <w:p>
            <w:pPr>
              <w:jc w:val="right"/>
              <w:spacing w:after="0"/>
              <w:rPr>
                <w:sz w:val="20"/>
                <w:szCs w:val="20"/>
                <w:color w:val="auto"/>
              </w:rPr>
            </w:pPr>
            <w:r>
              <w:rPr>
                <w:rFonts w:ascii="Arial" w:cs="Arial" w:eastAsia="Arial" w:hAnsi="Arial"/>
                <w:sz w:val="18"/>
                <w:szCs w:val="18"/>
                <w:color w:val="auto"/>
              </w:rPr>
              <w:t>12/17/2015</w:t>
            </w:r>
          </w:p>
        </w:tc>
        <w:tc>
          <w:tcPr>
            <w:tcW w:w="960" w:type="dxa"/>
            <w:vAlign w:val="bottom"/>
          </w:tcPr>
          <w:p>
            <w:pPr>
              <w:jc w:val="right"/>
              <w:spacing w:after="0"/>
              <w:rPr>
                <w:sz w:val="20"/>
                <w:szCs w:val="20"/>
                <w:color w:val="auto"/>
              </w:rPr>
            </w:pPr>
            <w:r>
              <w:rPr>
                <w:rFonts w:ascii="Arial" w:cs="Arial" w:eastAsia="Arial" w:hAnsi="Arial"/>
                <w:sz w:val="18"/>
                <w:szCs w:val="18"/>
                <w:color w:val="auto"/>
              </w:rPr>
              <w:t>44,184</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44,100</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First-lien loan ($45,411 par,</w:t>
            </w:r>
          </w:p>
        </w:tc>
        <w:tc>
          <w:tcPr>
            <w:tcW w:w="1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9.00% (incl.</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shd w:val="clear" w:color="auto" w:fill="CFF0FC"/>
          </w:tcPr>
          <w:p>
            <w:pPr>
              <w:spacing w:after="0"/>
              <w:rPr>
                <w:sz w:val="20"/>
                <w:szCs w:val="20"/>
                <w:color w:val="auto"/>
              </w:rPr>
            </w:pP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due 9/2020)</w:t>
            </w:r>
          </w:p>
        </w:tc>
        <w:tc>
          <w:tcPr>
            <w:tcW w:w="1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2.50% PIK)</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44,022</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43,708</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r>
      <w:tr>
        <w:trPr>
          <w:trHeight w:val="215"/>
        </w:trPr>
        <w:tc>
          <w:tcPr>
            <w:tcW w:w="2720" w:type="dxa"/>
            <w:vAlign w:val="bottom"/>
          </w:tcPr>
          <w:p>
            <w:pPr>
              <w:spacing w:after="0"/>
              <w:rPr>
                <w:sz w:val="20"/>
                <w:szCs w:val="20"/>
                <w:color w:val="auto"/>
              </w:rPr>
            </w:pPr>
            <w:r>
              <w:rPr>
                <w:rFonts w:ascii="Arial" w:cs="Arial" w:eastAsia="Arial" w:hAnsi="Arial"/>
                <w:sz w:val="18"/>
                <w:szCs w:val="18"/>
                <w:color w:val="auto"/>
              </w:rPr>
              <w:t>Mediware Information Systems,</w:t>
            </w:r>
          </w:p>
        </w:tc>
        <w:tc>
          <w:tcPr>
            <w:tcW w:w="2640" w:type="dxa"/>
            <w:vAlign w:val="bottom"/>
          </w:tcPr>
          <w:p>
            <w:pPr>
              <w:ind w:left="280"/>
              <w:spacing w:after="0"/>
              <w:rPr>
                <w:sz w:val="20"/>
                <w:szCs w:val="20"/>
                <w:color w:val="auto"/>
              </w:rPr>
            </w:pPr>
            <w:r>
              <w:rPr>
                <w:rFonts w:ascii="Arial" w:cs="Arial" w:eastAsia="Arial" w:hAnsi="Arial"/>
                <w:sz w:val="18"/>
                <w:szCs w:val="18"/>
                <w:color w:val="auto"/>
              </w:rPr>
              <w:t>First-lien loan ($67,574 par,</w:t>
            </w: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(3)(5)</w:t>
            </w:r>
          </w:p>
        </w:tc>
        <w:tc>
          <w:tcPr>
            <w:tcW w:w="2640" w:type="dxa"/>
            <w:vAlign w:val="bottom"/>
          </w:tcPr>
          <w:p>
            <w:pPr>
              <w:ind w:left="280"/>
              <w:spacing w:after="0"/>
              <w:rPr>
                <w:sz w:val="20"/>
                <w:szCs w:val="20"/>
                <w:color w:val="auto"/>
              </w:rPr>
            </w:pPr>
            <w:r>
              <w:rPr>
                <w:rFonts w:ascii="Arial" w:cs="Arial" w:eastAsia="Arial" w:hAnsi="Arial"/>
                <w:sz w:val="18"/>
                <w:szCs w:val="18"/>
                <w:color w:val="auto"/>
              </w:rPr>
              <w:t>due 5/2018)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020" w:type="dxa"/>
            <w:vAlign w:val="bottom"/>
          </w:tcPr>
          <w:p>
            <w:pPr>
              <w:jc w:val="right"/>
              <w:spacing w:after="0"/>
              <w:rPr>
                <w:sz w:val="20"/>
                <w:szCs w:val="20"/>
                <w:color w:val="auto"/>
              </w:rPr>
            </w:pPr>
            <w:r>
              <w:rPr>
                <w:rFonts w:ascii="Arial" w:cs="Arial" w:eastAsia="Arial" w:hAnsi="Arial"/>
                <w:sz w:val="18"/>
                <w:szCs w:val="18"/>
                <w:color w:val="auto"/>
              </w:rPr>
              <w:t>11/9/2012</w:t>
            </w:r>
          </w:p>
        </w:tc>
        <w:tc>
          <w:tcPr>
            <w:tcW w:w="960" w:type="dxa"/>
            <w:vAlign w:val="bottom"/>
          </w:tcPr>
          <w:p>
            <w:pPr>
              <w:jc w:val="right"/>
              <w:spacing w:after="0"/>
              <w:rPr>
                <w:sz w:val="20"/>
                <w:szCs w:val="20"/>
                <w:color w:val="auto"/>
              </w:rPr>
            </w:pPr>
            <w:r>
              <w:rPr>
                <w:rFonts w:ascii="Arial" w:cs="Arial" w:eastAsia="Arial" w:hAnsi="Arial"/>
                <w:sz w:val="18"/>
                <w:szCs w:val="18"/>
                <w:color w:val="auto"/>
              </w:rPr>
              <w:t>66,725</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68,250</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w:t>
            </w: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First-lien loan ($31,875 par,</w:t>
            </w:r>
          </w:p>
        </w:tc>
        <w:tc>
          <w:tcPr>
            <w:tcW w:w="1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shd w:val="clear" w:color="auto" w:fill="CFF0FC"/>
          </w:tcPr>
          <w:p>
            <w:pPr>
              <w:spacing w:after="0"/>
              <w:rPr>
                <w:sz w:val="20"/>
                <w:szCs w:val="20"/>
                <w:color w:val="auto"/>
              </w:rPr>
            </w:pP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due 12/2017)</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12/28/2012</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31,508</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31,477</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215"/>
        </w:trPr>
        <w:tc>
          <w:tcPr>
            <w:tcW w:w="2720" w:type="dxa"/>
            <w:vAlign w:val="bottom"/>
          </w:tcPr>
          <w:p>
            <w:pPr>
              <w:spacing w:after="0"/>
              <w:rPr>
                <w:sz w:val="18"/>
                <w:szCs w:val="18"/>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First-lien revolving loan</w:t>
            </w: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($2,000 par, due 12/2017)</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20" w:type="dxa"/>
            <w:vAlign w:val="bottom"/>
          </w:tcPr>
          <w:p>
            <w:pPr>
              <w:jc w:val="right"/>
              <w:spacing w:after="0"/>
              <w:rPr>
                <w:sz w:val="20"/>
                <w:szCs w:val="20"/>
                <w:color w:val="auto"/>
              </w:rPr>
            </w:pPr>
            <w:r>
              <w:rPr>
                <w:rFonts w:ascii="Arial" w:cs="Arial" w:eastAsia="Arial" w:hAnsi="Arial"/>
                <w:sz w:val="18"/>
                <w:szCs w:val="18"/>
                <w:color w:val="auto"/>
              </w:rPr>
              <w:t>12/28/2012</w:t>
            </w:r>
          </w:p>
        </w:tc>
        <w:tc>
          <w:tcPr>
            <w:tcW w:w="960" w:type="dxa"/>
            <w:vAlign w:val="bottom"/>
          </w:tcPr>
          <w:p>
            <w:pPr>
              <w:jc w:val="right"/>
              <w:spacing w:after="0"/>
              <w:rPr>
                <w:sz w:val="20"/>
                <w:szCs w:val="20"/>
                <w:color w:val="auto"/>
              </w:rPr>
            </w:pPr>
            <w:r>
              <w:rPr>
                <w:rFonts w:ascii="Arial" w:cs="Arial" w:eastAsia="Arial" w:hAnsi="Arial"/>
                <w:sz w:val="18"/>
                <w:szCs w:val="18"/>
                <w:color w:val="auto"/>
              </w:rPr>
              <w:t>1,955</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1,938</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0"/>
        </w:trPr>
        <w:tc>
          <w:tcPr>
            <w:tcW w:w="272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2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263,655</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264,398</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r>
      <w:tr>
        <w:trPr>
          <w:trHeight w:val="223"/>
        </w:trPr>
        <w:tc>
          <w:tcPr>
            <w:tcW w:w="272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w:t>
            </w: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First-lien loan ($25,452 par,</w:t>
            </w:r>
          </w:p>
        </w:tc>
        <w:tc>
          <w:tcPr>
            <w:tcW w:w="1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9.00% (incl.</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Systems, Inc. </w:t>
            </w:r>
            <w:r>
              <w:rPr>
                <w:rFonts w:ascii="Arial" w:cs="Arial" w:eastAsia="Arial" w:hAnsi="Arial"/>
                <w:sz w:val="15"/>
                <w:szCs w:val="15"/>
                <w:color w:val="auto"/>
              </w:rPr>
              <w:t>(3)</w:t>
            </w: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due 4/2020)</w:t>
            </w:r>
          </w:p>
        </w:tc>
        <w:tc>
          <w:tcPr>
            <w:tcW w:w="1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2.50% PIK)</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4/16/2015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24,873</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24,200</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72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640" w:type="dxa"/>
            <w:vAlign w:val="bottom"/>
          </w:tcPr>
          <w:p>
            <w:pPr>
              <w:ind w:left="280"/>
              <w:spacing w:after="0"/>
              <w:rPr>
                <w:sz w:val="20"/>
                <w:szCs w:val="20"/>
                <w:color w:val="auto"/>
              </w:rPr>
            </w:pPr>
            <w:r>
              <w:rPr>
                <w:rFonts w:ascii="Arial" w:cs="Arial" w:eastAsia="Arial" w:hAnsi="Arial"/>
                <w:sz w:val="18"/>
                <w:szCs w:val="18"/>
                <w:color w:val="auto"/>
              </w:rPr>
              <w:t>First-lien loan ($20,260 par,</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10.10% (incl.</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due 9/2019)</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5.00% PIK)</w:t>
            </w:r>
          </w:p>
        </w:tc>
        <w:tc>
          <w:tcPr>
            <w:tcW w:w="1020" w:type="dxa"/>
            <w:vAlign w:val="bottom"/>
          </w:tcPr>
          <w:p>
            <w:pPr>
              <w:jc w:val="right"/>
              <w:spacing w:after="0"/>
              <w:rPr>
                <w:sz w:val="20"/>
                <w:szCs w:val="20"/>
                <w:color w:val="auto"/>
              </w:rPr>
            </w:pPr>
            <w:r>
              <w:rPr>
                <w:rFonts w:ascii="Arial" w:cs="Arial" w:eastAsia="Arial" w:hAnsi="Arial"/>
                <w:sz w:val="18"/>
                <w:szCs w:val="18"/>
                <w:color w:val="auto"/>
              </w:rPr>
              <w:t>9/29/2015</w:t>
            </w:r>
          </w:p>
        </w:tc>
        <w:tc>
          <w:tcPr>
            <w:tcW w:w="960" w:type="dxa"/>
            <w:vAlign w:val="bottom"/>
          </w:tcPr>
          <w:p>
            <w:pPr>
              <w:jc w:val="right"/>
              <w:spacing w:after="0"/>
              <w:rPr>
                <w:sz w:val="20"/>
                <w:szCs w:val="20"/>
                <w:color w:val="auto"/>
              </w:rPr>
            </w:pPr>
            <w:r>
              <w:rPr>
                <w:rFonts w:ascii="Arial" w:cs="Arial" w:eastAsia="Arial" w:hAnsi="Arial"/>
                <w:sz w:val="18"/>
                <w:szCs w:val="18"/>
                <w:color w:val="auto"/>
              </w:rPr>
              <w:t>20,260</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19,500</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15"/>
        </w:trPr>
        <w:tc>
          <w:tcPr>
            <w:tcW w:w="2720" w:type="dxa"/>
            <w:vAlign w:val="bottom"/>
            <w:shd w:val="clear" w:color="auto" w:fill="CFF0FC"/>
          </w:tcPr>
          <w:p>
            <w:pPr>
              <w:spacing w:after="0"/>
              <w:rPr>
                <w:sz w:val="18"/>
                <w:szCs w:val="18"/>
                <w:color w:val="auto"/>
              </w:rPr>
            </w:pP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6"/>
              </w:rPr>
              <w:t>First-lien revolver loan ($7,448</w:t>
            </w:r>
          </w:p>
        </w:tc>
        <w:tc>
          <w:tcPr>
            <w:tcW w:w="1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10.10% (incl.</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shd w:val="clear" w:color="auto" w:fill="CFF0FC"/>
          </w:tcPr>
          <w:p>
            <w:pPr>
              <w:spacing w:after="0"/>
              <w:rPr>
                <w:sz w:val="20"/>
                <w:szCs w:val="20"/>
                <w:color w:val="auto"/>
              </w:rPr>
            </w:pP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par, due 9/2019)</w:t>
            </w:r>
          </w:p>
        </w:tc>
        <w:tc>
          <w:tcPr>
            <w:tcW w:w="1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5.00% PIK)</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7,169</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r>
      <w:tr>
        <w:trPr>
          <w:trHeight w:val="215"/>
        </w:trPr>
        <w:tc>
          <w:tcPr>
            <w:tcW w:w="2720" w:type="dxa"/>
            <w:vAlign w:val="bottom"/>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(4)</w:t>
            </w:r>
          </w:p>
        </w:tc>
        <w:tc>
          <w:tcPr>
            <w:tcW w:w="2640" w:type="dxa"/>
            <w:vAlign w:val="bottom"/>
          </w:tcPr>
          <w:p>
            <w:pPr>
              <w:ind w:left="280"/>
              <w:spacing w:after="0"/>
              <w:rPr>
                <w:sz w:val="20"/>
                <w:szCs w:val="20"/>
                <w:color w:val="auto"/>
              </w:rPr>
            </w:pPr>
            <w:r>
              <w:rPr>
                <w:rFonts w:ascii="Arial" w:cs="Arial" w:eastAsia="Arial" w:hAnsi="Arial"/>
                <w:sz w:val="18"/>
                <w:szCs w:val="18"/>
                <w:color w:val="auto"/>
                <w:w w:val="93"/>
              </w:rPr>
              <w:t>Second-lien bond (GBP 20,375</w:t>
            </w: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30,781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par, due 10/2018)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1020" w:type="dxa"/>
            <w:vAlign w:val="bottom"/>
          </w:tcPr>
          <w:p>
            <w:pPr>
              <w:jc w:val="right"/>
              <w:spacing w:after="0"/>
              <w:rPr>
                <w:sz w:val="20"/>
                <w:szCs w:val="20"/>
                <w:color w:val="auto"/>
              </w:rPr>
            </w:pPr>
            <w:r>
              <w:rPr>
                <w:rFonts w:ascii="Arial" w:cs="Arial" w:eastAsia="Arial" w:hAnsi="Arial"/>
                <w:sz w:val="18"/>
                <w:szCs w:val="18"/>
                <w:color w:val="auto"/>
              </w:rPr>
              <w:t>9/20/2013</w:t>
            </w:r>
          </w:p>
        </w:tc>
        <w:tc>
          <w:tcPr>
            <w:tcW w:w="960" w:type="dxa"/>
            <w:vAlign w:val="bottom"/>
          </w:tcPr>
          <w:p>
            <w:pPr>
              <w:jc w:val="right"/>
              <w:spacing w:after="0"/>
              <w:rPr>
                <w:sz w:val="20"/>
                <w:szCs w:val="20"/>
                <w:color w:val="auto"/>
              </w:rPr>
            </w:pPr>
            <w:r>
              <w:rPr>
                <w:rFonts w:ascii="Arial" w:cs="Arial" w:eastAsia="Arial" w:hAnsi="Arial"/>
                <w:sz w:val="18"/>
                <w:szCs w:val="18"/>
                <w:color w:val="auto"/>
              </w:rPr>
              <w:t>33,055</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(GBP 20,884)</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20"/>
        </w:trPr>
        <w:tc>
          <w:tcPr>
            <w:tcW w:w="272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2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85,636</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81,650</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05"/>
        </w:trPr>
        <w:tc>
          <w:tcPr>
            <w:tcW w:w="272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720" w:type="dxa"/>
            <w:vAlign w:val="bottom"/>
          </w:tcPr>
          <w:p>
            <w:pPr>
              <w:ind w:left="380"/>
              <w:spacing w:after="0"/>
              <w:rPr>
                <w:sz w:val="20"/>
                <w:szCs w:val="20"/>
                <w:color w:val="auto"/>
              </w:rPr>
            </w:pPr>
            <w:r>
              <w:rPr>
                <w:rFonts w:ascii="Arial" w:cs="Arial" w:eastAsia="Arial" w:hAnsi="Arial"/>
                <w:sz w:val="18"/>
                <w:szCs w:val="18"/>
                <w:b w:val="1"/>
                <w:bCs w:val="1"/>
                <w:color w:val="auto"/>
              </w:rPr>
              <w:t>services</w:t>
            </w:r>
          </w:p>
        </w:tc>
        <w:tc>
          <w:tcPr>
            <w:tcW w:w="2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(3)(5)</w:t>
            </w: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First-lien loan ($54,725 par,</w:t>
            </w:r>
          </w:p>
        </w:tc>
        <w:tc>
          <w:tcPr>
            <w:tcW w:w="1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shd w:val="clear" w:color="auto" w:fill="CFF0FC"/>
          </w:tcPr>
          <w:p>
            <w:pPr>
              <w:spacing w:after="0"/>
              <w:rPr>
                <w:sz w:val="20"/>
                <w:szCs w:val="20"/>
                <w:color w:val="auto"/>
              </w:rPr>
            </w:pP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due 3/2021)</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3/30/2015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54,141</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53,767</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0"/>
                <w:szCs w:val="20"/>
                <w:color w:val="auto"/>
              </w:rPr>
            </w:pPr>
          </w:p>
        </w:tc>
      </w:tr>
      <w:tr>
        <w:trPr>
          <w:trHeight w:val="215"/>
        </w:trPr>
        <w:tc>
          <w:tcPr>
            <w:tcW w:w="2720" w:type="dxa"/>
            <w:vAlign w:val="bottom"/>
          </w:tcPr>
          <w:p>
            <w:pPr>
              <w:spacing w:after="0"/>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w:t>
            </w:r>
          </w:p>
        </w:tc>
        <w:tc>
          <w:tcPr>
            <w:tcW w:w="2640" w:type="dxa"/>
            <w:vAlign w:val="bottom"/>
          </w:tcPr>
          <w:p>
            <w:pPr>
              <w:ind w:left="280"/>
              <w:spacing w:after="0"/>
              <w:rPr>
                <w:sz w:val="20"/>
                <w:szCs w:val="20"/>
                <w:color w:val="auto"/>
              </w:rPr>
            </w:pPr>
            <w:r>
              <w:rPr>
                <w:rFonts w:ascii="Arial" w:cs="Arial" w:eastAsia="Arial" w:hAnsi="Arial"/>
                <w:sz w:val="18"/>
                <w:szCs w:val="18"/>
                <w:color w:val="auto"/>
              </w:rPr>
              <w:t>First-lien loan ($500 par,</w:t>
            </w: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due 4/2021)</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1020" w:type="dxa"/>
            <w:vAlign w:val="bottom"/>
          </w:tcPr>
          <w:p>
            <w:pPr>
              <w:jc w:val="right"/>
              <w:spacing w:after="0"/>
              <w:rPr>
                <w:sz w:val="20"/>
                <w:szCs w:val="20"/>
                <w:color w:val="auto"/>
              </w:rPr>
            </w:pPr>
            <w:r>
              <w:rPr>
                <w:rFonts w:ascii="Arial" w:cs="Arial" w:eastAsia="Arial" w:hAnsi="Arial"/>
                <w:sz w:val="18"/>
                <w:szCs w:val="18"/>
                <w:color w:val="auto"/>
              </w:rPr>
              <w:t>11/5/2015</w:t>
            </w:r>
          </w:p>
        </w:tc>
        <w:tc>
          <w:tcPr>
            <w:tcW w:w="960" w:type="dxa"/>
            <w:vAlign w:val="bottom"/>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72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2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54,579</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54,152</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r>
      <w:tr>
        <w:trPr>
          <w:trHeight w:val="223"/>
        </w:trPr>
        <w:tc>
          <w:tcPr>
            <w:tcW w:w="2720" w:type="dxa"/>
            <w:vAlign w:val="bottom"/>
          </w:tcPr>
          <w:p>
            <w:pPr>
              <w:ind w:left="260"/>
              <w:spacing w:after="0"/>
              <w:rPr>
                <w:sz w:val="20"/>
                <w:szCs w:val="20"/>
                <w:color w:val="auto"/>
              </w:rPr>
            </w:pPr>
            <w:r>
              <w:rPr>
                <w:rFonts w:ascii="Arial" w:cs="Arial" w:eastAsia="Arial" w:hAnsi="Arial"/>
                <w:sz w:val="18"/>
                <w:szCs w:val="18"/>
                <w:b w:val="1"/>
                <w:bCs w:val="1"/>
                <w:color w:val="auto"/>
              </w:rPr>
              <w:t>Insurance</w:t>
            </w:r>
          </w:p>
        </w:tc>
        <w:tc>
          <w:tcPr>
            <w:tcW w:w="2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First-lien loan ($65,452 par,</w:t>
            </w:r>
          </w:p>
        </w:tc>
        <w:tc>
          <w:tcPr>
            <w:tcW w:w="1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shd w:val="clear" w:color="auto" w:fill="CFF0FC"/>
          </w:tcPr>
          <w:p>
            <w:pPr>
              <w:spacing w:after="0"/>
              <w:rPr>
                <w:sz w:val="20"/>
                <w:szCs w:val="20"/>
                <w:color w:val="auto"/>
              </w:rPr>
            </w:pP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due 10/2020)</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10/31/2014</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64,782</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63,980</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r>
      <w:tr>
        <w:trPr>
          <w:trHeight w:val="230"/>
        </w:trPr>
        <w:tc>
          <w:tcPr>
            <w:tcW w:w="2720" w:type="dxa"/>
            <w:vAlign w:val="bottom"/>
          </w:tcPr>
          <w:p>
            <w:pPr>
              <w:ind w:left="260"/>
              <w:spacing w:after="0"/>
              <w:rPr>
                <w:sz w:val="20"/>
                <w:szCs w:val="20"/>
                <w:color w:val="auto"/>
              </w:rPr>
            </w:pPr>
            <w:r>
              <w:rPr>
                <w:rFonts w:ascii="Arial" w:cs="Arial" w:eastAsia="Arial" w:hAnsi="Arial"/>
                <w:sz w:val="18"/>
                <w:szCs w:val="18"/>
                <w:b w:val="1"/>
                <w:bCs w:val="1"/>
                <w:color w:val="auto"/>
              </w:rPr>
              <w:t>Internet services</w:t>
            </w:r>
          </w:p>
        </w:tc>
        <w:tc>
          <w:tcPr>
            <w:tcW w:w="2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w:t>
            </w: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First-lien loan ($50,987 par,</w:t>
            </w:r>
          </w:p>
        </w:tc>
        <w:tc>
          <w:tcPr>
            <w:tcW w:w="1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shd w:val="clear" w:color="auto" w:fill="CFF0FC"/>
          </w:tcPr>
          <w:p>
            <w:pPr>
              <w:spacing w:after="0"/>
              <w:rPr>
                <w:sz w:val="20"/>
                <w:szCs w:val="20"/>
                <w:color w:val="auto"/>
              </w:rPr>
            </w:pP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due 7/2018)</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3/7/2014</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50,474</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50,095</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r>
      <w:tr>
        <w:trPr>
          <w:trHeight w:val="215"/>
        </w:trPr>
        <w:tc>
          <w:tcPr>
            <w:tcW w:w="2720" w:type="dxa"/>
            <w:vAlign w:val="bottom"/>
          </w:tcPr>
          <w:p>
            <w:pPr>
              <w:spacing w:after="0"/>
              <w:rPr>
                <w:sz w:val="18"/>
                <w:szCs w:val="18"/>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First-lien revolving loan</w:t>
            </w: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($2,800 par, due 7/2018)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020" w:type="dxa"/>
            <w:vAlign w:val="bottom"/>
          </w:tcPr>
          <w:p>
            <w:pPr>
              <w:jc w:val="right"/>
              <w:spacing w:after="0"/>
              <w:rPr>
                <w:sz w:val="20"/>
                <w:szCs w:val="20"/>
                <w:color w:val="auto"/>
              </w:rPr>
            </w:pPr>
            <w:r>
              <w:rPr>
                <w:rFonts w:ascii="Arial" w:cs="Arial" w:eastAsia="Arial" w:hAnsi="Arial"/>
                <w:sz w:val="18"/>
                <w:szCs w:val="18"/>
                <w:color w:val="auto"/>
              </w:rPr>
              <w:t>3/7/2014</w:t>
            </w:r>
          </w:p>
        </w:tc>
        <w:tc>
          <w:tcPr>
            <w:tcW w:w="960" w:type="dxa"/>
            <w:vAlign w:val="bottom"/>
          </w:tcPr>
          <w:p>
            <w:pPr>
              <w:jc w:val="right"/>
              <w:spacing w:after="0"/>
              <w:rPr>
                <w:sz w:val="20"/>
                <w:szCs w:val="20"/>
                <w:color w:val="auto"/>
              </w:rPr>
            </w:pPr>
            <w:r>
              <w:rPr>
                <w:rFonts w:ascii="Arial" w:cs="Arial" w:eastAsia="Arial" w:hAnsi="Arial"/>
                <w:sz w:val="18"/>
                <w:szCs w:val="18"/>
                <w:color w:val="auto"/>
              </w:rPr>
              <w:t>2,775</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2,748</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0"/>
        </w:trPr>
        <w:tc>
          <w:tcPr>
            <w:tcW w:w="272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2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53,249</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52,843</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r>
      <w:tr>
        <w:trPr>
          <w:trHeight w:val="223"/>
        </w:trPr>
        <w:tc>
          <w:tcPr>
            <w:tcW w:w="2720" w:type="dxa"/>
            <w:vAlign w:val="bottom"/>
          </w:tcPr>
          <w:p>
            <w:pPr>
              <w:ind w:left="260"/>
              <w:spacing w:after="0"/>
              <w:rPr>
                <w:sz w:val="20"/>
                <w:szCs w:val="20"/>
                <w:color w:val="auto"/>
              </w:rPr>
            </w:pPr>
            <w:r>
              <w:rPr>
                <w:rFonts w:ascii="Arial" w:cs="Arial" w:eastAsia="Arial" w:hAnsi="Arial"/>
                <w:sz w:val="18"/>
                <w:szCs w:val="18"/>
                <w:b w:val="1"/>
                <w:bCs w:val="1"/>
                <w:color w:val="auto"/>
              </w:rPr>
              <w:t>Manufacturing</w:t>
            </w:r>
          </w:p>
        </w:tc>
        <w:tc>
          <w:tcPr>
            <w:tcW w:w="2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Jeeves Information Systems</w:t>
            </w: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First-lien loan (SEK 192,573</w:t>
            </w:r>
          </w:p>
        </w:tc>
        <w:tc>
          <w:tcPr>
            <w:tcW w:w="1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23,470</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AB </w:t>
            </w:r>
            <w:r>
              <w:rPr>
                <w:rFonts w:ascii="Arial" w:cs="Arial" w:eastAsia="Arial" w:hAnsi="Arial"/>
                <w:sz w:val="15"/>
                <w:szCs w:val="15"/>
                <w:color w:val="auto"/>
              </w:rPr>
              <w:t>(3)(4)(5)</w:t>
            </w: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par, due 3/2019)</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6/5/2013</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29,289</w:t>
            </w:r>
          </w:p>
        </w:tc>
        <w:tc>
          <w:tcPr>
            <w:tcW w:w="1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(SEK 197,869)</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30"/>
        </w:trPr>
        <w:tc>
          <w:tcPr>
            <w:tcW w:w="2720" w:type="dxa"/>
            <w:vAlign w:val="bottom"/>
          </w:tcPr>
          <w:p>
            <w:pPr>
              <w:ind w:left="260"/>
              <w:spacing w:after="0"/>
              <w:rPr>
                <w:sz w:val="20"/>
                <w:szCs w:val="20"/>
                <w:color w:val="auto"/>
              </w:rPr>
            </w:pPr>
            <w:r>
              <w:rPr>
                <w:rFonts w:ascii="Arial" w:cs="Arial" w:eastAsia="Arial" w:hAnsi="Arial"/>
                <w:sz w:val="18"/>
                <w:szCs w:val="18"/>
                <w:b w:val="1"/>
                <w:bCs w:val="1"/>
                <w:color w:val="auto"/>
              </w:rPr>
              <w:t>Office products</w:t>
            </w:r>
          </w:p>
        </w:tc>
        <w:tc>
          <w:tcPr>
            <w:tcW w:w="2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w:t>
            </w: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First-lien loan ($36,811 par,</w:t>
            </w:r>
          </w:p>
        </w:tc>
        <w:tc>
          <w:tcPr>
            <w:tcW w:w="1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shd w:val="clear" w:color="auto" w:fill="CFF0FC"/>
          </w:tcPr>
          <w:p>
            <w:pPr>
              <w:spacing w:after="0"/>
              <w:rPr>
                <w:sz w:val="20"/>
                <w:szCs w:val="20"/>
                <w:color w:val="auto"/>
              </w:rPr>
            </w:pP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due 3/2019)</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36,579</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36,370</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r>
      <w:tr>
        <w:trPr>
          <w:trHeight w:val="211"/>
        </w:trPr>
        <w:tc>
          <w:tcPr>
            <w:tcW w:w="2720" w:type="dxa"/>
            <w:vAlign w:val="bottom"/>
          </w:tcPr>
          <w:p>
            <w:pPr>
              <w:ind w:left="260"/>
              <w:spacing w:after="0"/>
              <w:rPr>
                <w:sz w:val="20"/>
                <w:szCs w:val="20"/>
                <w:color w:val="auto"/>
              </w:rPr>
            </w:pPr>
            <w:r>
              <w:rPr>
                <w:rFonts w:ascii="Arial" w:cs="Arial" w:eastAsia="Arial" w:hAnsi="Arial"/>
                <w:sz w:val="18"/>
                <w:szCs w:val="18"/>
                <w:b w:val="1"/>
                <w:bCs w:val="1"/>
                <w:color w:val="auto"/>
              </w:rPr>
              <w:t>Oil, gas and consumable</w:t>
            </w:r>
          </w:p>
        </w:tc>
        <w:tc>
          <w:tcPr>
            <w:tcW w:w="2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720" w:type="dxa"/>
            <w:vAlign w:val="bottom"/>
          </w:tcPr>
          <w:p>
            <w:pPr>
              <w:ind w:left="380"/>
              <w:spacing w:after="0"/>
              <w:rPr>
                <w:sz w:val="20"/>
                <w:szCs w:val="20"/>
                <w:color w:val="auto"/>
              </w:rPr>
            </w:pPr>
            <w:r>
              <w:rPr>
                <w:rFonts w:ascii="Arial" w:cs="Arial" w:eastAsia="Arial" w:hAnsi="Arial"/>
                <w:sz w:val="18"/>
                <w:szCs w:val="18"/>
                <w:b w:val="1"/>
                <w:bCs w:val="1"/>
                <w:color w:val="auto"/>
              </w:rPr>
              <w:t>fuels</w:t>
            </w:r>
          </w:p>
        </w:tc>
        <w:tc>
          <w:tcPr>
            <w:tcW w:w="2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Key Energy Services </w:t>
            </w:r>
            <w:r>
              <w:rPr>
                <w:rFonts w:ascii="Arial" w:cs="Arial" w:eastAsia="Arial" w:hAnsi="Arial"/>
                <w:sz w:val="15"/>
                <w:szCs w:val="15"/>
                <w:color w:val="auto"/>
              </w:rPr>
              <w:t>(3)</w:t>
            </w: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First-lien loan ($13,504 par,</w:t>
            </w:r>
          </w:p>
        </w:tc>
        <w:tc>
          <w:tcPr>
            <w:tcW w:w="1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shd w:val="clear" w:color="auto" w:fill="CFF0FC"/>
          </w:tcPr>
          <w:p>
            <w:pPr>
              <w:spacing w:after="0"/>
              <w:rPr>
                <w:sz w:val="20"/>
                <w:szCs w:val="20"/>
                <w:color w:val="auto"/>
              </w:rPr>
            </w:pP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due 6/2020)</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5/27/2015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13,043</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15"/>
        </w:trPr>
        <w:tc>
          <w:tcPr>
            <w:tcW w:w="2720" w:type="dxa"/>
            <w:vAlign w:val="bottom"/>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(3)(7)</w:t>
            </w:r>
          </w:p>
        </w:tc>
        <w:tc>
          <w:tcPr>
            <w:tcW w:w="2640" w:type="dxa"/>
            <w:vAlign w:val="bottom"/>
          </w:tcPr>
          <w:p>
            <w:pPr>
              <w:ind w:left="280"/>
              <w:spacing w:after="0"/>
              <w:rPr>
                <w:sz w:val="20"/>
                <w:szCs w:val="20"/>
                <w:color w:val="auto"/>
              </w:rPr>
            </w:pPr>
            <w:r>
              <w:rPr>
                <w:rFonts w:ascii="Arial" w:cs="Arial" w:eastAsia="Arial" w:hAnsi="Arial"/>
                <w:sz w:val="18"/>
                <w:szCs w:val="18"/>
                <w:color w:val="auto"/>
              </w:rPr>
              <w:t>First-lien loan ($46,679 par,</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13.00% (incl.</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2640" w:type="dxa"/>
            <w:vAlign w:val="bottom"/>
          </w:tcPr>
          <w:p>
            <w:pPr>
              <w:ind w:left="280"/>
              <w:spacing w:after="0"/>
              <w:rPr>
                <w:sz w:val="20"/>
                <w:szCs w:val="20"/>
                <w:color w:val="auto"/>
              </w:rPr>
            </w:pPr>
            <w:r>
              <w:rPr>
                <w:rFonts w:ascii="Arial" w:cs="Arial" w:eastAsia="Arial" w:hAnsi="Arial"/>
                <w:sz w:val="18"/>
                <w:szCs w:val="18"/>
                <w:color w:val="auto"/>
              </w:rPr>
              <w:t>due 6/2018)</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1.50% PIK)</w:t>
            </w:r>
          </w:p>
        </w:tc>
        <w:tc>
          <w:tcPr>
            <w:tcW w:w="1020" w:type="dxa"/>
            <w:vAlign w:val="bottom"/>
          </w:tcPr>
          <w:p>
            <w:pPr>
              <w:jc w:val="right"/>
              <w:spacing w:after="0"/>
              <w:rPr>
                <w:sz w:val="20"/>
                <w:szCs w:val="20"/>
                <w:color w:val="auto"/>
              </w:rPr>
            </w:pPr>
            <w:r>
              <w:rPr>
                <w:rFonts w:ascii="Arial" w:cs="Arial" w:eastAsia="Arial" w:hAnsi="Arial"/>
                <w:sz w:val="18"/>
                <w:szCs w:val="18"/>
                <w:color w:val="auto"/>
              </w:rPr>
              <w:t>6/4/2014</w:t>
            </w:r>
          </w:p>
        </w:tc>
        <w:tc>
          <w:tcPr>
            <w:tcW w:w="960" w:type="dxa"/>
            <w:vAlign w:val="bottom"/>
          </w:tcPr>
          <w:p>
            <w:pPr>
              <w:jc w:val="right"/>
              <w:spacing w:after="0"/>
              <w:rPr>
                <w:sz w:val="20"/>
                <w:szCs w:val="20"/>
                <w:color w:val="auto"/>
              </w:rPr>
            </w:pPr>
            <w:r>
              <w:rPr>
                <w:rFonts w:ascii="Arial" w:cs="Arial" w:eastAsia="Arial" w:hAnsi="Arial"/>
                <w:sz w:val="18"/>
                <w:szCs w:val="18"/>
                <w:color w:val="auto"/>
              </w:rPr>
              <w:t>46,081</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36,682</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r>
      <w:tr>
        <w:trPr>
          <w:trHeight w:val="20"/>
        </w:trPr>
        <w:tc>
          <w:tcPr>
            <w:tcW w:w="272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2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59,124</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47,215</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23"/>
        </w:trPr>
        <w:tc>
          <w:tcPr>
            <w:tcW w:w="2720" w:type="dxa"/>
            <w:vAlign w:val="bottom"/>
          </w:tcPr>
          <w:p>
            <w:pPr>
              <w:ind w:left="260"/>
              <w:spacing w:after="0"/>
              <w:rPr>
                <w:sz w:val="20"/>
                <w:szCs w:val="20"/>
                <w:color w:val="auto"/>
              </w:rPr>
            </w:pPr>
            <w:r>
              <w:rPr>
                <w:rFonts w:ascii="Arial" w:cs="Arial" w:eastAsia="Arial" w:hAnsi="Arial"/>
                <w:sz w:val="18"/>
                <w:szCs w:val="18"/>
                <w:b w:val="1"/>
                <w:bCs w:val="1"/>
                <w:color w:val="auto"/>
              </w:rPr>
              <w:t>Pharmaceuticals</w:t>
            </w:r>
          </w:p>
        </w:tc>
        <w:tc>
          <w:tcPr>
            <w:tcW w:w="2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2"/>
              </w:rPr>
              <w:t>Secured note ($74,950 par, due</w:t>
            </w:r>
          </w:p>
        </w:tc>
        <w:tc>
          <w:tcPr>
            <w:tcW w:w="1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20" w:type="dxa"/>
            <w:vAlign w:val="bottom"/>
            <w:shd w:val="clear" w:color="auto" w:fill="CFF0FC"/>
          </w:tcPr>
          <w:p>
            <w:pPr>
              <w:spacing w:after="0"/>
              <w:rPr>
                <w:sz w:val="20"/>
                <w:szCs w:val="20"/>
                <w:color w:val="auto"/>
              </w:rPr>
            </w:pPr>
          </w:p>
        </w:tc>
        <w:tc>
          <w:tcPr>
            <w:tcW w:w="2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10/2020)</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10/5/2015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74,005</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73,076</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r>
      <w:tr>
        <w:trPr>
          <w:trHeight w:val="432"/>
        </w:trPr>
        <w:tc>
          <w:tcPr>
            <w:tcW w:w="2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80" w:type="dxa"/>
            <w:vAlign w:val="bottom"/>
          </w:tcPr>
          <w:p>
            <w:pPr>
              <w:jc w:val="right"/>
              <w:ind w:right="770"/>
              <w:spacing w:after="0"/>
              <w:rPr>
                <w:sz w:val="20"/>
                <w:szCs w:val="20"/>
                <w:color w:val="auto"/>
              </w:rPr>
            </w:pPr>
            <w:r>
              <w:rPr>
                <w:rFonts w:ascii="Arial" w:cs="Arial" w:eastAsia="Arial" w:hAnsi="Arial"/>
                <w:sz w:val="18"/>
                <w:szCs w:val="18"/>
                <w:color w:val="auto"/>
              </w:rPr>
              <w:t>F-11</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7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2660" w:type="dxa"/>
            <w:vAlign w:val="bottom"/>
          </w:tcPr>
          <w:p>
            <w:pPr>
              <w:ind w:left="260"/>
              <w:spacing w:after="0"/>
              <w:rPr>
                <w:sz w:val="20"/>
                <w:szCs w:val="20"/>
                <w:color w:val="auto"/>
              </w:rPr>
            </w:pPr>
            <w:r>
              <w:rPr>
                <w:rFonts w:ascii="Arial" w:cs="Arial" w:eastAsia="Arial" w:hAnsi="Arial"/>
                <w:sz w:val="18"/>
                <w:szCs w:val="18"/>
                <w:b w:val="1"/>
                <w:bCs w:val="1"/>
                <w:color w:val="auto"/>
              </w:rPr>
              <w:t>Real estate</w:t>
            </w:r>
          </w:p>
        </w:tc>
        <w:tc>
          <w:tcPr>
            <w:tcW w:w="2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JL Secured Promissory Note </w:t>
            </w:r>
            <w:r>
              <w:rPr>
                <w:rFonts w:ascii="Arial" w:cs="Arial" w:eastAsia="Arial" w:hAnsi="Arial"/>
                <w:sz w:val="15"/>
                <w:szCs w:val="15"/>
                <w:color w:val="auto"/>
              </w:rPr>
              <w:t>(4)</w:t>
            </w: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3"/>
              </w:rPr>
              <w:t>Secured note ($10,224 par, due</w:t>
            </w:r>
          </w:p>
        </w:tc>
        <w:tc>
          <w:tcPr>
            <w:tcW w:w="1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shd w:val="clear" w:color="auto" w:fill="CFF0FC"/>
          </w:tcPr>
          <w:p>
            <w:pPr>
              <w:spacing w:after="0"/>
              <w:rPr>
                <w:sz w:val="20"/>
                <w:szCs w:val="20"/>
                <w:color w:val="auto"/>
              </w:rPr>
            </w:pP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9/2017)</w:t>
            </w:r>
          </w:p>
        </w:tc>
        <w:tc>
          <w:tcPr>
            <w:tcW w:w="13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7.00% PIK</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10,224</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10,224</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230"/>
        </w:trPr>
        <w:tc>
          <w:tcPr>
            <w:tcW w:w="26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6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Retail and consumer</w:t>
            </w:r>
          </w:p>
        </w:tc>
        <w:tc>
          <w:tcPr>
            <w:tcW w:w="27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products</w:t>
            </w:r>
          </w:p>
        </w:tc>
        <w:tc>
          <w:tcPr>
            <w:tcW w:w="27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8"/>
                <w:szCs w:val="18"/>
                <w:color w:val="auto"/>
              </w:rPr>
              <w:t>American Achievement</w:t>
            </w:r>
          </w:p>
        </w:tc>
        <w:tc>
          <w:tcPr>
            <w:tcW w:w="2740" w:type="dxa"/>
            <w:vAlign w:val="bottom"/>
          </w:tcPr>
          <w:p>
            <w:pPr>
              <w:ind w:left="340"/>
              <w:spacing w:after="0"/>
              <w:rPr>
                <w:sz w:val="20"/>
                <w:szCs w:val="20"/>
                <w:color w:val="auto"/>
              </w:rPr>
            </w:pPr>
            <w:r>
              <w:rPr>
                <w:rFonts w:ascii="Arial" w:cs="Arial" w:eastAsia="Arial" w:hAnsi="Arial"/>
                <w:sz w:val="18"/>
                <w:szCs w:val="18"/>
                <w:color w:val="auto"/>
              </w:rPr>
              <w:t>First-lien loan ($25,000 par,</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740" w:type="dxa"/>
            <w:vAlign w:val="bottom"/>
          </w:tcPr>
          <w:p>
            <w:pPr>
              <w:ind w:left="340"/>
              <w:spacing w:after="0"/>
              <w:rPr>
                <w:sz w:val="20"/>
                <w:szCs w:val="20"/>
                <w:color w:val="auto"/>
              </w:rPr>
            </w:pPr>
            <w:r>
              <w:rPr>
                <w:rFonts w:ascii="Arial" w:cs="Arial" w:eastAsia="Arial" w:hAnsi="Arial"/>
                <w:sz w:val="18"/>
                <w:szCs w:val="18"/>
                <w:color w:val="auto"/>
              </w:rPr>
              <w:t>due 9/2020)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020" w:type="dxa"/>
            <w:vAlign w:val="bottom"/>
          </w:tcPr>
          <w:p>
            <w:pPr>
              <w:jc w:val="right"/>
              <w:spacing w:after="0"/>
              <w:rPr>
                <w:sz w:val="20"/>
                <w:szCs w:val="20"/>
                <w:color w:val="auto"/>
              </w:rPr>
            </w:pPr>
            <w:r>
              <w:rPr>
                <w:rFonts w:ascii="Arial" w:cs="Arial" w:eastAsia="Arial" w:hAnsi="Arial"/>
                <w:sz w:val="18"/>
                <w:szCs w:val="18"/>
                <w:color w:val="auto"/>
              </w:rPr>
              <w:t>9/30/2015</w:t>
            </w:r>
          </w:p>
        </w:tc>
        <w:tc>
          <w:tcPr>
            <w:tcW w:w="960" w:type="dxa"/>
            <w:vAlign w:val="bottom"/>
          </w:tcPr>
          <w:p>
            <w:pPr>
              <w:jc w:val="right"/>
              <w:spacing w:after="0"/>
              <w:rPr>
                <w:sz w:val="20"/>
                <w:szCs w:val="20"/>
                <w:color w:val="auto"/>
              </w:rPr>
            </w:pPr>
            <w:r>
              <w:rPr>
                <w:rFonts w:ascii="Arial" w:cs="Arial" w:eastAsia="Arial" w:hAnsi="Arial"/>
                <w:sz w:val="18"/>
                <w:szCs w:val="18"/>
                <w:color w:val="auto"/>
              </w:rPr>
              <w:t>24,664</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24,563</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15"/>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Quiksilver - Boardriders SA</w:t>
            </w: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Bond (EUR 7,599 par,</w:t>
            </w:r>
          </w:p>
        </w:tc>
        <w:tc>
          <w:tcPr>
            <w:tcW w:w="1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shd w:val="clear" w:color="auto" w:fill="CFF0FC"/>
          </w:tcPr>
          <w:p>
            <w:pPr>
              <w:spacing w:after="0"/>
              <w:rPr>
                <w:sz w:val="20"/>
                <w:szCs w:val="20"/>
                <w:color w:val="auto"/>
              </w:rPr>
            </w:pP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due 12/2017)</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5/26/2015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w:t>
            </w:r>
          </w:p>
        </w:tc>
        <w:tc>
          <w:tcPr>
            <w:tcW w:w="1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(EUR 7,181)</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(4)(6)</w:t>
            </w:r>
          </w:p>
        </w:tc>
        <w:tc>
          <w:tcPr>
            <w:tcW w:w="2740" w:type="dxa"/>
            <w:vAlign w:val="bottom"/>
          </w:tcPr>
          <w:p>
            <w:pPr>
              <w:ind w:left="340"/>
              <w:spacing w:after="0"/>
              <w:rPr>
                <w:sz w:val="20"/>
                <w:szCs w:val="20"/>
                <w:color w:val="auto"/>
              </w:rPr>
            </w:pPr>
            <w:r>
              <w:rPr>
                <w:rFonts w:ascii="Arial" w:cs="Arial" w:eastAsia="Arial" w:hAnsi="Arial"/>
                <w:sz w:val="18"/>
                <w:szCs w:val="18"/>
                <w:color w:val="auto"/>
              </w:rPr>
              <w:t>First-lien ABL revolving loan</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($303 par, due 4/2016)</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20" w:type="dxa"/>
            <w:vAlign w:val="bottom"/>
          </w:tcPr>
          <w:p>
            <w:pPr>
              <w:jc w:val="right"/>
              <w:spacing w:after="0"/>
              <w:rPr>
                <w:sz w:val="20"/>
                <w:szCs w:val="20"/>
                <w:color w:val="auto"/>
              </w:rPr>
            </w:pPr>
            <w:r>
              <w:rPr>
                <w:rFonts w:ascii="Arial" w:cs="Arial" w:eastAsia="Arial" w:hAnsi="Arial"/>
                <w:sz w:val="18"/>
                <w:szCs w:val="18"/>
                <w:color w:val="auto"/>
              </w:rPr>
              <w:t>4/15/2015</w:t>
            </w: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15"/>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Sports Authority </w:t>
            </w:r>
            <w:r>
              <w:rPr>
                <w:rFonts w:ascii="Arial" w:cs="Arial" w:eastAsia="Arial" w:hAnsi="Arial"/>
                <w:sz w:val="15"/>
                <w:szCs w:val="15"/>
                <w:color w:val="auto"/>
              </w:rPr>
              <w:t>(3)(5)</w:t>
            </w: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ABL FILO term loan ($45,000</w:t>
            </w:r>
          </w:p>
        </w:tc>
        <w:tc>
          <w:tcPr>
            <w:tcW w:w="1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shd w:val="clear" w:color="auto" w:fill="CFF0FC"/>
          </w:tcPr>
          <w:p>
            <w:pPr>
              <w:spacing w:after="0"/>
              <w:rPr>
                <w:sz w:val="20"/>
                <w:szCs w:val="20"/>
                <w:color w:val="auto"/>
              </w:rPr>
            </w:pP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par, due 6/2017)</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11/3/2015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44,249</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43,762</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w:t>
            </w:r>
          </w:p>
        </w:tc>
        <w:tc>
          <w:tcPr>
            <w:tcW w:w="2740" w:type="dxa"/>
            <w:vAlign w:val="bottom"/>
          </w:tcPr>
          <w:p>
            <w:pPr>
              <w:ind w:left="340"/>
              <w:spacing w:after="0"/>
              <w:rPr>
                <w:sz w:val="20"/>
                <w:szCs w:val="20"/>
                <w:color w:val="auto"/>
              </w:rPr>
            </w:pPr>
            <w:r>
              <w:rPr>
                <w:rFonts w:ascii="Arial" w:cs="Arial" w:eastAsia="Arial" w:hAnsi="Arial"/>
                <w:sz w:val="18"/>
                <w:szCs w:val="18"/>
                <w:color w:val="auto"/>
              </w:rPr>
              <w:t>ABL FILO term loan ($51,000</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par, due 10/2019)</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020" w:type="dxa"/>
            <w:vAlign w:val="bottom"/>
          </w:tcPr>
          <w:p>
            <w:pPr>
              <w:jc w:val="right"/>
              <w:spacing w:after="0"/>
              <w:rPr>
                <w:sz w:val="20"/>
                <w:szCs w:val="20"/>
                <w:color w:val="auto"/>
              </w:rPr>
            </w:pPr>
            <w:r>
              <w:rPr>
                <w:rFonts w:ascii="Arial" w:cs="Arial" w:eastAsia="Arial" w:hAnsi="Arial"/>
                <w:sz w:val="18"/>
                <w:szCs w:val="18"/>
                <w:color w:val="auto"/>
              </w:rPr>
              <w:t>10/9/2014</w:t>
            </w:r>
          </w:p>
        </w:tc>
        <w:tc>
          <w:tcPr>
            <w:tcW w:w="960" w:type="dxa"/>
            <w:vAlign w:val="bottom"/>
          </w:tcPr>
          <w:p>
            <w:pPr>
              <w:jc w:val="right"/>
              <w:spacing w:after="0"/>
              <w:rPr>
                <w:sz w:val="20"/>
                <w:szCs w:val="20"/>
                <w:color w:val="auto"/>
              </w:rPr>
            </w:pPr>
            <w:r>
              <w:rPr>
                <w:rFonts w:ascii="Arial" w:cs="Arial" w:eastAsia="Arial" w:hAnsi="Arial"/>
                <w:sz w:val="18"/>
                <w:szCs w:val="18"/>
                <w:color w:val="auto"/>
              </w:rPr>
              <w:t>50,313</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49,470</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6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127,404</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125,853</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r>
      <w:tr>
        <w:trPr>
          <w:trHeight w:val="223"/>
        </w:trPr>
        <w:tc>
          <w:tcPr>
            <w:tcW w:w="2660" w:type="dxa"/>
            <w:vAlign w:val="bottom"/>
          </w:tcPr>
          <w:p>
            <w:pPr>
              <w:ind w:left="260"/>
              <w:spacing w:after="0"/>
              <w:rPr>
                <w:sz w:val="20"/>
                <w:szCs w:val="20"/>
                <w:color w:val="auto"/>
              </w:rPr>
            </w:pPr>
            <w:r>
              <w:rPr>
                <w:rFonts w:ascii="Arial" w:cs="Arial" w:eastAsia="Arial" w:hAnsi="Arial"/>
                <w:sz w:val="18"/>
                <w:szCs w:val="18"/>
                <w:b w:val="1"/>
                <w:bCs w:val="1"/>
                <w:color w:val="auto"/>
              </w:rPr>
              <w:t>Transportation</w:t>
            </w:r>
          </w:p>
        </w:tc>
        <w:tc>
          <w:tcPr>
            <w:tcW w:w="2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w:t>
            </w: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First-lien loan ($13,441 par,</w:t>
            </w:r>
          </w:p>
        </w:tc>
        <w:tc>
          <w:tcPr>
            <w:tcW w:w="1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shd w:val="clear" w:color="auto" w:fill="CFF0FC"/>
          </w:tcPr>
          <w:p>
            <w:pPr>
              <w:spacing w:after="0"/>
              <w:rPr>
                <w:sz w:val="20"/>
                <w:szCs w:val="20"/>
                <w:color w:val="auto"/>
              </w:rPr>
            </w:pP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due 1/2019)</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3/17/2015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5"/>
                <w:szCs w:val="15"/>
                <w:color w:val="auto"/>
              </w:rPr>
              <w:t>(3)(4)</w:t>
            </w:r>
          </w:p>
        </w:tc>
        <w:tc>
          <w:tcPr>
            <w:tcW w:w="2740" w:type="dxa"/>
            <w:vAlign w:val="bottom"/>
          </w:tcPr>
          <w:p>
            <w:pPr>
              <w:ind w:left="340"/>
              <w:spacing w:after="0"/>
              <w:rPr>
                <w:sz w:val="20"/>
                <w:szCs w:val="20"/>
                <w:color w:val="auto"/>
              </w:rPr>
            </w:pPr>
            <w:r>
              <w:rPr>
                <w:rFonts w:ascii="Arial" w:cs="Arial" w:eastAsia="Arial" w:hAnsi="Arial"/>
                <w:sz w:val="18"/>
                <w:szCs w:val="18"/>
                <w:color w:val="auto"/>
                <w:w w:val="96"/>
              </w:rPr>
              <w:t>Second-lien loan ($62,500 par,</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due 10/2019)</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020" w:type="dxa"/>
            <w:vAlign w:val="bottom"/>
          </w:tcPr>
          <w:p>
            <w:pPr>
              <w:jc w:val="right"/>
              <w:spacing w:after="0"/>
              <w:rPr>
                <w:sz w:val="20"/>
                <w:szCs w:val="20"/>
                <w:color w:val="auto"/>
              </w:rPr>
            </w:pPr>
            <w:r>
              <w:rPr>
                <w:rFonts w:ascii="Arial" w:cs="Arial" w:eastAsia="Arial" w:hAnsi="Arial"/>
                <w:sz w:val="18"/>
                <w:szCs w:val="18"/>
                <w:color w:val="auto"/>
              </w:rPr>
              <w:t>10/2/2013</w:t>
            </w:r>
          </w:p>
        </w:tc>
        <w:tc>
          <w:tcPr>
            <w:tcW w:w="960" w:type="dxa"/>
            <w:vAlign w:val="bottom"/>
          </w:tcPr>
          <w:p>
            <w:pPr>
              <w:jc w:val="right"/>
              <w:spacing w:after="0"/>
              <w:rPr>
                <w:sz w:val="20"/>
                <w:szCs w:val="20"/>
                <w:color w:val="auto"/>
              </w:rPr>
            </w:pPr>
            <w:r>
              <w:rPr>
                <w:rFonts w:ascii="Arial" w:cs="Arial" w:eastAsia="Arial" w:hAnsi="Arial"/>
                <w:sz w:val="18"/>
                <w:szCs w:val="18"/>
                <w:color w:val="auto"/>
              </w:rPr>
              <w:t>61,614</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59,531</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6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74,245</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72,031</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r>
      <w:tr>
        <w:trPr>
          <w:trHeight w:val="223"/>
        </w:trPr>
        <w:tc>
          <w:tcPr>
            <w:tcW w:w="2660" w:type="dxa"/>
            <w:vAlign w:val="bottom"/>
            <w:tcBorders>
              <w:bottom w:val="single" w:sz="8" w:color="CFF0FC"/>
            </w:tcBorders>
          </w:tcPr>
          <w:p>
            <w:pPr>
              <w:spacing w:after="0"/>
              <w:rPr>
                <w:sz w:val="19"/>
                <w:szCs w:val="19"/>
                <w:color w:val="auto"/>
              </w:rPr>
            </w:pPr>
          </w:p>
        </w:tc>
        <w:tc>
          <w:tcPr>
            <w:tcW w:w="274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6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2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1,488,879</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1,459,372</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177.7%</w:t>
            </w:r>
          </w:p>
        </w:tc>
        <w:tc>
          <w:tcPr>
            <w:tcW w:w="20" w:type="dxa"/>
            <w:vAlign w:val="bottom"/>
          </w:tcPr>
          <w:p>
            <w:pPr>
              <w:spacing w:after="0"/>
              <w:rPr>
                <w:sz w:val="19"/>
                <w:szCs w:val="19"/>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b w:val="1"/>
                <w:bCs w:val="1"/>
                <w:color w:val="auto"/>
              </w:rPr>
              <w:t>Equity and Other Investments</w:t>
            </w:r>
          </w:p>
        </w:tc>
        <w:tc>
          <w:tcPr>
            <w:tcW w:w="2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8"/>
                <w:szCs w:val="18"/>
                <w:color w:val="auto"/>
              </w:rPr>
              <w:t>Network Merchants, Inc.</w:t>
            </w:r>
          </w:p>
        </w:tc>
        <w:tc>
          <w:tcPr>
            <w:tcW w:w="2740" w:type="dxa"/>
            <w:vAlign w:val="bottom"/>
          </w:tcPr>
          <w:p>
            <w:pPr>
              <w:ind w:left="340"/>
              <w:spacing w:after="0"/>
              <w:rPr>
                <w:sz w:val="20"/>
                <w:szCs w:val="20"/>
                <w:color w:val="auto"/>
              </w:rPr>
            </w:pPr>
            <w:r>
              <w:rPr>
                <w:rFonts w:ascii="Arial" w:cs="Arial" w:eastAsia="Arial" w:hAnsi="Arial"/>
                <w:sz w:val="18"/>
                <w:szCs w:val="18"/>
                <w:color w:val="auto"/>
              </w:rPr>
              <w:t>Non-Voting Preferred Units</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(774,099 units)</w:t>
            </w:r>
          </w:p>
        </w:tc>
        <w:tc>
          <w:tcPr>
            <w:tcW w:w="1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9/12/2013</w:t>
            </w:r>
          </w:p>
        </w:tc>
        <w:tc>
          <w:tcPr>
            <w:tcW w:w="960" w:type="dxa"/>
            <w:vAlign w:val="bottom"/>
          </w:tcPr>
          <w:p>
            <w:pPr>
              <w:jc w:val="right"/>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1,119</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30"/>
        </w:trPr>
        <w:tc>
          <w:tcPr>
            <w:tcW w:w="26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8"/>
                <w:szCs w:val="18"/>
                <w:color w:val="auto"/>
              </w:rPr>
              <w:t>AvidXchange, Inc.</w:t>
            </w:r>
          </w:p>
        </w:tc>
        <w:tc>
          <w:tcPr>
            <w:tcW w:w="2740" w:type="dxa"/>
            <w:vAlign w:val="bottom"/>
          </w:tcPr>
          <w:p>
            <w:pPr>
              <w:ind w:left="340"/>
              <w:spacing w:after="0"/>
              <w:rPr>
                <w:sz w:val="20"/>
                <w:szCs w:val="20"/>
                <w:color w:val="auto"/>
              </w:rPr>
            </w:pPr>
            <w:r>
              <w:rPr>
                <w:rFonts w:ascii="Arial" w:cs="Arial" w:eastAsia="Arial" w:hAnsi="Arial"/>
                <w:sz w:val="18"/>
                <w:szCs w:val="18"/>
                <w:color w:val="auto"/>
              </w:rPr>
              <w:t>Series E Preferred Equity</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(214,132 shares)</w:t>
            </w:r>
          </w:p>
        </w:tc>
        <w:tc>
          <w:tcPr>
            <w:tcW w:w="1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8/7/2015</w:t>
            </w:r>
          </w:p>
        </w:tc>
        <w:tc>
          <w:tcPr>
            <w:tcW w:w="960" w:type="dxa"/>
            <w:vAlign w:val="bottom"/>
          </w:tcPr>
          <w:p>
            <w:pPr>
              <w:jc w:val="right"/>
              <w:spacing w:after="0"/>
              <w:rPr>
                <w:sz w:val="20"/>
                <w:szCs w:val="20"/>
                <w:color w:val="auto"/>
              </w:rPr>
            </w:pPr>
            <w:r>
              <w:rPr>
                <w:rFonts w:ascii="Arial" w:cs="Arial" w:eastAsia="Arial" w:hAnsi="Arial"/>
                <w:sz w:val="18"/>
                <w:szCs w:val="18"/>
                <w:color w:val="auto"/>
              </w:rPr>
              <w:t>3,846</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3,846</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15"/>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w:t>
            </w: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Common Shares (1,633,660</w:t>
            </w:r>
          </w:p>
        </w:tc>
        <w:tc>
          <w:tcPr>
            <w:tcW w:w="1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shd w:val="clear" w:color="auto" w:fill="CFF0FC"/>
          </w:tcPr>
          <w:p>
            <w:pPr>
              <w:spacing w:after="0"/>
              <w:rPr>
                <w:sz w:val="20"/>
                <w:szCs w:val="20"/>
                <w:color w:val="auto"/>
              </w:rPr>
            </w:pP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w:t>
            </w:r>
          </w:p>
        </w:tc>
        <w:tc>
          <w:tcPr>
            <w:tcW w:w="13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8/5/2015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20"/>
        </w:trPr>
        <w:tc>
          <w:tcPr>
            <w:tcW w:w="2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14,789</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13,779</w:t>
            </w: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23"/>
        </w:trPr>
        <w:tc>
          <w:tcPr>
            <w:tcW w:w="26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w:t>
            </w:r>
          </w:p>
        </w:tc>
        <w:tc>
          <w:tcPr>
            <w:tcW w:w="27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8"/>
                <w:szCs w:val="18"/>
                <w:color w:val="auto"/>
              </w:rPr>
              <w:t>Global Healthcare Exchange,</w:t>
            </w:r>
          </w:p>
        </w:tc>
        <w:tc>
          <w:tcPr>
            <w:tcW w:w="2740" w:type="dxa"/>
            <w:vAlign w:val="bottom"/>
          </w:tcPr>
          <w:p>
            <w:pPr>
              <w:ind w:left="340"/>
              <w:spacing w:after="0"/>
              <w:rPr>
                <w:sz w:val="20"/>
                <w:szCs w:val="20"/>
                <w:color w:val="auto"/>
              </w:rPr>
            </w:pPr>
            <w:r>
              <w:rPr>
                <w:rFonts w:ascii="Arial" w:cs="Arial" w:eastAsia="Arial" w:hAnsi="Arial"/>
                <w:sz w:val="18"/>
                <w:szCs w:val="18"/>
                <w:color w:val="auto"/>
                <w:w w:val="97"/>
              </w:rPr>
              <w:t>Common Shares Class A (598</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LLC</w:t>
            </w:r>
          </w:p>
        </w:tc>
        <w:tc>
          <w:tcPr>
            <w:tcW w:w="2740" w:type="dxa"/>
            <w:vAlign w:val="bottom"/>
          </w:tcPr>
          <w:p>
            <w:pPr>
              <w:ind w:left="340"/>
              <w:spacing w:after="0"/>
              <w:rPr>
                <w:sz w:val="20"/>
                <w:szCs w:val="20"/>
                <w:color w:val="auto"/>
              </w:rPr>
            </w:pPr>
            <w:r>
              <w:rPr>
                <w:rFonts w:ascii="Arial" w:cs="Arial" w:eastAsia="Arial" w:hAnsi="Arial"/>
                <w:sz w:val="18"/>
                <w:szCs w:val="18"/>
                <w:color w:val="auto"/>
              </w:rPr>
              <w:t>shares)</w:t>
            </w:r>
          </w:p>
        </w:tc>
        <w:tc>
          <w:tcPr>
            <w:tcW w:w="1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3/11/2014</w:t>
            </w:r>
          </w:p>
        </w:tc>
        <w:tc>
          <w:tcPr>
            <w:tcW w:w="960" w:type="dxa"/>
            <w:vAlign w:val="bottom"/>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729</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660" w:type="dxa"/>
            <w:vAlign w:val="bottom"/>
            <w:shd w:val="clear" w:color="auto" w:fill="CFF0FC"/>
          </w:tcPr>
          <w:p>
            <w:pPr>
              <w:spacing w:after="0"/>
              <w:rPr>
                <w:sz w:val="18"/>
                <w:szCs w:val="18"/>
                <w:color w:val="auto"/>
              </w:rPr>
            </w:pP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7"/>
              </w:rPr>
              <w:t>Common Shares Class B (196</w:t>
            </w:r>
          </w:p>
        </w:tc>
        <w:tc>
          <w:tcPr>
            <w:tcW w:w="1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shd w:val="clear" w:color="auto" w:fill="CFF0FC"/>
          </w:tcPr>
          <w:p>
            <w:pPr>
              <w:spacing w:after="0"/>
              <w:rPr>
                <w:sz w:val="20"/>
                <w:szCs w:val="20"/>
                <w:color w:val="auto"/>
              </w:rPr>
            </w:pP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w:t>
            </w:r>
          </w:p>
        </w:tc>
        <w:tc>
          <w:tcPr>
            <w:tcW w:w="13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w:t>
            </w:r>
          </w:p>
        </w:tc>
        <w:tc>
          <w:tcPr>
            <w:tcW w:w="2740" w:type="dxa"/>
            <w:vAlign w:val="bottom"/>
          </w:tcPr>
          <w:p>
            <w:pPr>
              <w:ind w:left="340"/>
              <w:spacing w:after="0"/>
              <w:rPr>
                <w:sz w:val="20"/>
                <w:szCs w:val="20"/>
                <w:color w:val="auto"/>
              </w:rPr>
            </w:pPr>
            <w:r>
              <w:rPr>
                <w:rFonts w:ascii="Arial" w:cs="Arial" w:eastAsia="Arial" w:hAnsi="Arial"/>
                <w:sz w:val="18"/>
                <w:szCs w:val="18"/>
                <w:color w:val="auto"/>
              </w:rPr>
              <w:t>Warrants</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965</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9/30/2014</w:t>
            </w:r>
          </w:p>
        </w:tc>
        <w:tc>
          <w:tcPr>
            <w:tcW w:w="960" w:type="dxa"/>
            <w:vAlign w:val="bottom"/>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(EUR 888)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SRS Parent Corp.</w:t>
            </w: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Common Shares Class A</w:t>
            </w:r>
          </w:p>
        </w:tc>
        <w:tc>
          <w:tcPr>
            <w:tcW w:w="1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shd w:val="clear" w:color="auto" w:fill="CFF0FC"/>
          </w:tcPr>
          <w:p>
            <w:pPr>
              <w:spacing w:after="0"/>
              <w:rPr>
                <w:sz w:val="20"/>
                <w:szCs w:val="20"/>
                <w:color w:val="auto"/>
              </w:rPr>
            </w:pP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(1,980 shares)</w:t>
            </w:r>
          </w:p>
        </w:tc>
        <w:tc>
          <w:tcPr>
            <w:tcW w:w="13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12/28/2012</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660" w:type="dxa"/>
            <w:vAlign w:val="bottom"/>
          </w:tcPr>
          <w:p>
            <w:pPr>
              <w:spacing w:after="0"/>
              <w:rPr>
                <w:sz w:val="18"/>
                <w:szCs w:val="18"/>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Common Shares Class B</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(2,953,020 shares)</w:t>
            </w:r>
          </w:p>
        </w:tc>
        <w:tc>
          <w:tcPr>
            <w:tcW w:w="1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12/28/2012</w:t>
            </w: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6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223"/>
        </w:trPr>
        <w:tc>
          <w:tcPr>
            <w:tcW w:w="266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w:t>
            </w: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5"/>
              </w:rPr>
              <w:t>Class A Units (5,000,000 units)</w:t>
            </w:r>
          </w:p>
        </w:tc>
        <w:tc>
          <w:tcPr>
            <w:tcW w:w="1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15"/>
        </w:trPr>
        <w:tc>
          <w:tcPr>
            <w:tcW w:w="2660" w:type="dxa"/>
            <w:vAlign w:val="bottom"/>
          </w:tcPr>
          <w:p>
            <w:pPr>
              <w:spacing w:after="0"/>
              <w:rPr>
                <w:sz w:val="18"/>
                <w:szCs w:val="18"/>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Class C-1 Units (8,800,000</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units)</w:t>
            </w:r>
          </w:p>
        </w:tc>
        <w:tc>
          <w:tcPr>
            <w:tcW w:w="1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9/29/2015</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6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05"/>
        </w:trPr>
        <w:tc>
          <w:tcPr>
            <w:tcW w:w="266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2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660" w:type="dxa"/>
            <w:vAlign w:val="bottom"/>
          </w:tcPr>
          <w:p>
            <w:pPr>
              <w:ind w:left="380"/>
              <w:spacing w:after="0"/>
              <w:rPr>
                <w:sz w:val="20"/>
                <w:szCs w:val="20"/>
                <w:color w:val="auto"/>
              </w:rPr>
            </w:pPr>
            <w:r>
              <w:rPr>
                <w:rFonts w:ascii="Arial" w:cs="Arial" w:eastAsia="Arial" w:hAnsi="Arial"/>
                <w:sz w:val="18"/>
                <w:szCs w:val="18"/>
                <w:b w:val="1"/>
                <w:bCs w:val="1"/>
                <w:color w:val="auto"/>
              </w:rPr>
              <w:t>fuels</w:t>
            </w:r>
          </w:p>
        </w:tc>
        <w:tc>
          <w:tcPr>
            <w:tcW w:w="2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w:t>
            </w: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Class A Member Units (933</w:t>
            </w:r>
          </w:p>
        </w:tc>
        <w:tc>
          <w:tcPr>
            <w:tcW w:w="1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shd w:val="clear" w:color="auto" w:fill="CFF0FC"/>
          </w:tcPr>
          <w:p>
            <w:pPr>
              <w:spacing w:after="0"/>
              <w:rPr>
                <w:sz w:val="20"/>
                <w:szCs w:val="20"/>
                <w:color w:val="auto"/>
              </w:rPr>
            </w:pPr>
          </w:p>
        </w:tc>
        <w:tc>
          <w:tcPr>
            <w:tcW w:w="2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units)</w:t>
            </w:r>
          </w:p>
        </w:tc>
        <w:tc>
          <w:tcPr>
            <w:tcW w:w="13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6/4/2014</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1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432"/>
        </w:trPr>
        <w:tc>
          <w:tcPr>
            <w:tcW w:w="26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40" w:type="dxa"/>
            <w:vAlign w:val="bottom"/>
          </w:tcPr>
          <w:p>
            <w:pPr>
              <w:jc w:val="right"/>
              <w:ind w:right="770"/>
              <w:spacing w:after="0"/>
              <w:rPr>
                <w:sz w:val="20"/>
                <w:szCs w:val="20"/>
                <w:color w:val="auto"/>
              </w:rPr>
            </w:pPr>
            <w:r>
              <w:rPr>
                <w:rFonts w:ascii="Arial" w:cs="Arial" w:eastAsia="Arial" w:hAnsi="Arial"/>
                <w:sz w:val="18"/>
                <w:szCs w:val="18"/>
                <w:color w:val="auto"/>
              </w:rPr>
              <w:t>F-12</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2580" w:type="dxa"/>
            <w:vAlign w:val="bottom"/>
          </w:tcPr>
          <w:p>
            <w:pPr>
              <w:ind w:left="260"/>
              <w:spacing w:after="0"/>
              <w:rPr>
                <w:sz w:val="20"/>
                <w:szCs w:val="20"/>
                <w:color w:val="auto"/>
              </w:rPr>
            </w:pPr>
            <w:r>
              <w:rPr>
                <w:rFonts w:ascii="Arial" w:cs="Arial" w:eastAsia="Arial" w:hAnsi="Arial"/>
                <w:sz w:val="18"/>
                <w:szCs w:val="18"/>
                <w:b w:val="1"/>
                <w:bCs w:val="1"/>
                <w:color w:val="auto"/>
              </w:rPr>
              <w:t>Other</w:t>
            </w:r>
          </w:p>
        </w:tc>
        <w:tc>
          <w:tcPr>
            <w:tcW w:w="2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Oak Hill Credit Partners </w:t>
            </w:r>
            <w:r>
              <w:rPr>
                <w:rFonts w:ascii="Arial" w:cs="Arial" w:eastAsia="Arial" w:hAnsi="Arial"/>
                <w:sz w:val="15"/>
                <w:szCs w:val="15"/>
                <w:color w:val="auto"/>
              </w:rPr>
              <w:t>(4)(6)</w:t>
            </w:r>
          </w:p>
        </w:tc>
        <w:tc>
          <w:tcPr>
            <w:tcW w:w="26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Structured Product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5.82%</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8/21/2015</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(4)(6)</w:t>
            </w:r>
          </w:p>
        </w:tc>
        <w:tc>
          <w:tcPr>
            <w:tcW w:w="2660" w:type="dxa"/>
            <w:vAlign w:val="bottom"/>
          </w:tcPr>
          <w:p>
            <w:pPr>
              <w:ind w:left="420"/>
              <w:spacing w:after="0"/>
              <w:rPr>
                <w:sz w:val="20"/>
                <w:szCs w:val="20"/>
                <w:color w:val="auto"/>
              </w:rPr>
            </w:pPr>
            <w:r>
              <w:rPr>
                <w:rFonts w:ascii="Arial" w:cs="Arial" w:eastAsia="Arial" w:hAnsi="Arial"/>
                <w:sz w:val="18"/>
                <w:szCs w:val="18"/>
                <w:color w:val="auto"/>
              </w:rPr>
              <w:t>Structured Product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1020" w:type="dxa"/>
            <w:vAlign w:val="bottom"/>
          </w:tcPr>
          <w:p>
            <w:pPr>
              <w:jc w:val="right"/>
              <w:spacing w:after="0"/>
              <w:rPr>
                <w:sz w:val="20"/>
                <w:szCs w:val="20"/>
                <w:color w:val="auto"/>
              </w:rPr>
            </w:pPr>
            <w:r>
              <w:rPr>
                <w:rFonts w:ascii="Arial" w:cs="Arial" w:eastAsia="Arial" w:hAnsi="Arial"/>
                <w:sz w:val="18"/>
                <w:szCs w:val="18"/>
                <w:color w:val="auto"/>
              </w:rPr>
              <w:t>11/17/2014</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5,100</w:t>
            </w: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580" w:type="dxa"/>
            <w:vAlign w:val="bottom"/>
            <w:shd w:val="clear" w:color="auto" w:fill="CFF0FC"/>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8,199</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5"/>
        </w:trPr>
        <w:tc>
          <w:tcPr>
            <w:tcW w:w="258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2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380"/>
              <w:spacing w:after="0"/>
              <w:rPr>
                <w:sz w:val="20"/>
                <w:szCs w:val="20"/>
                <w:color w:val="auto"/>
              </w:rPr>
            </w:pPr>
            <w:r>
              <w:rPr>
                <w:rFonts w:ascii="Arial" w:cs="Arial" w:eastAsia="Arial" w:hAnsi="Arial"/>
                <w:sz w:val="18"/>
                <w:szCs w:val="18"/>
                <w:b w:val="1"/>
                <w:bCs w:val="1"/>
                <w:color w:val="auto"/>
              </w:rPr>
              <w:t>Investments</w:t>
            </w:r>
          </w:p>
        </w:tc>
        <w:tc>
          <w:tcPr>
            <w:tcW w:w="2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40,797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26,337</w:t>
            </w: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266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10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vMerge w:val="continue"/>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1,529,676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1,485,709</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180.8%</w:t>
            </w: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6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80" w:hanging="512"/>
        <w:spacing w:after="0" w:line="250"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ind w:left="520" w:right="360" w:hanging="512"/>
        <w:spacing w:after="0" w:line="265" w:lineRule="auto"/>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ind w:left="520" w:hanging="512"/>
        <w:spacing w:after="0" w:line="250"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 to the extent a loan has been allocated to “first out” and “last out” tranches, whereby the “first out” tranche will have priority as to the “last out” tranche with respect to payments of principal, interest and any amounts due thereunder.</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2015 in which the issuer was an Affiliated Person of and was deemed to Control a portfolio company are as follows: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Controlled, Affiliated Investments during the year ended December 31, 2015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9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6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Company</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Additions (a)</w:t>
            </w: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Reductions (b)</w:t>
            </w:r>
          </w:p>
        </w:tc>
        <w:tc>
          <w:tcPr>
            <w:tcW w:w="4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Gain/(Loss)</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Gain/(Losses)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Mississippi Resources,</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LLC</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41,636</w:t>
            </w:r>
          </w:p>
        </w:tc>
        <w:tc>
          <w:tcPr>
            <w:tcW w:w="3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7,833</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(459)</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(12,328)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6,003</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IRGSE Holding Corp.</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(4,888)</w:t>
            </w:r>
          </w:p>
        </w:tc>
        <w:tc>
          <w:tcPr>
            <w:tcW w:w="14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26,816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41,636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39,537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(17,216</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63,498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6,639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right="140" w:hanging="376"/>
        <w:spacing w:after="0" w:line="258" w:lineRule="auto"/>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140" w:right="260" w:hanging="376"/>
        <w:spacing w:after="0" w:line="250" w:lineRule="auto"/>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w:t>
      </w:r>
    </w:p>
    <w:p>
      <w:pPr>
        <w:ind w:left="520" w:hanging="512"/>
        <w:spacing w:after="0"/>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of December 31, 2015, the tax cost of the Company’s investments approximates their amortized cost.</w:t>
      </w:r>
    </w:p>
    <w:p>
      <w:pPr>
        <w:spacing w:after="0" w:line="9" w:lineRule="exact"/>
        <w:rPr>
          <w:rFonts w:ascii="Arial" w:cs="Arial" w:eastAsia="Arial" w:hAnsi="Arial"/>
          <w:sz w:val="18"/>
          <w:szCs w:val="18"/>
          <w:color w:val="auto"/>
        </w:rPr>
      </w:pPr>
    </w:p>
    <w:p>
      <w:pPr>
        <w:ind w:left="520" w:right="220" w:hanging="512"/>
        <w:spacing w:after="0" w:line="261"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Notes contain a fixed rate structure. The Company entered into an interest rate swap agreement to swap to a floating rate. Refer to Note 5 for further information related to the Company’s interest rate swaps.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December 31, 2016</w:t>
            </w:r>
          </w:p>
        </w:tc>
        <w:tc>
          <w:tcPr>
            <w:tcW w:w="120" w:type="dxa"/>
            <w:vAlign w:val="bottom"/>
          </w:tcPr>
          <w:p>
            <w:pPr>
              <w:spacing w:after="0"/>
              <w:rPr>
                <w:sz w:val="14"/>
                <w:szCs w:val="14"/>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December 31, 2015</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107,333</w:t>
            </w:r>
          </w:p>
        </w:tc>
        <w:tc>
          <w:tcPr>
            <w:tcW w:w="160" w:type="dxa"/>
            <w:vAlign w:val="bottom"/>
          </w:tcPr>
          <w:p>
            <w:pPr>
              <w:spacing w:after="0"/>
              <w:rPr>
                <w:sz w:val="19"/>
                <w:szCs w:val="19"/>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95,298</w:t>
            </w:r>
          </w:p>
        </w:tc>
        <w:tc>
          <w:tcPr>
            <w:tcW w:w="26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104,475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(28,568)</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(17,722)</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Net realized losses</w:t>
            </w: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(3,162)</w:t>
            </w: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137,007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63,568</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740" w:type="dxa"/>
            <w:vAlign w:val="bottom"/>
          </w:tcPr>
          <w:p>
            <w:pPr>
              <w:spacing w:after="0" w:line="205" w:lineRule="exact"/>
              <w:rPr>
                <w:sz w:val="20"/>
                <w:szCs w:val="20"/>
                <w:color w:val="auto"/>
              </w:rPr>
            </w:pPr>
            <w:r>
              <w:rPr>
                <w:rFonts w:ascii="Arial" w:cs="Arial" w:eastAsia="Arial" w:hAnsi="Arial"/>
                <w:sz w:val="18"/>
                <w:szCs w:val="18"/>
                <w:b w:val="1"/>
                <w:bCs w:val="1"/>
                <w:color w:val="auto"/>
              </w:rPr>
              <w:t>Increase (Decrease) in Net Assets Resulting from Capital Share</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140"/>
              <w:spacing w:after="0"/>
              <w:rPr>
                <w:sz w:val="20"/>
                <w:szCs w:val="20"/>
                <w:color w:val="auto"/>
              </w:rPr>
            </w:pPr>
            <w:r>
              <w:rPr>
                <w:rFonts w:ascii="Arial" w:cs="Arial" w:eastAsia="Arial" w:hAnsi="Arial"/>
                <w:sz w:val="18"/>
                <w:szCs w:val="18"/>
                <w:b w:val="1"/>
                <w:bCs w:val="1"/>
                <w:color w:val="auto"/>
              </w:rPr>
              <w:t>Transactions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(82,777)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(62,332)</w:t>
            </w: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(80,077)</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realized gains</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(10,017)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(21,966)</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(78,232)</w:t>
            </w: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Increase (Decrease) in Net Assets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assets, beginning of period</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820,741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835,405</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Assets, End of Period</w:t>
            </w: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952,212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820,741</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835,405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140"/>
              <w:spacing w:after="0"/>
              <w:rPr>
                <w:sz w:val="20"/>
                <w:szCs w:val="20"/>
                <w:color w:val="auto"/>
              </w:rPr>
            </w:pPr>
            <w:r>
              <w:rPr>
                <w:rFonts w:ascii="Arial" w:cs="Arial" w:eastAsia="Arial" w:hAnsi="Arial"/>
                <w:sz w:val="18"/>
                <w:szCs w:val="18"/>
                <w:b w:val="1"/>
                <w:bCs w:val="1"/>
                <w:color w:val="auto"/>
              </w:rPr>
              <w:t>End of the Period</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50,142</w:t>
            </w:r>
          </w:p>
        </w:tc>
        <w:tc>
          <w:tcPr>
            <w:tcW w:w="160" w:type="dxa"/>
            <w:vAlign w:val="bottom"/>
          </w:tcPr>
          <w:p>
            <w:pPr>
              <w:spacing w:after="0"/>
              <w:rPr>
                <w:sz w:val="20"/>
                <w:szCs w:val="20"/>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27,521</w:t>
            </w:r>
          </w:p>
        </w:tc>
        <w:tc>
          <w:tcPr>
            <w:tcW w:w="26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740" w:type="dxa"/>
            <w:vAlign w:val="bottom"/>
          </w:tcPr>
          <w:p>
            <w:pPr>
              <w:spacing w:after="0"/>
              <w:rPr>
                <w:sz w:val="14"/>
                <w:szCs w:val="14"/>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December 31, 2016</w:t>
            </w:r>
          </w:p>
        </w:tc>
        <w:tc>
          <w:tcPr>
            <w:tcW w:w="10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December 31, 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 2014</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137,007</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63,568</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85,050</w:t>
            </w:r>
          </w:p>
        </w:tc>
        <w:tc>
          <w:tcPr>
            <w:tcW w:w="120" w:type="dxa"/>
            <w:vAlign w:val="bottom"/>
          </w:tcPr>
          <w:p>
            <w:pPr>
              <w:spacing w:after="0"/>
              <w:rPr>
                <w:sz w:val="19"/>
                <w:szCs w:val="19"/>
                <w:color w:val="auto"/>
              </w:rPr>
            </w:pPr>
          </w:p>
        </w:tc>
      </w:tr>
      <w:tr>
        <w:trPr>
          <w:trHeight w:val="215"/>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used in operating activities:</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2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(33,682)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34,225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28,895</w:t>
            </w:r>
          </w:p>
        </w:tc>
        <w:tc>
          <w:tcPr>
            <w:tcW w:w="120" w:type="dxa"/>
            <w:vAlign w:val="bottom"/>
          </w:tcPr>
          <w:p>
            <w:pPr>
              <w:spacing w:after="0"/>
              <w:rPr>
                <w:sz w:val="19"/>
                <w:szCs w:val="19"/>
                <w:color w:val="auto"/>
              </w:rPr>
            </w:pPr>
          </w:p>
        </w:tc>
      </w:tr>
      <w:tr>
        <w:trPr>
          <w:trHeight w:val="215"/>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losses on foreign currency</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Transactions</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(6,275)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(11,173)</w:t>
            </w: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Net change in unrealized losses on interest rate swaps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losses on investments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w:t>
            </w: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Net realized gains on foreign currency transactions</w:t>
            </w:r>
          </w:p>
        </w:tc>
        <w:tc>
          <w:tcPr>
            <w:tcW w:w="2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interest rate swaps</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Net amortization of discount on securities</w:t>
            </w:r>
          </w:p>
        </w:tc>
        <w:tc>
          <w:tcPr>
            <w:tcW w:w="2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(15,624)</w:t>
            </w:r>
          </w:p>
        </w:tc>
        <w:tc>
          <w:tcPr>
            <w:tcW w:w="1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(12,729)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(19,627)</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Accretion of discount on 2019 Convertible Senior Notes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or originations of investments, net</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(720,728)</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(757,295)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(974,824)</w:t>
            </w: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Proceeds from investments,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71,355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39,077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100,656</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on investments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524,194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620,671</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Paid-in-kind interest</w:t>
            </w:r>
          </w:p>
        </w:tc>
        <w:tc>
          <w:tcPr>
            <w:tcW w:w="2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(8,920)</w:t>
            </w:r>
          </w:p>
        </w:tc>
        <w:tc>
          <w:tcPr>
            <w:tcW w:w="1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(5,410)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(2,748)</w:t>
            </w: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Interest receivable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(1,167)</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 paid-in-kind</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w:t>
            </w: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(12,443)</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Management fees payable to affiliate</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Incentive fees payable to affiliate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Payable to affiliate</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(27,378)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31,972</w:t>
            </w:r>
          </w:p>
        </w:tc>
        <w:tc>
          <w:tcPr>
            <w:tcW w:w="120" w:type="dxa"/>
            <w:vAlign w:val="bottom"/>
          </w:tcPr>
          <w:p>
            <w:pPr>
              <w:spacing w:after="0"/>
              <w:rPr>
                <w:sz w:val="19"/>
                <w:szCs w:val="19"/>
                <w:color w:val="auto"/>
              </w:rPr>
            </w:pPr>
          </w:p>
        </w:tc>
      </w:tr>
      <w:tr>
        <w:trPr>
          <w:trHeight w:val="223"/>
        </w:trPr>
        <w:tc>
          <w:tcPr>
            <w:tcW w:w="67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(37,895)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(183,506)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Borrowings on debt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580,364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847,547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1,108,097</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Payments on debt</w:t>
            </w:r>
          </w:p>
        </w:tc>
        <w:tc>
          <w:tcPr>
            <w:tcW w:w="2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(533,772)</w:t>
            </w:r>
          </w:p>
        </w:tc>
        <w:tc>
          <w:tcPr>
            <w:tcW w:w="1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(584,481)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(1,135,388)</w:t>
            </w: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(6,766)</w:t>
            </w:r>
          </w:p>
        </w:tc>
      </w:tr>
      <w:tr>
        <w:trPr>
          <w:trHeight w:val="215"/>
        </w:trPr>
        <w:tc>
          <w:tcPr>
            <w:tcW w:w="674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and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underwriting costs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78,250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234,419</w:t>
            </w:r>
          </w:p>
        </w:tc>
        <w:tc>
          <w:tcPr>
            <w:tcW w:w="120" w:type="dxa"/>
            <w:vAlign w:val="bottom"/>
          </w:tcPr>
          <w:p>
            <w:pPr>
              <w:spacing w:after="0"/>
              <w:rPr>
                <w:sz w:val="20"/>
                <w:szCs w:val="20"/>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2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(80,291)</w:t>
            </w:r>
          </w:p>
        </w:tc>
        <w:tc>
          <w:tcPr>
            <w:tcW w:w="1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(78,063)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(52,589)</w:t>
            </w:r>
          </w:p>
        </w:tc>
      </w:tr>
      <w:tr>
        <w:trPr>
          <w:trHeight w:val="223"/>
        </w:trPr>
        <w:tc>
          <w:tcPr>
            <w:tcW w:w="67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40,330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183,524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147,773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740" w:type="dxa"/>
            <w:vAlign w:val="bottom"/>
          </w:tcPr>
          <w:p>
            <w:pPr>
              <w:ind w:left="50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FF0FC"/>
          </w:tcPr>
          <w:p>
            <w:pPr>
              <w:spacing w:after="0"/>
              <w:rPr>
                <w:sz w:val="19"/>
                <w:szCs w:val="19"/>
                <w:color w:val="auto"/>
              </w:rPr>
            </w:pPr>
          </w:p>
        </w:tc>
      </w:tr>
      <w:tr>
        <w:trPr>
          <w:trHeight w:val="263"/>
        </w:trPr>
        <w:tc>
          <w:tcPr>
            <w:tcW w:w="6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w:t>
            </w:r>
          </w:p>
        </w:tc>
        <w:tc>
          <w:tcPr>
            <w:tcW w:w="120" w:type="dxa"/>
            <w:vAlign w:val="bottom"/>
            <w:tcBorders>
              <w:bottom w:val="single" w:sz="8" w:color="CFF0FC"/>
            </w:tcBorders>
          </w:tcPr>
          <w:p>
            <w:pPr>
              <w:spacing w:after="0"/>
              <w:rPr>
                <w:sz w:val="22"/>
                <w:szCs w:val="22"/>
                <w:color w:val="auto"/>
              </w:rPr>
            </w:pPr>
          </w:p>
        </w:tc>
      </w:tr>
      <w:tr>
        <w:trPr>
          <w:trHeight w:val="21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Interest paid during the period</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22,008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16,175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11,394</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Excise taxes paid during the period</w:t>
            </w: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Dividends declared during the period</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92,794</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84,297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81,326</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22,566</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Cash and cash equivalents may consist of demand deposits and highly liquid investments (e.g., money market funds, U.S. Treasury notes, and similar type instruments) with original maturities of three months or less.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80" w:firstLine="259"/>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3" w:name="page94"/>
    <w:bookmarkEnd w:id="93"/>
    <w:p>
      <w:pPr>
        <w:jc w:val="both"/>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2016,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88"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20" w:hanging="255"/>
        <w:spacing w:after="0"/>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17" w:lineRule="exact"/>
        <w:rPr>
          <w:rFonts w:ascii="Arial" w:cs="Arial" w:eastAsia="Arial" w:hAnsi="Arial"/>
          <w:sz w:val="18"/>
          <w:szCs w:val="18"/>
          <w:color w:val="auto"/>
        </w:rPr>
      </w:pPr>
    </w:p>
    <w:p>
      <w:pPr>
        <w:ind w:left="520" w:right="760" w:hanging="255"/>
        <w:spacing w:after="0" w:line="277"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80" w:firstLine="259"/>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obtained as well as an assessment as to their quality, such as the depth of the relevant market relative to the size of the Company’s position.</w:t>
      </w:r>
    </w:p>
    <w:p>
      <w:pPr>
        <w:spacing w:after="0" w:line="225" w:lineRule="exact"/>
        <w:rPr>
          <w:sz w:val="20"/>
          <w:szCs w:val="20"/>
          <w:color w:val="auto"/>
        </w:rPr>
      </w:pPr>
    </w:p>
    <w:p>
      <w:pPr>
        <w:ind w:right="26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77"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60" w:hanging="255"/>
        <w:spacing w:after="0" w:line="277"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40" w:firstLine="259"/>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65" w:lineRule="exact"/>
        <w:rPr>
          <w:sz w:val="20"/>
          <w:szCs w:val="20"/>
          <w:color w:val="auto"/>
        </w:rPr>
      </w:pPr>
    </w:p>
    <w:p>
      <w:pPr>
        <w:ind w:right="32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in other assets and a portion of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yield method, or straight-line method, over the stated maturity of the obligation.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60" w:firstLine="259"/>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66"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yield method.</w:t>
      </w:r>
    </w:p>
    <w:p>
      <w:pPr>
        <w:spacing w:after="0" w:line="170" w:lineRule="exact"/>
        <w:rPr>
          <w:sz w:val="20"/>
          <w:szCs w:val="20"/>
          <w:color w:val="auto"/>
        </w:rPr>
      </w:pPr>
    </w:p>
    <w:p>
      <w:pPr>
        <w:ind w:right="14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generally include syndication, structuring or diligence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71"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20" w:firstLine="259"/>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540" w:firstLine="259"/>
        <w:spacing w:after="0" w:line="27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96" w:name="page97"/>
    <w:bookmarkEnd w:id="96"/>
    <w:p>
      <w:pPr>
        <w:jc w:val="both"/>
        <w:ind w:right="420"/>
        <w:spacing w:after="0" w:line="286" w:lineRule="auto"/>
        <w:rPr>
          <w:sz w:val="20"/>
          <w:szCs w:val="20"/>
          <w:color w:val="auto"/>
        </w:rPr>
      </w:pPr>
      <w:r>
        <w:rPr>
          <w:rFonts w:ascii="Arial" w:cs="Arial" w:eastAsia="Arial" w:hAnsi="Arial"/>
          <w:sz w:val="17"/>
          <w:szCs w:val="17"/>
          <w:color w:val="auto"/>
        </w:rPr>
        <w:t>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2016</w:t>
      </w:r>
    </w:p>
    <w:p>
      <w:pPr>
        <w:spacing w:after="0" w:line="11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In April 2015, the Financial Accounting Standards Board issued Accounting Standards Update No. 2015-03 (“ASU 2015-03”), “Interest – Imputation of Interest (Subtopic 835-30): Simplifying the Presentation of Debt Issuance Costs.” ASU 2015-03 requires that debt issuance costs be presented as a direct deduction from the carrying amount of the related debt liability, consistent with the presentation of debt discounts. Prior to the issuance of ASU 2015-03, debt issuance costs were required to be presented as deferred assets, separate from the related debt liability. ASU 2015-03 does not change the recognition and measurement requirements for debt issuance costs. ASU 2015-03 is effective for financial statements issued for fiscal years beginning after December 15, 2015, and interim periods within those fiscal years, with early adoption permitted. The Company adopted this guidance during the quarter ended March 31, 2016 and adjusted prior period balance sheets to reflect the change. The adoption of this guidance did not have an impact on the Company’s results of operations or cash flows. See Note 7, “Debt” for additional disclosures required under this guidance.</w:t>
      </w:r>
    </w:p>
    <w:p>
      <w:pPr>
        <w:spacing w:after="0" w:line="179"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In August 2014, the Financial Accounting Standards Board issued Accounting Standards Update 2014–15 (“ASU 2014-15”), “Presentation of Financial Statements – Going Concern (Subtopic 205 – 40): Disclosure of Uncertainties About an Entity’s Ability to Continue as a Going Concern.” ASU 2014-15 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ASU 2014-15 is effective for the annual period ending after December 31, 2016 and for annual periods and interim periods thereafter, with early adoption permitted. The Company adopted this guidance during the quarter ended June 30, 2016. The adoption of this guidance did not have an impact on the Company’s financial position, results of operations or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In May 2014, the Financial Accounting Standards Board issued Accounting Standards Update 2014-09 (“ASU 2014-09”), “Revenue from Contracts with Customers (Topic 606).” The guidance in this ASU supersedes 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in fiscal years beginning after December 15, 2017, with early adoption permitted for interim and annual periods in fiscal years beginning after December 15, 2016. The Company is currently evaluating the impact of adopting this ASU on its consolidated financial statements.</w:t>
      </w:r>
    </w:p>
    <w:p>
      <w:pPr>
        <w:spacing w:after="0" w:line="165"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In November 2016, the Financial Accounting Standards Board issued Accounting Standards Update 2016-18 (“ASU 2016-18”), “Statement of Cash Flows (Topic 230): Restricted Cash.” The standard requires an entity’s reconciliation of the beginning-of-period and end-of-period total amounts shown on the statement of cash flows to include in cash and cash equivalents amounts generally described as restricted cash and restricted cash equivalents. ASU 2016-18 is effective for public business entities for annual and interim periods in fiscal years beginning after December 15, 2017. Early adoption is permitted, including adoption in an interim period. The Company is currently evaluating the impact of adopting this ASU on its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259"/>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5"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For the years ended December 31, 2016, 2015 and 2014, the Company incurred expenses of $3.1 million, $3.6 million and $2.7 million, respectively, for administrative services payable to the Adviser under the terms of the Administration Agreement.</w:t>
      </w:r>
    </w:p>
    <w:p>
      <w:pPr>
        <w:spacing w:after="0" w:line="170"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In November 2016, the Board renewed the Administration Agreement. Unless earlier terminated as described below, the Administration Agreement will remain in effect until November 2017,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Administration Agreement was subsequently amended on February 22, 2017 to make certain clarifications to the agreement, including with respect to the scope of the costs and expenses of the Administrator’s services. In February 2017, the Board approved an amendment to the Administration Agreement. Unless earlier terminated as described below, the Administration Agreement will remain in effect until February 2018, and may be extended subject to required approvals.</w:t>
      </w:r>
    </w:p>
    <w:p>
      <w:pPr>
        <w:spacing w:after="0" w:line="187" w:lineRule="exact"/>
        <w:rPr>
          <w:sz w:val="20"/>
          <w:szCs w:val="20"/>
          <w:color w:val="auto"/>
        </w:rPr>
      </w:pPr>
    </w:p>
    <w:p>
      <w:pPr>
        <w:ind w:right="120" w:firstLine="259"/>
        <w:spacing w:after="0" w:line="29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years ended December 31, 2016, 2015 and 2014, Management Fees were $24.3 million, $21.3 million and $18.3 million, respectively.</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Prior to the Company’s initial public offering ( the “IPO”), the Adviser had waived its right to receive the Management Fee in excess of the sum of</w:t>
      </w:r>
    </w:p>
    <w:p>
      <w:pPr>
        <w:spacing w:after="0" w:line="35" w:lineRule="exact"/>
        <w:rPr>
          <w:sz w:val="20"/>
          <w:szCs w:val="20"/>
          <w:color w:val="auto"/>
        </w:rPr>
      </w:pPr>
    </w:p>
    <w:p>
      <w:pPr>
        <w:ind w:right="360" w:firstLine="8"/>
        <w:spacing w:after="0" w:line="261" w:lineRule="auto"/>
        <w:tabs>
          <w:tab w:leader="none" w:pos="2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0.25% of aggregate committed but undrawn capital; and, (ii) 0.75% of aggregate drawn capital (including capital drawn to pay Company expenses) as determined as of the end of any calendar quarter (the “Pre-IPO Waiver”).</w:t>
      </w:r>
    </w:p>
    <w:p>
      <w:pPr>
        <w:spacing w:after="0" w:line="184"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In addition, the Adviser has voluntarily waived the Management Fee on the Company’s ownership of shares of common stock in TICC Capital Corp. (the “TICC Shares”) for any period in which TICC Capital Corp. remains a portfolio company of the Company.</w:t>
      </w:r>
    </w:p>
    <w:p>
      <w:pPr>
        <w:spacing w:after="0" w:line="170" w:lineRule="exact"/>
        <w:rPr>
          <w:sz w:val="20"/>
          <w:szCs w:val="20"/>
          <w:color w:val="auto"/>
        </w:rPr>
      </w:pPr>
    </w:p>
    <w:p>
      <w:pPr>
        <w:ind w:right="280" w:firstLine="259"/>
        <w:spacing w:after="0" w:line="286" w:lineRule="auto"/>
        <w:rPr>
          <w:sz w:val="20"/>
          <w:szCs w:val="20"/>
          <w:color w:val="auto"/>
        </w:rPr>
      </w:pPr>
      <w:r>
        <w:rPr>
          <w:rFonts w:ascii="Arial" w:cs="Arial" w:eastAsia="Arial" w:hAnsi="Arial"/>
          <w:sz w:val="17"/>
          <w:szCs w:val="17"/>
          <w:color w:val="auto"/>
        </w:rPr>
        <w:t>For the year ended December 31, 2016 and 2015, Management Fees of $0.1 million, and $0.1 million, respectively, were waived, consisting solely of Management Fees attributable to the Company’s ownership of the TICC shares. For the year ended December 31, 2014, Management Fees of $2.5 million were waived pursuant to the Pre-IPO Waiver. Any waived Management Fees are not subject to recoupment by the Adviser.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8" w:name="page99"/>
    <w:bookmarkEnd w:id="98"/>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20" w:hanging="255"/>
        <w:spacing w:after="0" w:line="254" w:lineRule="auto"/>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Through March 31, 2014, the quarter in which the Company completed its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84" w:lineRule="exact"/>
        <w:rPr>
          <w:rFonts w:ascii="Arial" w:cs="Arial" w:eastAsia="Arial" w:hAnsi="Arial"/>
          <w:sz w:val="18"/>
          <w:szCs w:val="18"/>
          <w:color w:val="auto"/>
        </w:rPr>
      </w:pPr>
    </w:p>
    <w:p>
      <w:pPr>
        <w:ind w:left="520"/>
        <w:spacing w:after="0" w:line="254" w:lineRule="auto"/>
        <w:rPr>
          <w:rFonts w:ascii="Arial" w:cs="Arial" w:eastAsia="Arial" w:hAnsi="Arial"/>
          <w:sz w:val="18"/>
          <w:szCs w:val="18"/>
          <w:color w:val="auto"/>
        </w:rPr>
      </w:pPr>
      <w:r>
        <w:rPr>
          <w:rFonts w:ascii="Arial" w:cs="Arial" w:eastAsia="Arial" w:hAnsi="Arial"/>
          <w:sz w:val="18"/>
          <w:szCs w:val="18"/>
          <w:color w:val="auto"/>
        </w:rPr>
        <w:t>Beginning April 1, 2014, the first quarter after the Company’s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4" w:lineRule="exact"/>
        <w:rPr>
          <w:rFonts w:ascii="Arial" w:cs="Arial" w:eastAsia="Arial" w:hAnsi="Arial"/>
          <w:sz w:val="18"/>
          <w:szCs w:val="18"/>
          <w:color w:val="auto"/>
        </w:rPr>
      </w:pPr>
    </w:p>
    <w:p>
      <w:pPr>
        <w:ind w:left="520" w:right="60"/>
        <w:spacing w:after="0" w:line="293" w:lineRule="auto"/>
        <w:rPr>
          <w:rFonts w:ascii="Arial" w:cs="Arial" w:eastAsia="Arial" w:hAnsi="Arial"/>
          <w:sz w:val="18"/>
          <w:szCs w:val="18"/>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56" w:lineRule="exact"/>
        <w:rPr>
          <w:rFonts w:ascii="Arial" w:cs="Arial" w:eastAsia="Arial" w:hAnsi="Arial"/>
          <w:sz w:val="18"/>
          <w:szCs w:val="18"/>
          <w:color w:val="auto"/>
        </w:rPr>
      </w:pPr>
    </w:p>
    <w:p>
      <w:pPr>
        <w:ind w:left="520" w:right="40" w:hanging="255"/>
        <w:spacing w:after="0" w:line="289" w:lineRule="auto"/>
        <w:tabs>
          <w:tab w:leader="none" w:pos="5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16" w:lineRule="exact"/>
        <w:rPr>
          <w:sz w:val="20"/>
          <w:szCs w:val="20"/>
          <w:color w:val="auto"/>
        </w:rPr>
      </w:pPr>
    </w:p>
    <w:p>
      <w:pPr>
        <w:ind w:left="520" w:hanging="255"/>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17" w:lineRule="exact"/>
        <w:rPr>
          <w:rFonts w:ascii="Arial" w:cs="Arial" w:eastAsia="Arial" w:hAnsi="Arial"/>
          <w:sz w:val="18"/>
          <w:szCs w:val="18"/>
          <w:color w:val="auto"/>
        </w:rPr>
      </w:pPr>
    </w:p>
    <w:p>
      <w:pPr>
        <w:ind w:left="520" w:right="360" w:hanging="255"/>
        <w:spacing w:after="0" w:line="277"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62" w:lineRule="exact"/>
        <w:rPr>
          <w:rFonts w:ascii="Arial" w:cs="Arial" w:eastAsia="Arial" w:hAnsi="Arial"/>
          <w:sz w:val="18"/>
          <w:szCs w:val="18"/>
          <w:color w:val="auto"/>
        </w:rPr>
      </w:pPr>
    </w:p>
    <w:p>
      <w:pPr>
        <w:ind w:left="520" w:right="280" w:hanging="255"/>
        <w:spacing w:after="0" w:line="308" w:lineRule="auto"/>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its books and records in a previous quarter).</w:t>
      </w:r>
    </w:p>
    <w:p>
      <w:pPr>
        <w:spacing w:after="0" w:line="147" w:lineRule="exact"/>
        <w:rPr>
          <w:sz w:val="20"/>
          <w:szCs w:val="20"/>
          <w:color w:val="auto"/>
        </w:rPr>
      </w:pPr>
    </w:p>
    <w:p>
      <w:pPr>
        <w:ind w:right="680" w:firstLine="259"/>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9" w:name="page100"/>
    <w:bookmarkEnd w:id="99"/>
    <w:p>
      <w:pPr>
        <w:ind w:right="140" w:firstLine="259"/>
        <w:spacing w:after="0" w:line="264" w:lineRule="auto"/>
        <w:rPr>
          <w:sz w:val="20"/>
          <w:szCs w:val="20"/>
          <w:color w:val="auto"/>
        </w:rPr>
      </w:pPr>
      <w:r>
        <w:rPr>
          <w:rFonts w:ascii="Arial" w:cs="Arial" w:eastAsia="Arial" w:hAnsi="Arial"/>
          <w:sz w:val="18"/>
          <w:szCs w:val="18"/>
          <w:color w:val="auto"/>
        </w:rPr>
        <w:t>For the year ended December 31, 2016, Incentive Fees were $22.7 million which were realized and payable to the Adviser. For the year ended December 31, 2015, Incentive Fees were $20.2 million which were realized and payable to the Adviser. For the year ended December 31, 2014, Incentive Fees were $17.8 million, of which $20.8 million were realized and payable to the Adviser.</w:t>
      </w:r>
    </w:p>
    <w:p>
      <w:pPr>
        <w:spacing w:after="0" w:line="181"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the Company as a result of the Company’s ownership of the TICC Shares for any period in which TICC Capital Corp. remains a portfolio company of the Company. The Adviser has not waived any part of the Capital Gains Fee attributable to the Company’s ownership of the TICC Shares and, accordingly, any realized capital gains or losses and unrealized capital depreciation with respect to the TICC Shares will be applied against the Company’s cumulative realized capital gains on which the Capital Gains Fee is calculated.</w:t>
      </w:r>
    </w:p>
    <w:p>
      <w:pPr>
        <w:spacing w:after="0" w:line="188" w:lineRule="exact"/>
        <w:rPr>
          <w:sz w:val="20"/>
          <w:szCs w:val="20"/>
          <w:color w:val="auto"/>
        </w:rPr>
      </w:pPr>
    </w:p>
    <w:p>
      <w:pPr>
        <w:ind w:right="240" w:firstLine="259"/>
        <w:spacing w:after="0" w:line="312" w:lineRule="auto"/>
        <w:rPr>
          <w:sz w:val="20"/>
          <w:szCs w:val="20"/>
          <w:color w:val="auto"/>
        </w:rPr>
      </w:pPr>
      <w:r>
        <w:rPr>
          <w:rFonts w:ascii="Arial" w:cs="Arial" w:eastAsia="Arial" w:hAnsi="Arial"/>
          <w:sz w:val="16"/>
          <w:szCs w:val="16"/>
          <w:color w:val="auto"/>
        </w:rPr>
        <w:t>For the years ended December 31, 2016 and 2015, Incentive Fees of $0.3 million and $0.2 million, respectively, were waived, consisting solely of Incentive Fees attributable to the Company’s ownership of the TICC Shares. For the year ending December 31, 2014 no Incentive Fees were waived, as the Company did not hold any TICC Shares during such periods. Any waived Incentive Fees are not subject to recoupment by the Adviser.</w:t>
      </w:r>
    </w:p>
    <w:p>
      <w:pPr>
        <w:spacing w:after="0" w:line="147"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color w:val="auto"/>
        </w:rPr>
        <w:t>Since the Company’s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the Company’s ownership of the TICC Shares, as the Adviser can discontinue the voluntary waiver at any time. Accordingly, the Company may be required to continue to pay the full amount of the Management Fee and Incentive Fee, including with respect to the TICC Shares, in future periods.</w:t>
      </w:r>
    </w:p>
    <w:p>
      <w:pPr>
        <w:spacing w:after="0" w:line="173" w:lineRule="exact"/>
        <w:rPr>
          <w:sz w:val="20"/>
          <w:szCs w:val="20"/>
          <w:color w:val="auto"/>
        </w:rPr>
      </w:pPr>
    </w:p>
    <w:p>
      <w:pPr>
        <w:ind w:right="200" w:firstLine="259"/>
        <w:spacing w:after="0" w:line="312" w:lineRule="auto"/>
        <w:rPr>
          <w:sz w:val="20"/>
          <w:szCs w:val="20"/>
          <w:color w:val="auto"/>
        </w:rPr>
      </w:pPr>
      <w:r>
        <w:rPr>
          <w:rFonts w:ascii="Arial" w:cs="Arial" w:eastAsia="Arial" w:hAnsi="Arial"/>
          <w:sz w:val="16"/>
          <w:szCs w:val="16"/>
          <w:color w:val="auto"/>
        </w:rPr>
        <w:t>In November 2016, the Board renewed the Investment Advisory Agreement. Unless earlier terminated as described below, the Investment Advisory Agreement will remain in effect until November 2017,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40" w:firstLine="259"/>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December 31,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2016</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6"/>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720" w:type="dxa"/>
            <w:vAlign w:val="bottom"/>
            <w:gridSpan w:val="3"/>
          </w:tcPr>
          <w:p>
            <w:pPr>
              <w:ind w:left="154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Gain (Loss)</w:t>
            </w: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5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1,592,753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1,599,578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6,825</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(4,382)</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(12,655)</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7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1,667,687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00" w:type="dxa"/>
            <w:vAlign w:val="bottom"/>
            <w:gridSpan w:val="2"/>
          </w:tcPr>
          <w:p>
            <w:pPr>
              <w:ind w:left="620"/>
              <w:spacing w:after="0"/>
              <w:rPr>
                <w:sz w:val="20"/>
                <w:szCs w:val="20"/>
                <w:color w:val="auto"/>
              </w:rPr>
            </w:pPr>
            <w:r>
              <w:rPr>
                <w:rFonts w:ascii="Arial" w:cs="Arial" w:eastAsia="Arial" w:hAnsi="Arial"/>
                <w:sz w:val="18"/>
                <w:szCs w:val="18"/>
                <w:color w:val="auto"/>
              </w:rPr>
              <w:t>F-23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00" w:name="page101"/>
    <w:bookmarkEnd w:id="100"/>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2015</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80" w:type="dxa"/>
            <w:vAlign w:val="bottom"/>
            <w:gridSpan w:val="3"/>
          </w:tcPr>
          <w:p>
            <w:pPr>
              <w:ind w:left="110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w:t>
            </w: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1,333,080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1,310,183</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126,049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121,222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(4,827)</w:t>
            </w: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(1,785)</w:t>
            </w: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(14,458)</w:t>
            </w: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1,529,676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1,485,709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80" w:hanging="512"/>
        <w:spacing w:after="0" w:line="277" w:lineRule="auto"/>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December 31, 2016 and 2015 is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5"/>
              </w:rPr>
              <w:t>December 31, 2016</w:t>
            </w:r>
          </w:p>
        </w:tc>
        <w:tc>
          <w:tcPr>
            <w:tcW w:w="30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December 31, 2015</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22.6%</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Chemicals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Electronics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Healthcare</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Internet services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Office products</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Real Estate</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Retail and consumer products</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Transportation</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December 31, 2016 and 2015 is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December 31, 2016</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Midwest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29.3%</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South</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Canada</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forward exchange rate as of the measurement date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01" w:name="page102"/>
    <w:bookmarkEnd w:id="101"/>
    <w:p>
      <w:pPr>
        <w:jc w:val="both"/>
        <w:ind w:right="260"/>
        <w:spacing w:after="0" w:line="286" w:lineRule="auto"/>
        <w:rPr>
          <w:sz w:val="20"/>
          <w:szCs w:val="20"/>
          <w:color w:val="auto"/>
        </w:rPr>
      </w:pPr>
      <w:r>
        <w:rPr>
          <w:rFonts w:ascii="Arial" w:cs="Arial" w:eastAsia="Arial" w:hAnsi="Arial"/>
          <w:sz w:val="17"/>
          <w:szCs w:val="17"/>
          <w:color w:val="auto"/>
        </w:rPr>
        <w:t>unrealized appreciation or depreciation. Realized gains or losses are recognized when contracts are settled. The foreign currency forward contracts that 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66" w:lineRule="exact"/>
        <w:rPr>
          <w:sz w:val="20"/>
          <w:szCs w:val="20"/>
          <w:color w:val="auto"/>
        </w:rPr>
      </w:pPr>
    </w:p>
    <w:p>
      <w:pPr>
        <w:ind w:right="120" w:firstLine="259"/>
        <w:spacing w:after="0" w:line="342" w:lineRule="auto"/>
        <w:rPr>
          <w:sz w:val="20"/>
          <w:szCs w:val="20"/>
          <w:color w:val="auto"/>
        </w:rPr>
      </w:pPr>
      <w:r>
        <w:rPr>
          <w:rFonts w:ascii="Arial" w:cs="Arial" w:eastAsia="Arial" w:hAnsi="Arial"/>
          <w:sz w:val="16"/>
          <w:szCs w:val="16"/>
          <w:color w:val="auto"/>
        </w:rPr>
        <w:t>During the year ended December 31, 2016, the Company entered into foreign currency forward contracts to facilitate settlement of purchases and sales of investments denominated in foreign currencies. The Company did not have any open foreign currency forward contracts as of December 31, 2016.</w:t>
      </w:r>
    </w:p>
    <w:p>
      <w:pPr>
        <w:spacing w:after="0" w:line="124"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unrealized and realized gains and losses within the Company’s consolidated statements of operations. Unrealized gains and losses on foreign currency forward contracts are also included in net unrealized gains (losses) within the Company’s consolidated balance sheets.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In June 2014, in connection with the issuance of the 2019 Convertible Senior Notes, the Company entered into two interest rate swap transactions, each with a $57.5 million notional amount. As of December 31, 2014 the Company received fixed rate interest at 4.50% and paid variable rate interest based on the three-month London Interbank Offered Rate (“LIBOR”) plus 252.9 basis points.</w:t>
      </w:r>
    </w:p>
    <w:p>
      <w:pPr>
        <w:spacing w:after="0" w:line="181" w:lineRule="exact"/>
        <w:rPr>
          <w:sz w:val="20"/>
          <w:szCs w:val="20"/>
          <w:color w:val="auto"/>
        </w:rPr>
      </w:pPr>
    </w:p>
    <w:p>
      <w:pPr>
        <w:ind w:right="80" w:firstLine="259"/>
        <w:spacing w:after="0" w:line="308" w:lineRule="auto"/>
        <w:rPr>
          <w:sz w:val="20"/>
          <w:szCs w:val="20"/>
          <w:color w:val="auto"/>
        </w:rPr>
      </w:pPr>
      <w:r>
        <w:rPr>
          <w:rFonts w:ascii="Arial" w:cs="Arial" w:eastAsia="Arial" w:hAnsi="Arial"/>
          <w:sz w:val="17"/>
          <w:szCs w:val="17"/>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47" w:lineRule="exact"/>
        <w:rPr>
          <w:sz w:val="20"/>
          <w:szCs w:val="20"/>
          <w:color w:val="auto"/>
        </w:rPr>
      </w:pPr>
    </w:p>
    <w:p>
      <w:pPr>
        <w:ind w:right="300" w:firstLine="259"/>
        <w:spacing w:after="0" w:line="342" w:lineRule="auto"/>
        <w:rPr>
          <w:sz w:val="20"/>
          <w:szCs w:val="20"/>
          <w:color w:val="auto"/>
        </w:rPr>
      </w:pPr>
      <w:r>
        <w:rPr>
          <w:rFonts w:ascii="Arial" w:cs="Arial" w:eastAsia="Arial" w:hAnsi="Arial"/>
          <w:sz w:val="16"/>
          <w:szCs w:val="16"/>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 on October 5, 2018.</w:t>
      </w:r>
    </w:p>
    <w:p>
      <w:pPr>
        <w:spacing w:after="0" w:line="124"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The following tables present the gross and net information on the Company’s interest rate swap transactions that are eligible for offset in the Company’s consolidated balance sheets as of December 31, 2016 and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December 31, 2016</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3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6"/>
              </w:rPr>
              <w:t>Notional</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3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Offset in the</w:t>
            </w:r>
          </w:p>
        </w:tc>
        <w:tc>
          <w:tcPr>
            <w:tcW w:w="218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Net Amount of Assets in the</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Account in the Consolidated</w:t>
            </w:r>
          </w:p>
        </w:tc>
        <w:tc>
          <w:tcPr>
            <w:tcW w:w="0" w:type="dxa"/>
            <w:vAlign w:val="bottom"/>
          </w:tcPr>
          <w:p>
            <w:pPr>
              <w:spacing w:after="0"/>
              <w:rPr>
                <w:sz w:val="1"/>
                <w:szCs w:val="1"/>
                <w:color w:val="auto"/>
              </w:rPr>
            </w:pPr>
          </w:p>
        </w:tc>
      </w:tr>
      <w:tr>
        <w:trPr>
          <w:trHeight w:val="149"/>
        </w:trPr>
        <w:tc>
          <w:tcPr>
            <w:tcW w:w="198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620" w:type="dxa"/>
            <w:vAlign w:val="bottom"/>
            <w:gridSpan w:val="3"/>
            <w:vMerge w:val="restart"/>
          </w:tcPr>
          <w:p>
            <w:pPr>
              <w:jc w:val="right"/>
              <w:ind w:right="465"/>
              <w:spacing w:after="0"/>
              <w:rPr>
                <w:sz w:val="20"/>
                <w:szCs w:val="20"/>
                <w:color w:val="auto"/>
              </w:rPr>
            </w:pPr>
            <w:r>
              <w:rPr>
                <w:rFonts w:ascii="Arial" w:cs="Arial" w:eastAsia="Arial" w:hAnsi="Arial"/>
                <w:sz w:val="14"/>
                <w:szCs w:val="14"/>
                <w:b w:val="1"/>
                <w:bCs w:val="1"/>
                <w:color w:val="auto"/>
              </w:rPr>
              <w:t>Maturity Date</w:t>
            </w: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Consolidated Balance Sheets</w:t>
            </w: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vMerge w:val="continue"/>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Balance Sheets</w:t>
            </w:r>
          </w:p>
        </w:tc>
        <w:tc>
          <w:tcPr>
            <w:tcW w:w="480" w:type="dxa"/>
            <w:vAlign w:val="bottom"/>
          </w:tcPr>
          <w:p>
            <w:pPr>
              <w:spacing w:after="0"/>
              <w:rPr>
                <w:sz w:val="14"/>
                <w:szCs w:val="14"/>
                <w:color w:val="auto"/>
              </w:rPr>
            </w:pPr>
          </w:p>
        </w:tc>
        <w:tc>
          <w:tcPr>
            <w:tcW w:w="1420" w:type="dxa"/>
            <w:vAlign w:val="bottom"/>
          </w:tcPr>
          <w:p>
            <w:pPr>
              <w:jc w:val="center"/>
              <w:ind w:right="417"/>
              <w:spacing w:after="0"/>
              <w:rPr>
                <w:sz w:val="20"/>
                <w:szCs w:val="20"/>
                <w:color w:val="auto"/>
              </w:rPr>
            </w:pP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09"/>
        </w:trPr>
        <w:tc>
          <w:tcPr>
            <w:tcW w:w="19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Receivable for interest rate</w:t>
            </w: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12/15/2019  $</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(207)</w:t>
            </w: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(207)</w:t>
            </w:r>
          </w:p>
        </w:tc>
        <w:tc>
          <w:tcPr>
            <w:tcW w:w="1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swaps</w:t>
            </w:r>
          </w:p>
        </w:tc>
        <w:tc>
          <w:tcPr>
            <w:tcW w:w="0" w:type="dxa"/>
            <w:vAlign w:val="bottom"/>
          </w:tcPr>
          <w:p>
            <w:pPr>
              <w:spacing w:after="0"/>
              <w:rPr>
                <w:sz w:val="1"/>
                <w:szCs w:val="1"/>
                <w:color w:val="auto"/>
              </w:rPr>
            </w:pPr>
          </w:p>
        </w:tc>
      </w:tr>
      <w:tr>
        <w:trPr>
          <w:trHeight w:val="215"/>
        </w:trPr>
        <w:tc>
          <w:tcPr>
            <w:tcW w:w="1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Receivable for interest rate</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Interest rate swap</w:t>
            </w:r>
          </w:p>
        </w:tc>
        <w:tc>
          <w:tcPr>
            <w:tcW w:w="1300" w:type="dxa"/>
            <w:vAlign w:val="bottom"/>
          </w:tcPr>
          <w:p>
            <w:pPr>
              <w:jc w:val="right"/>
              <w:spacing w:after="0"/>
              <w:rPr>
                <w:sz w:val="20"/>
                <w:szCs w:val="20"/>
                <w:color w:val="auto"/>
              </w:rPr>
            </w:pPr>
            <w:r>
              <w:rPr>
                <w:rFonts w:ascii="Arial" w:cs="Arial" w:eastAsia="Arial" w:hAnsi="Arial"/>
                <w:sz w:val="18"/>
                <w:szCs w:val="18"/>
                <w:color w:val="auto"/>
              </w:rPr>
              <w:t>10/5/2018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swaps</w:t>
            </w:r>
          </w:p>
        </w:tc>
        <w:tc>
          <w:tcPr>
            <w:tcW w:w="0" w:type="dxa"/>
            <w:vAlign w:val="bottom"/>
          </w:tcPr>
          <w:p>
            <w:pPr>
              <w:spacing w:after="0"/>
              <w:rPr>
                <w:sz w:val="1"/>
                <w:szCs w:val="1"/>
                <w:color w:val="auto"/>
              </w:rPr>
            </w:pPr>
          </w:p>
        </w:tc>
      </w:tr>
      <w:tr>
        <w:trPr>
          <w:trHeight w:val="223"/>
        </w:trPr>
        <w:tc>
          <w:tcPr>
            <w:tcW w:w="19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98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300" w:hanging="512"/>
        <w:spacing w:after="0" w:line="277"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 2015</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6"/>
              </w:rPr>
              <w:t>Notional</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9"/>
              <w:spacing w:after="0" w:line="158" w:lineRule="exact"/>
              <w:rPr>
                <w:sz w:val="20"/>
                <w:szCs w:val="20"/>
                <w:color w:val="auto"/>
              </w:rPr>
            </w:pPr>
            <w:r>
              <w:rPr>
                <w:rFonts w:ascii="Arial" w:cs="Arial" w:eastAsia="Arial" w:hAnsi="Arial"/>
                <w:sz w:val="14"/>
                <w:szCs w:val="14"/>
                <w:b w:val="1"/>
                <w:bCs w:val="1"/>
                <w:color w:val="auto"/>
                <w:w w:val="94"/>
              </w:rPr>
              <w:t>Amount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Offset in the</w:t>
            </w:r>
          </w:p>
        </w:tc>
        <w:tc>
          <w:tcPr>
            <w:tcW w:w="19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Net Amount of Assets in the</w:t>
            </w:r>
          </w:p>
        </w:tc>
        <w:tc>
          <w:tcPr>
            <w:tcW w:w="280" w:type="dxa"/>
            <w:vAlign w:val="bottom"/>
          </w:tcPr>
          <w:p>
            <w:pPr>
              <w:spacing w:after="0"/>
              <w:rPr>
                <w:sz w:val="13"/>
                <w:szCs w:val="13"/>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Account in the 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620" w:type="dxa"/>
            <w:vAlign w:val="bottom"/>
            <w:gridSpan w:val="3"/>
            <w:vMerge w:val="restart"/>
          </w:tcPr>
          <w:p>
            <w:pPr>
              <w:jc w:val="right"/>
              <w:ind w:right="465"/>
              <w:spacing w:after="0"/>
              <w:rPr>
                <w:sz w:val="20"/>
                <w:szCs w:val="20"/>
                <w:color w:val="auto"/>
              </w:rPr>
            </w:pPr>
            <w:r>
              <w:rPr>
                <w:rFonts w:ascii="Arial" w:cs="Arial" w:eastAsia="Arial" w:hAnsi="Arial"/>
                <w:sz w:val="14"/>
                <w:szCs w:val="14"/>
                <w:b w:val="1"/>
                <w:bCs w:val="1"/>
                <w:color w:val="auto"/>
              </w:rPr>
              <w:t>Maturity Date</w:t>
            </w: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Consolidated Balance Sheets</w:t>
            </w:r>
          </w:p>
        </w:tc>
        <w:tc>
          <w:tcPr>
            <w:tcW w:w="28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vMerge w:val="continue"/>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82"/>
              </w:rPr>
              <w:t>Assets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Balance Sheets</w:t>
            </w:r>
          </w:p>
        </w:tc>
        <w:tc>
          <w:tcPr>
            <w:tcW w:w="480" w:type="dxa"/>
            <w:vAlign w:val="bottom"/>
          </w:tcPr>
          <w:p>
            <w:pPr>
              <w:spacing w:after="0"/>
              <w:rPr>
                <w:sz w:val="14"/>
                <w:szCs w:val="14"/>
                <w:color w:val="auto"/>
              </w:rPr>
            </w:pPr>
          </w:p>
        </w:tc>
        <w:tc>
          <w:tcPr>
            <w:tcW w:w="1420" w:type="dxa"/>
            <w:vAlign w:val="bottom"/>
          </w:tcPr>
          <w:p>
            <w:pPr>
              <w:jc w:val="center"/>
              <w:ind w:right="417"/>
              <w:spacing w:after="0"/>
              <w:rPr>
                <w:sz w:val="20"/>
                <w:szCs w:val="20"/>
                <w:color w:val="auto"/>
              </w:rPr>
            </w:pP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Receivable for interest rate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12/15/2019  $</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FF0FC"/>
          </w:tcPr>
          <w:p>
            <w:pPr>
              <w:spacing w:after="0"/>
              <w:rPr>
                <w:sz w:val="20"/>
                <w:szCs w:val="20"/>
                <w:color w:val="auto"/>
              </w:rPr>
            </w:pPr>
          </w:p>
        </w:tc>
        <w:tc>
          <w:tcPr>
            <w:tcW w:w="1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swaps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Receivable for interest rate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Interest rate swap</w:t>
            </w:r>
          </w:p>
        </w:tc>
        <w:tc>
          <w:tcPr>
            <w:tcW w:w="1300" w:type="dxa"/>
            <w:vAlign w:val="bottom"/>
          </w:tcPr>
          <w:p>
            <w:pPr>
              <w:jc w:val="right"/>
              <w:spacing w:after="0"/>
              <w:rPr>
                <w:sz w:val="20"/>
                <w:szCs w:val="20"/>
                <w:color w:val="auto"/>
              </w:rPr>
            </w:pPr>
            <w:r>
              <w:rPr>
                <w:rFonts w:ascii="Arial" w:cs="Arial" w:eastAsia="Arial" w:hAnsi="Arial"/>
                <w:sz w:val="18"/>
                <w:szCs w:val="18"/>
                <w:color w:val="auto"/>
              </w:rPr>
              <w:t>10/5/2018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swaps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980" w:type="dxa"/>
            <w:vAlign w:val="bottom"/>
            <w:tcBorders>
              <w:top w:val="single" w:sz="8" w:color="auto"/>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F-25</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02" w:name="page103"/>
    <w:bookmarkEnd w:id="102"/>
    <w:p>
      <w:pPr>
        <w:ind w:left="380" w:right="80" w:hanging="372"/>
        <w:spacing w:after="0" w:line="277" w:lineRule="auto"/>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ind w:right="240" w:firstLine="259"/>
        <w:spacing w:after="0" w:line="286" w:lineRule="auto"/>
        <w:rPr>
          <w:sz w:val="20"/>
          <w:szCs w:val="20"/>
          <w:color w:val="auto"/>
        </w:rPr>
      </w:pPr>
      <w:r>
        <w:rPr>
          <w:rFonts w:ascii="Arial" w:cs="Arial" w:eastAsia="Arial" w:hAnsi="Arial"/>
          <w:sz w:val="17"/>
          <w:szCs w:val="17"/>
          <w:color w:val="auto"/>
        </w:rPr>
        <w:t>During the years ended December 31, 2016, 2015 and 2014, the Company received $5.2 million, $5.2 million, and $2.6 million, respectively, and paid $4.1 million, $3.7 million, and $1.6 million, respectively, related to the quarterly settlements of its $115 million notional amount interest rate swap. The net amounts of these settlements are reductions to interest expense in the Company’s consolidated statements of operations.</w:t>
      </w:r>
    </w:p>
    <w:p>
      <w:pPr>
        <w:spacing w:after="0" w:line="166"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During the year ended December 31, 2016 the Company received $0.5 million and paid $1.1 million related to the quarterly settlements of its $92.5 million notional amount interest rate swap. The net amounts of these settlements are a reduction to interest income in the Company’s consolidated statements of operations.</w:t>
      </w:r>
    </w:p>
    <w:p>
      <w:pPr>
        <w:spacing w:after="0" w:line="181" w:lineRule="exact"/>
        <w:rPr>
          <w:sz w:val="20"/>
          <w:szCs w:val="20"/>
          <w:color w:val="auto"/>
        </w:rPr>
      </w:pPr>
    </w:p>
    <w:p>
      <w:pPr>
        <w:jc w:val="both"/>
        <w:ind w:right="160" w:firstLine="259"/>
        <w:spacing w:after="0" w:line="312" w:lineRule="auto"/>
        <w:rPr>
          <w:sz w:val="20"/>
          <w:szCs w:val="20"/>
          <w:color w:val="auto"/>
        </w:rPr>
      </w:pPr>
      <w:r>
        <w:rPr>
          <w:rFonts w:ascii="Arial" w:cs="Arial" w:eastAsia="Arial" w:hAnsi="Arial"/>
          <w:sz w:val="16"/>
          <w:szCs w:val="16"/>
          <w:color w:val="auto"/>
        </w:rPr>
        <w:t>For the years ended December 31, 2016 and 2015, the Company recognized ($0.3) million and ($0.6) million, respectively, in unrealized depreciation on derivatives in the consolidated statement of operations related to the swap transactions. As of December 31, 2016, and 2015, the swap transactions had a fair value of $0.1 million, and $0.4 million, respectively, which is included in receivable for interest rate swaps on the Company’s consolidated balance sheet.</w:t>
      </w:r>
    </w:p>
    <w:p>
      <w:pPr>
        <w:spacing w:after="0" w:line="147" w:lineRule="exact"/>
        <w:rPr>
          <w:sz w:val="20"/>
          <w:szCs w:val="20"/>
          <w:color w:val="auto"/>
        </w:rPr>
      </w:pPr>
    </w:p>
    <w:p>
      <w:pPr>
        <w:ind w:right="100" w:firstLine="259"/>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December 31, 2016, $1.1 million of cash is pledged as collateral under the Company’s derivative instruments and is included in restricted cash as a component of other assets on the Company’s consolidated balance sheet. The Company also had $0.9 million of cash collateral posted as of December 31, 2015, which is also included in restricted cash as a component of other assets on the Company’s consolidated balance sheet.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December 31, 2016 and 2015:</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4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w w:val="96"/>
              </w:rPr>
              <w:t>Fair Value Hierarchy at December 31, 2016</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156"/>
        </w:trPr>
        <w:tc>
          <w:tcPr>
            <w:tcW w:w="52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3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3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145,491</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1,454,087</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$ 1,599,578</w:t>
            </w:r>
          </w:p>
        </w:tc>
        <w:tc>
          <w:tcPr>
            <w:tcW w:w="8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16,227</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19,577</w:t>
            </w:r>
          </w:p>
        </w:tc>
        <w:tc>
          <w:tcPr>
            <w:tcW w:w="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10,681</w:t>
            </w:r>
          </w:p>
        </w:tc>
        <w:tc>
          <w:tcPr>
            <w:tcW w:w="8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8,522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12,465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27,567</w:t>
            </w:r>
          </w:p>
        </w:tc>
        <w:tc>
          <w:tcPr>
            <w:tcW w:w="80" w:type="dxa"/>
            <w:vAlign w:val="bottom"/>
          </w:tcPr>
          <w:p>
            <w:pPr>
              <w:spacing w:after="0"/>
              <w:rPr>
                <w:sz w:val="19"/>
                <w:szCs w:val="19"/>
                <w:color w:val="auto"/>
              </w:rPr>
            </w:pPr>
          </w:p>
        </w:tc>
      </w:tr>
      <w:tr>
        <w:trPr>
          <w:trHeight w:val="223"/>
        </w:trPr>
        <w:tc>
          <w:tcPr>
            <w:tcW w:w="5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12,091</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175,410</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1,469,902</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$ 1,657,403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r>
      <w:tr>
        <w:trPr>
          <w:trHeight w:val="223"/>
        </w:trPr>
        <w:tc>
          <w:tcPr>
            <w:tcW w:w="52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12,091</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175,479</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1,469,902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$ 1,657,472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20" w:type="dxa"/>
            <w:vAlign w:val="bottom"/>
            <w:gridSpan w:val="7"/>
          </w:tcPr>
          <w:p>
            <w:pPr>
              <w:ind w:left="40"/>
              <w:spacing w:after="0"/>
              <w:rPr>
                <w:sz w:val="20"/>
                <w:szCs w:val="20"/>
                <w:color w:val="auto"/>
              </w:rPr>
            </w:pPr>
            <w:r>
              <w:rPr>
                <w:rFonts w:ascii="Arial" w:cs="Arial" w:eastAsia="Arial" w:hAnsi="Arial"/>
                <w:sz w:val="14"/>
                <w:szCs w:val="14"/>
                <w:b w:val="1"/>
                <w:bCs w:val="1"/>
                <w:color w:val="auto"/>
                <w:w w:val="94"/>
              </w:rPr>
              <w:t>Fair Value Hierarchy at December 31, 2015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6"/>
        </w:trPr>
        <w:tc>
          <w:tcPr>
            <w:tcW w:w="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r>
      <w:tr>
        <w:trPr>
          <w:trHeight w:val="156"/>
        </w:trPr>
        <w:tc>
          <w:tcPr>
            <w:tcW w:w="5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6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80,692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1,229,491</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1,310,183</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90,441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121,222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6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26,338</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6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139,838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1,335,938</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1,485,709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1,335,938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1,486,111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80" w:type="dxa"/>
            <w:vAlign w:val="bottom"/>
            <w:gridSpan w:val="2"/>
          </w:tcPr>
          <w:p>
            <w:pPr>
              <w:jc w:val="right"/>
              <w:ind w:right="125"/>
              <w:spacing w:after="0"/>
              <w:rPr>
                <w:sz w:val="20"/>
                <w:szCs w:val="20"/>
                <w:color w:val="auto"/>
              </w:rPr>
            </w:pPr>
            <w:r>
              <w:rPr>
                <w:rFonts w:ascii="Arial" w:cs="Arial" w:eastAsia="Arial" w:hAnsi="Arial"/>
                <w:sz w:val="18"/>
                <w:szCs w:val="18"/>
                <w:color w:val="auto"/>
              </w:rPr>
              <w:t>F-26</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03" w:name="page104"/>
    <w:bookmarkEnd w:id="103"/>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2016 and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ind w:left="100"/>
              <w:spacing w:after="0"/>
              <w:rPr>
                <w:sz w:val="20"/>
                <w:szCs w:val="20"/>
                <w:color w:val="auto"/>
              </w:rPr>
            </w:pPr>
            <w:r>
              <w:rPr>
                <w:rFonts w:ascii="Arial" w:cs="Arial" w:eastAsia="Arial" w:hAnsi="Arial"/>
                <w:sz w:val="14"/>
                <w:szCs w:val="14"/>
                <w:b w:val="1"/>
                <w:bCs w:val="1"/>
                <w:color w:val="auto"/>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1,229,491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1,335,940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675,813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675,808</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investments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(241)</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(455,697)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(520,362)</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8,920</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22,106</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(8,585)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(8,506)</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13,547</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Transfers within Level 3</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(34,082)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(58,456)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(57,310)</w:t>
            </w: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1,469,902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Idera and Quiksilver – Boardriders SA were transferred out of Level 3 for fair value measurement purposes during the year ended December 31, 2016, as a result of changes in the observability of inputs into these securities valuations. Vertellus was transferred into Level 3 fair value measurement purposes as a result of changes in the observability of inputs into the valuation. APX Group was transferred into Level 1 as a result of changes in the observability of inputs into the valuation.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7"/>
              </w:rPr>
              <w:t>Mezzanine</w:t>
            </w: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1,059,336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1,134,474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632,277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670,321</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investments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(22,344)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(22,344)</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(438,438)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(4,887)</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(443,325)</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5,411</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change in unrealized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(6,169)</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(22,031)</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(2,525)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(2,837)</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(5,362)</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11,813</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6,981</w:t>
            </w:r>
          </w:p>
        </w:tc>
        <w:tc>
          <w:tcPr>
            <w:tcW w:w="100" w:type="dxa"/>
            <w:vAlign w:val="bottom"/>
            <w:shd w:val="clear" w:color="auto" w:fill="CFF0FC"/>
          </w:tcPr>
          <w:p>
            <w:pPr>
              <w:spacing w:after="0"/>
              <w:rPr>
                <w:sz w:val="19"/>
                <w:szCs w:val="19"/>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1,229,491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1,335,938</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Quiksilver – Boardriders SA and Sears were transferred into Level 3 for fair value measurement purposes during the year ended December 31, 2015, as a result of changes in the observability of inputs into these securities valuations.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4" w:name="page105"/>
    <w:bookmarkEnd w:id="104"/>
    <w:p>
      <w:pPr>
        <w:ind w:right="300" w:firstLine="259"/>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2016 and 2015:</w:t>
      </w:r>
    </w:p>
    <w:p>
      <w:pPr>
        <w:sectPr>
          <w:pgSz w:w="11900" w:h="16838" w:orient="portrait"/>
          <w:cols w:equalWidth="0" w:num="1">
            <w:col w:w="11420"/>
          </w:cols>
          <w:pgMar w:left="240" w:top="557" w:right="239" w:bottom="1440" w:gutter="0" w:footer="0" w:header="0"/>
        </w:sectPr>
      </w:pPr>
    </w:p>
    <w:p>
      <w:pPr>
        <w:spacing w:after="0" w:line="243"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Net Change in Unrealized</w:t>
      </w:r>
    </w:p>
    <w:p>
      <w:pPr>
        <w:spacing w:after="0" w:line="17" w:lineRule="exact"/>
        <w:rPr>
          <w:sz w:val="20"/>
          <w:szCs w:val="20"/>
          <w:color w:val="auto"/>
        </w:rPr>
      </w:pPr>
    </w:p>
    <w:p>
      <w:pPr>
        <w:jc w:val="center"/>
        <w:ind w:left="5080"/>
        <w:spacing w:after="0"/>
        <w:rPr>
          <w:sz w:val="20"/>
          <w:szCs w:val="20"/>
          <w:color w:val="auto"/>
        </w:rPr>
      </w:pPr>
      <w:r>
        <w:rPr>
          <w:rFonts w:ascii="Arial" w:cs="Arial" w:eastAsia="Arial" w:hAnsi="Arial"/>
          <w:sz w:val="13"/>
          <w:szCs w:val="13"/>
          <w:b w:val="1"/>
          <w:bCs w:val="1"/>
          <w:color w:val="auto"/>
        </w:rPr>
        <w:t>Appreciation or (Depreciation)</w:t>
      </w:r>
    </w:p>
    <w:p>
      <w:pPr>
        <w:spacing w:after="0" w:line="13"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December 31, 2016 on</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Investments Held at</w:t>
      </w:r>
    </w:p>
    <w:p>
      <w:pPr>
        <w:ind w:left="5440"/>
        <w:spacing w:after="0" w:line="233" w:lineRule="auto"/>
        <w:rPr>
          <w:sz w:val="20"/>
          <w:szCs w:val="20"/>
          <w:color w:val="auto"/>
        </w:rPr>
      </w:pP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Net Change in Unrealized</w:t>
      </w:r>
    </w:p>
    <w:p>
      <w:pPr>
        <w:spacing w:after="0" w:line="17" w:lineRule="exact"/>
        <w:rPr>
          <w:sz w:val="20"/>
          <w:szCs w:val="20"/>
          <w:color w:val="auto"/>
        </w:rPr>
      </w:pPr>
    </w:p>
    <w:p>
      <w:pPr>
        <w:jc w:val="center"/>
        <w:ind w:right="1980"/>
        <w:spacing w:after="0"/>
        <w:rPr>
          <w:sz w:val="20"/>
          <w:szCs w:val="20"/>
          <w:color w:val="auto"/>
        </w:rPr>
      </w:pPr>
      <w:r>
        <w:rPr>
          <w:rFonts w:ascii="Arial" w:cs="Arial" w:eastAsia="Arial" w:hAnsi="Arial"/>
          <w:sz w:val="13"/>
          <w:szCs w:val="13"/>
          <w:b w:val="1"/>
          <w:bCs w:val="1"/>
          <w:color w:val="auto"/>
        </w:rPr>
        <w:t>Appreciation or (Depreciation)</w:t>
      </w:r>
    </w:p>
    <w:p>
      <w:pPr>
        <w:spacing w:after="0" w:line="13"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December 31, 2015 on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Investments Held at</w:t>
      </w:r>
    </w:p>
    <w:p>
      <w:pPr>
        <w:ind w:left="360"/>
        <w:spacing w:after="0" w:line="233" w:lineRule="auto"/>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p>
    <w:p>
      <w:pPr>
        <w:sectPr>
          <w:pgSz w:w="11900" w:h="16838" w:orient="portrait"/>
          <w:cols w:equalWidth="0" w:num="2">
            <w:col w:w="6980" w:space="560"/>
            <w:col w:w="3880"/>
          </w:cols>
          <w:pgMar w:left="240" w:top="557" w:right="239" w:bottom="1440" w:gutter="0" w:footer="0" w:header="0"/>
          <w:type w:val="continuous"/>
        </w:sectPr>
      </w:pPr>
    </w:p>
    <w:tbl>
      <w:tblPr>
        <w:tblLayout w:type="fixed"/>
        <w:tblInd w:w="1720" w:type="dxa"/>
        <w:tblCellMar>
          <w:top w:w="0" w:type="dxa"/>
          <w:left w:w="0" w:type="dxa"/>
          <w:bottom w:w="0" w:type="dxa"/>
          <w:right w:w="0" w:type="dxa"/>
        </w:tblCellMar>
      </w:tblPr>
      <w:tr>
        <w:trPr>
          <w:trHeight w:val="20"/>
        </w:trPr>
        <w:tc>
          <w:tcPr>
            <w:tcW w:w="31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3"/>
        </w:trPr>
        <w:tc>
          <w:tcPr>
            <w:tcW w:w="31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First-lien debt investments</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18,229</w:t>
            </w:r>
          </w:p>
        </w:tc>
        <w:tc>
          <w:tcPr>
            <w:tcW w:w="1100" w:type="dxa"/>
            <w:vAlign w:val="bottom"/>
            <w:gridSpan w:val="2"/>
            <w:shd w:val="clear" w:color="auto" w:fill="CFF0FC"/>
          </w:tcPr>
          <w:p>
            <w:pPr>
              <w:jc w:val="right"/>
              <w:ind w:right="745"/>
              <w:spacing w:after="0" w:line="203"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(9,373)</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(2,374)</w:t>
            </w:r>
          </w:p>
        </w:tc>
      </w:tr>
      <w:tr>
        <w:trPr>
          <w:trHeight w:val="215"/>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w:t>
            </w:r>
          </w:p>
        </w:tc>
        <w:tc>
          <w:tcPr>
            <w:tcW w:w="9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9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FF0FC"/>
          </w:tcPr>
          <w:p>
            <w:pPr>
              <w:spacing w:after="0"/>
              <w:rPr>
                <w:sz w:val="20"/>
                <w:szCs w:val="20"/>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(7,378)</w:t>
            </w:r>
          </w:p>
        </w:tc>
      </w:tr>
      <w:tr>
        <w:trPr>
          <w:trHeight w:val="223"/>
        </w:trPr>
        <w:tc>
          <w:tcPr>
            <w:tcW w:w="31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top w:val="single" w:sz="8" w:color="auto"/>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presents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9"/>
              </w:rPr>
              <w:t>December 31, 2016</w:t>
            </w:r>
          </w:p>
        </w:tc>
        <w:tc>
          <w:tcPr>
            <w:tcW w:w="2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46"/>
        </w:trPr>
        <w:tc>
          <w:tcPr>
            <w:tcW w:w="1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ind w:left="20"/>
              <w:spacing w:after="0" w:line="147" w:lineRule="exact"/>
              <w:rPr>
                <w:sz w:val="20"/>
                <w:szCs w:val="20"/>
                <w:color w:val="auto"/>
              </w:rPr>
            </w:pPr>
            <w:r>
              <w:rPr>
                <w:rFonts w:ascii="Arial" w:cs="Arial" w:eastAsia="Arial" w:hAnsi="Arial"/>
                <w:sz w:val="14"/>
                <w:szCs w:val="14"/>
                <w:b w:val="1"/>
                <w:bCs w:val="1"/>
                <w:color w:val="auto"/>
                <w:w w:val="95"/>
              </w:rPr>
              <w:t>Impact to Valuation</w:t>
            </w:r>
          </w:p>
        </w:tc>
      </w:tr>
      <w:tr>
        <w:trPr>
          <w:trHeight w:val="162"/>
        </w:trPr>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Pr>
          <w:p>
            <w:pPr>
              <w:ind w:left="700"/>
              <w:spacing w:after="0"/>
              <w:rPr>
                <w:sz w:val="20"/>
                <w:szCs w:val="20"/>
                <w:color w:val="auto"/>
              </w:rPr>
            </w:pPr>
            <w:r>
              <w:rPr>
                <w:rFonts w:ascii="Arial" w:cs="Arial" w:eastAsia="Arial" w:hAnsi="Arial"/>
                <w:sz w:val="14"/>
                <w:szCs w:val="14"/>
                <w:b w:val="1"/>
                <w:bCs w:val="1"/>
                <w:color w:val="auto"/>
              </w:rPr>
              <w:t>Valuation</w:t>
            </w:r>
          </w:p>
        </w:tc>
        <w:tc>
          <w:tcPr>
            <w:tcW w:w="140" w:type="dxa"/>
            <w:vAlign w:val="bottom"/>
          </w:tcPr>
          <w:p>
            <w:pPr>
              <w:spacing w:after="0"/>
              <w:rPr>
                <w:sz w:val="14"/>
                <w:szCs w:val="14"/>
                <w:color w:val="auto"/>
              </w:rPr>
            </w:pPr>
          </w:p>
        </w:tc>
        <w:tc>
          <w:tcPr>
            <w:tcW w:w="20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Unobservable</w:t>
            </w:r>
          </w:p>
        </w:tc>
        <w:tc>
          <w:tcPr>
            <w:tcW w:w="26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Range (Weighted</w:t>
            </w:r>
          </w:p>
        </w:tc>
        <w:tc>
          <w:tcPr>
            <w:tcW w:w="1280" w:type="dxa"/>
            <w:vAlign w:val="bottom"/>
          </w:tcPr>
          <w:p>
            <w:pPr>
              <w:ind w:left="40"/>
              <w:spacing w:after="0"/>
              <w:rPr>
                <w:sz w:val="20"/>
                <w:szCs w:val="20"/>
                <w:color w:val="auto"/>
              </w:rPr>
            </w:pPr>
            <w:r>
              <w:rPr>
                <w:rFonts w:ascii="Arial" w:cs="Arial" w:eastAsia="Arial" w:hAnsi="Arial"/>
                <w:sz w:val="14"/>
                <w:szCs w:val="14"/>
                <w:b w:val="1"/>
                <w:bCs w:val="1"/>
                <w:color w:val="auto"/>
                <w:w w:val="94"/>
              </w:rPr>
              <w:t>from an Increase to</w:t>
            </w:r>
          </w:p>
        </w:tc>
      </w:tr>
      <w:tr>
        <w:trPr>
          <w:trHeight w:val="171"/>
        </w:trPr>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000" w:type="dxa"/>
            <w:vAlign w:val="bottom"/>
          </w:tcPr>
          <w:p>
            <w:pPr>
              <w:ind w:left="680"/>
              <w:spacing w:after="0"/>
              <w:rPr>
                <w:sz w:val="20"/>
                <w:szCs w:val="20"/>
                <w:color w:val="auto"/>
              </w:rPr>
            </w:pPr>
            <w:r>
              <w:rPr>
                <w:rFonts w:ascii="Arial" w:cs="Arial" w:eastAsia="Arial" w:hAnsi="Arial"/>
                <w:sz w:val="14"/>
                <w:szCs w:val="14"/>
                <w:b w:val="1"/>
                <w:bCs w:val="1"/>
                <w:color w:val="auto"/>
              </w:rPr>
              <w:t>Technique</w:t>
            </w:r>
          </w:p>
        </w:tc>
        <w:tc>
          <w:tcPr>
            <w:tcW w:w="140" w:type="dxa"/>
            <w:vAlign w:val="bottom"/>
          </w:tcPr>
          <w:p>
            <w:pPr>
              <w:spacing w:after="0"/>
              <w:rPr>
                <w:sz w:val="14"/>
                <w:szCs w:val="14"/>
                <w:color w:val="auto"/>
              </w:rPr>
            </w:pPr>
          </w:p>
        </w:tc>
        <w:tc>
          <w:tcPr>
            <w:tcW w:w="20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Input</w:t>
            </w:r>
          </w:p>
        </w:tc>
        <w:tc>
          <w:tcPr>
            <w:tcW w:w="2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Average)</w:t>
            </w: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Input</w:t>
            </w:r>
          </w:p>
        </w:tc>
      </w:tr>
      <w:tr>
        <w:trPr>
          <w:trHeight w:val="209"/>
        </w:trPr>
        <w:tc>
          <w:tcPr>
            <w:tcW w:w="1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w:t>
            </w:r>
          </w:p>
        </w:tc>
        <w:tc>
          <w:tcPr>
            <w:tcW w:w="4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5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r>
      <w:tr>
        <w:trPr>
          <w:trHeight w:val="230"/>
        </w:trPr>
        <w:tc>
          <w:tcPr>
            <w:tcW w:w="1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1,454,087</w:t>
            </w:r>
          </w:p>
        </w:tc>
        <w:tc>
          <w:tcPr>
            <w:tcW w:w="2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220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Market yield</w:t>
            </w:r>
          </w:p>
        </w:tc>
        <w:tc>
          <w:tcPr>
            <w:tcW w:w="2660" w:type="dxa"/>
            <w:vAlign w:val="bottom"/>
            <w:gridSpan w:val="2"/>
            <w:shd w:val="clear" w:color="auto" w:fill="CFF0FC"/>
          </w:tcPr>
          <w:p>
            <w:pPr>
              <w:jc w:val="center"/>
              <w:ind w:right="540"/>
              <w:spacing w:after="0"/>
              <w:rPr>
                <w:sz w:val="20"/>
                <w:szCs w:val="20"/>
                <w:color w:val="auto"/>
              </w:rPr>
            </w:pPr>
            <w:r>
              <w:rPr>
                <w:rFonts w:ascii="Arial" w:cs="Arial" w:eastAsia="Arial" w:hAnsi="Arial"/>
                <w:sz w:val="18"/>
                <w:szCs w:val="18"/>
                <w:color w:val="auto"/>
                <w:w w:val="92"/>
              </w:rPr>
              <w:t>6.6% — 12.9% (9.3%)</w:t>
            </w:r>
          </w:p>
        </w:tc>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Decrease</w:t>
            </w:r>
          </w:p>
        </w:tc>
      </w:tr>
      <w:tr>
        <w:trPr>
          <w:trHeight w:val="215"/>
        </w:trPr>
        <w:tc>
          <w:tcPr>
            <w:tcW w:w="1680" w:type="dxa"/>
            <w:vAlign w:val="bottom"/>
          </w:tcPr>
          <w:p>
            <w:pPr>
              <w:spacing w:after="0"/>
              <w:rPr>
                <w:sz w:val="20"/>
                <w:szCs w:val="20"/>
                <w:color w:val="auto"/>
              </w:rPr>
            </w:pPr>
            <w:r>
              <w:rPr>
                <w:rFonts w:ascii="Arial" w:cs="Arial" w:eastAsia="Arial" w:hAnsi="Arial"/>
                <w:sz w:val="18"/>
                <w:szCs w:val="18"/>
                <w:color w:val="auto"/>
              </w:rPr>
              <w:t>Second-lien debt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68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3,350</w:t>
            </w:r>
          </w:p>
        </w:tc>
        <w:tc>
          <w:tcPr>
            <w:tcW w:w="2240" w:type="dxa"/>
            <w:vAlign w:val="bottom"/>
            <w:gridSpan w:val="2"/>
          </w:tcPr>
          <w:p>
            <w:pPr>
              <w:ind w:left="240"/>
              <w:spacing w:after="0"/>
              <w:rPr>
                <w:sz w:val="20"/>
                <w:szCs w:val="20"/>
                <w:color w:val="auto"/>
              </w:rPr>
            </w:pPr>
            <w:r>
              <w:rPr>
                <w:rFonts w:ascii="Arial" w:cs="Arial" w:eastAsia="Arial" w:hAnsi="Arial"/>
                <w:sz w:val="18"/>
                <w:szCs w:val="18"/>
                <w:color w:val="auto"/>
              </w:rPr>
              <w:t>Income approach</w:t>
            </w:r>
          </w:p>
        </w:tc>
        <w:tc>
          <w:tcPr>
            <w:tcW w:w="2200" w:type="dxa"/>
            <w:vAlign w:val="bottom"/>
            <w:gridSpan w:val="4"/>
          </w:tcPr>
          <w:p>
            <w:pPr>
              <w:ind w:left="140"/>
              <w:spacing w:after="0"/>
              <w:rPr>
                <w:sz w:val="20"/>
                <w:szCs w:val="20"/>
                <w:color w:val="auto"/>
              </w:rPr>
            </w:pPr>
            <w:r>
              <w:rPr>
                <w:rFonts w:ascii="Arial" w:cs="Arial" w:eastAsia="Arial" w:hAnsi="Arial"/>
                <w:sz w:val="18"/>
                <w:szCs w:val="18"/>
                <w:color w:val="auto"/>
              </w:rPr>
              <w:t>Market yield</w:t>
            </w:r>
          </w:p>
        </w:tc>
        <w:tc>
          <w:tcPr>
            <w:tcW w:w="266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13.6% — 13.6% (13.6%)</w:t>
            </w:r>
          </w:p>
        </w:tc>
        <w:tc>
          <w:tcPr>
            <w:tcW w:w="1280" w:type="dxa"/>
            <w:vAlign w:val="bottom"/>
          </w:tcPr>
          <w:p>
            <w:pPr>
              <w:spacing w:after="0"/>
              <w:rPr>
                <w:sz w:val="20"/>
                <w:szCs w:val="20"/>
                <w:color w:val="auto"/>
              </w:rPr>
            </w:pPr>
            <w:r>
              <w:rPr>
                <w:rFonts w:ascii="Arial" w:cs="Arial" w:eastAsia="Arial" w:hAnsi="Arial"/>
                <w:sz w:val="18"/>
                <w:szCs w:val="18"/>
                <w:color w:val="auto"/>
              </w:rPr>
              <w:t>Decrease</w:t>
            </w:r>
          </w:p>
        </w:tc>
      </w:tr>
      <w:tr>
        <w:trPr>
          <w:trHeight w:val="215"/>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220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Comparable</w:t>
            </w:r>
          </w:p>
        </w:tc>
        <w:tc>
          <w:tcPr>
            <w:tcW w:w="2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0"/>
        </w:trPr>
        <w:tc>
          <w:tcPr>
            <w:tcW w:w="1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2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220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multiple</w:t>
            </w:r>
          </w:p>
        </w:tc>
        <w:tc>
          <w:tcPr>
            <w:tcW w:w="2660" w:type="dxa"/>
            <w:vAlign w:val="bottom"/>
            <w:gridSpan w:val="2"/>
            <w:shd w:val="clear" w:color="auto" w:fill="CFF0FC"/>
          </w:tcPr>
          <w:p>
            <w:pPr>
              <w:jc w:val="center"/>
              <w:ind w:right="540"/>
              <w:spacing w:after="0"/>
              <w:rPr>
                <w:sz w:val="20"/>
                <w:szCs w:val="20"/>
                <w:color w:val="auto"/>
              </w:rPr>
            </w:pPr>
            <w:r>
              <w:rPr>
                <w:rFonts w:ascii="Arial" w:cs="Arial" w:eastAsia="Arial" w:hAnsi="Arial"/>
                <w:sz w:val="18"/>
                <w:szCs w:val="18"/>
                <w:color w:val="auto"/>
                <w:w w:val="93"/>
              </w:rPr>
              <w:t>8.4x — 13.5x (10.1x)</w:t>
            </w:r>
          </w:p>
        </w:tc>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Increase</w:t>
            </w:r>
          </w:p>
        </w:tc>
      </w:tr>
    </w:tbl>
    <w:p>
      <w:pPr>
        <w:spacing w:after="0" w:line="202" w:lineRule="exact"/>
        <w:rPr>
          <w:sz w:val="20"/>
          <w:szCs w:val="20"/>
          <w:color w:val="auto"/>
        </w:rPr>
      </w:pPr>
    </w:p>
    <w:p>
      <w:pPr>
        <w:ind w:left="520" w:hanging="512"/>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$123.6 million of first-lien debt investments which were valued using a waterfall of the asset valuation.</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$4.7 million of equity investments which were valued using a weighted valuation approach.</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3"/>
              </w:rPr>
              <w:t>December 31, 2015</w:t>
            </w:r>
          </w:p>
        </w:tc>
        <w:tc>
          <w:tcPr>
            <w:tcW w:w="2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46"/>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4"/>
                <w:szCs w:val="14"/>
                <w:b w:val="1"/>
                <w:bCs w:val="1"/>
                <w:color w:val="auto"/>
                <w:w w:val="95"/>
              </w:rPr>
              <w:t>Impact to Valuation</w:t>
            </w:r>
          </w:p>
        </w:tc>
      </w:tr>
      <w:tr>
        <w:trPr>
          <w:trHeight w:val="162"/>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2"/>
          </w:tcPr>
          <w:p>
            <w:pPr>
              <w:ind w:left="700"/>
              <w:spacing w:after="0"/>
              <w:rPr>
                <w:sz w:val="20"/>
                <w:szCs w:val="20"/>
                <w:color w:val="auto"/>
              </w:rPr>
            </w:pPr>
            <w:r>
              <w:rPr>
                <w:rFonts w:ascii="Arial" w:cs="Arial" w:eastAsia="Arial" w:hAnsi="Arial"/>
                <w:sz w:val="14"/>
                <w:szCs w:val="14"/>
                <w:b w:val="1"/>
                <w:bCs w:val="1"/>
                <w:color w:val="auto"/>
              </w:rPr>
              <w:t>Valuation</w:t>
            </w:r>
          </w:p>
        </w:tc>
        <w:tc>
          <w:tcPr>
            <w:tcW w:w="1960" w:type="dxa"/>
            <w:vAlign w:val="bottom"/>
            <w:gridSpan w:val="3"/>
          </w:tcPr>
          <w:p>
            <w:pPr>
              <w:ind w:left="320"/>
              <w:spacing w:after="0"/>
              <w:rPr>
                <w:sz w:val="20"/>
                <w:szCs w:val="20"/>
                <w:color w:val="auto"/>
              </w:rPr>
            </w:pPr>
            <w:r>
              <w:rPr>
                <w:rFonts w:ascii="Arial" w:cs="Arial" w:eastAsia="Arial" w:hAnsi="Arial"/>
                <w:sz w:val="14"/>
                <w:szCs w:val="14"/>
                <w:b w:val="1"/>
                <w:bCs w:val="1"/>
                <w:color w:val="auto"/>
              </w:rPr>
              <w:t>Unobservable</w:t>
            </w:r>
          </w:p>
        </w:tc>
        <w:tc>
          <w:tcPr>
            <w:tcW w:w="2620" w:type="dxa"/>
            <w:vAlign w:val="bottom"/>
          </w:tcPr>
          <w:p>
            <w:pPr>
              <w:jc w:val="center"/>
              <w:ind w:right="236"/>
              <w:spacing w:after="0"/>
              <w:rPr>
                <w:sz w:val="20"/>
                <w:szCs w:val="20"/>
                <w:color w:val="auto"/>
              </w:rPr>
            </w:pPr>
            <w:r>
              <w:rPr>
                <w:rFonts w:ascii="Arial" w:cs="Arial" w:eastAsia="Arial" w:hAnsi="Arial"/>
                <w:sz w:val="14"/>
                <w:szCs w:val="14"/>
                <w:b w:val="1"/>
                <w:bCs w:val="1"/>
                <w:color w:val="auto"/>
                <w:w w:val="92"/>
              </w:rPr>
              <w:t>Range (Weighted</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from an Increase to</w:t>
            </w:r>
          </w:p>
        </w:tc>
      </w:tr>
      <w:tr>
        <w:trPr>
          <w:trHeight w:val="17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140" w:type="dxa"/>
            <w:vAlign w:val="bottom"/>
            <w:gridSpan w:val="2"/>
          </w:tcPr>
          <w:p>
            <w:pPr>
              <w:ind w:left="680"/>
              <w:spacing w:after="0"/>
              <w:rPr>
                <w:sz w:val="20"/>
                <w:szCs w:val="20"/>
                <w:color w:val="auto"/>
              </w:rPr>
            </w:pPr>
            <w:r>
              <w:rPr>
                <w:rFonts w:ascii="Arial" w:cs="Arial" w:eastAsia="Arial" w:hAnsi="Arial"/>
                <w:sz w:val="14"/>
                <w:szCs w:val="14"/>
                <w:b w:val="1"/>
                <w:bCs w:val="1"/>
                <w:color w:val="auto"/>
              </w:rPr>
              <w:t>Technique</w:t>
            </w:r>
          </w:p>
        </w:tc>
        <w:tc>
          <w:tcPr>
            <w:tcW w:w="1960" w:type="dxa"/>
            <w:vAlign w:val="bottom"/>
            <w:gridSpan w:val="3"/>
          </w:tcPr>
          <w:p>
            <w:pPr>
              <w:ind w:left="580"/>
              <w:spacing w:after="0"/>
              <w:rPr>
                <w:sz w:val="20"/>
                <w:szCs w:val="20"/>
                <w:color w:val="auto"/>
              </w:rPr>
            </w:pPr>
            <w:r>
              <w:rPr>
                <w:rFonts w:ascii="Arial" w:cs="Arial" w:eastAsia="Arial" w:hAnsi="Arial"/>
                <w:sz w:val="14"/>
                <w:szCs w:val="14"/>
                <w:b w:val="1"/>
                <w:bCs w:val="1"/>
                <w:color w:val="auto"/>
              </w:rPr>
              <w:t>Input</w:t>
            </w:r>
          </w:p>
        </w:tc>
        <w:tc>
          <w:tcPr>
            <w:tcW w:w="2620" w:type="dxa"/>
            <w:vAlign w:val="bottom"/>
          </w:tcPr>
          <w:p>
            <w:pPr>
              <w:jc w:val="center"/>
              <w:ind w:right="236"/>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Input</w:t>
            </w:r>
          </w:p>
        </w:tc>
      </w:tr>
      <w:tr>
        <w:trPr>
          <w:trHeight w:val="209"/>
        </w:trPr>
        <w:tc>
          <w:tcPr>
            <w:tcW w:w="2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6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r>
      <w:tr>
        <w:trPr>
          <w:trHeight w:val="230"/>
        </w:trPr>
        <w:tc>
          <w:tcPr>
            <w:tcW w:w="2160" w:type="dxa"/>
            <w:vAlign w:val="bottom"/>
            <w:shd w:val="clear" w:color="auto" w:fill="CFF0FC"/>
          </w:tcPr>
          <w:p>
            <w:pPr>
              <w:jc w:val="center"/>
              <w:ind w:right="930"/>
              <w:spacing w:after="0"/>
              <w:rPr>
                <w:sz w:val="20"/>
                <w:szCs w:val="20"/>
                <w:color w:val="auto"/>
              </w:rPr>
            </w:pPr>
            <w:r>
              <w:rPr>
                <w:rFonts w:ascii="Arial" w:cs="Arial" w:eastAsia="Arial" w:hAnsi="Arial"/>
                <w:sz w:val="18"/>
                <w:szCs w:val="18"/>
                <w:color w:val="auto"/>
                <w:w w:val="89"/>
              </w:rPr>
              <w:t>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1,229,491</w:t>
            </w:r>
          </w:p>
        </w:tc>
        <w:tc>
          <w:tcPr>
            <w:tcW w:w="240" w:type="dxa"/>
            <w:vAlign w:val="bottom"/>
            <w:shd w:val="clear" w:color="auto" w:fill="CFF0FC"/>
          </w:tcPr>
          <w:p>
            <w:pPr>
              <w:spacing w:after="0"/>
              <w:rPr>
                <w:sz w:val="20"/>
                <w:szCs w:val="20"/>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Market yield</w:t>
            </w:r>
          </w:p>
        </w:tc>
        <w:tc>
          <w:tcPr>
            <w:tcW w:w="2620" w:type="dxa"/>
            <w:vAlign w:val="bottom"/>
            <w:shd w:val="clear" w:color="auto" w:fill="CFF0FC"/>
          </w:tcPr>
          <w:p>
            <w:pPr>
              <w:jc w:val="center"/>
              <w:ind w:right="236"/>
              <w:spacing w:after="0"/>
              <w:rPr>
                <w:sz w:val="20"/>
                <w:szCs w:val="20"/>
                <w:color w:val="auto"/>
              </w:rPr>
            </w:pPr>
            <w:r>
              <w:rPr>
                <w:rFonts w:ascii="Arial" w:cs="Arial" w:eastAsia="Arial" w:hAnsi="Arial"/>
                <w:sz w:val="18"/>
                <w:szCs w:val="18"/>
                <w:color w:val="auto"/>
                <w:w w:val="92"/>
              </w:rPr>
              <w:t>3.9% — 15.3% (10.8%)</w:t>
            </w:r>
          </w:p>
        </w:tc>
        <w:tc>
          <w:tcPr>
            <w:tcW w:w="1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Decrease</w:t>
            </w:r>
          </w:p>
        </w:tc>
      </w:tr>
      <w:tr>
        <w:trPr>
          <w:trHeight w:val="215"/>
        </w:trPr>
        <w:tc>
          <w:tcPr>
            <w:tcW w:w="2160" w:type="dxa"/>
            <w:vAlign w:val="bottom"/>
          </w:tcPr>
          <w:p>
            <w:pPr>
              <w:spacing w:after="0"/>
              <w:rPr>
                <w:sz w:val="20"/>
                <w:szCs w:val="20"/>
                <w:color w:val="auto"/>
              </w:rPr>
            </w:pPr>
            <w:r>
              <w:rPr>
                <w:rFonts w:ascii="Arial" w:cs="Arial" w:eastAsia="Arial" w:hAnsi="Arial"/>
                <w:sz w:val="18"/>
                <w:szCs w:val="18"/>
                <w:color w:val="auto"/>
              </w:rPr>
              <w:t>Second-lien debt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2160" w:type="dxa"/>
            <w:vAlign w:val="bottom"/>
          </w:tcPr>
          <w:p>
            <w:pPr>
              <w:jc w:val="center"/>
              <w:ind w:right="930"/>
              <w:spacing w:after="0"/>
              <w:rPr>
                <w:sz w:val="20"/>
                <w:szCs w:val="20"/>
                <w:color w:val="auto"/>
              </w:rPr>
            </w:pPr>
            <w:r>
              <w:rPr>
                <w:rFonts w:ascii="Arial" w:cs="Arial" w:eastAsia="Arial" w:hAnsi="Arial"/>
                <w:sz w:val="18"/>
                <w:szCs w:val="18"/>
                <w:color w:val="auto"/>
                <w:w w:val="89"/>
              </w:rPr>
              <w:t>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90,441</w:t>
            </w:r>
          </w:p>
        </w:tc>
        <w:tc>
          <w:tcPr>
            <w:tcW w:w="24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960" w:type="dxa"/>
            <w:vAlign w:val="bottom"/>
            <w:gridSpan w:val="3"/>
          </w:tcPr>
          <w:p>
            <w:pPr>
              <w:spacing w:after="0"/>
              <w:rPr>
                <w:sz w:val="20"/>
                <w:szCs w:val="20"/>
                <w:color w:val="auto"/>
              </w:rPr>
            </w:pPr>
            <w:r>
              <w:rPr>
                <w:rFonts w:ascii="Arial" w:cs="Arial" w:eastAsia="Arial" w:hAnsi="Arial"/>
                <w:sz w:val="18"/>
                <w:szCs w:val="18"/>
                <w:color w:val="auto"/>
              </w:rPr>
              <w:t>Market yield</w:t>
            </w:r>
          </w:p>
        </w:tc>
        <w:tc>
          <w:tcPr>
            <w:tcW w:w="2620" w:type="dxa"/>
            <w:vAlign w:val="bottom"/>
          </w:tcPr>
          <w:p>
            <w:pPr>
              <w:jc w:val="center"/>
              <w:ind w:right="236"/>
              <w:spacing w:after="0"/>
              <w:rPr>
                <w:sz w:val="20"/>
                <w:szCs w:val="20"/>
                <w:color w:val="auto"/>
              </w:rPr>
            </w:pPr>
            <w:r>
              <w:rPr>
                <w:rFonts w:ascii="Arial" w:cs="Arial" w:eastAsia="Arial" w:hAnsi="Arial"/>
                <w:sz w:val="18"/>
                <w:szCs w:val="18"/>
                <w:color w:val="auto"/>
                <w:w w:val="91"/>
              </w:rPr>
              <w:t>12.1% — 13.8% (13.2%)</w:t>
            </w: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r>
      <w:tr>
        <w:trPr>
          <w:trHeight w:val="215"/>
        </w:trPr>
        <w:tc>
          <w:tcPr>
            <w:tcW w:w="2160" w:type="dxa"/>
            <w:vAlign w:val="bottom"/>
            <w:shd w:val="clear" w:color="auto" w:fill="CFF0FC"/>
          </w:tcPr>
          <w:p>
            <w:pPr>
              <w:jc w:val="center"/>
              <w:ind w:right="910"/>
              <w:spacing w:after="0"/>
              <w:rPr>
                <w:sz w:val="20"/>
                <w:szCs w:val="20"/>
                <w:color w:val="auto"/>
              </w:rPr>
            </w:pPr>
            <w:r>
              <w:rPr>
                <w:rFonts w:ascii="Arial" w:cs="Arial" w:eastAsia="Arial" w:hAnsi="Arial"/>
                <w:sz w:val="18"/>
                <w:szCs w:val="18"/>
                <w:color w:val="auto"/>
                <w:w w:val="91"/>
              </w:rPr>
              <w:t>Mezzanine debt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0"/>
        </w:trPr>
        <w:tc>
          <w:tcPr>
            <w:tcW w:w="2160" w:type="dxa"/>
            <w:vAlign w:val="bottom"/>
            <w:shd w:val="clear" w:color="auto" w:fill="CFF0FC"/>
          </w:tcPr>
          <w:p>
            <w:pPr>
              <w:jc w:val="center"/>
              <w:ind w:right="930"/>
              <w:spacing w:after="0"/>
              <w:rPr>
                <w:sz w:val="20"/>
                <w:szCs w:val="20"/>
                <w:color w:val="auto"/>
              </w:rPr>
            </w:pPr>
            <w:r>
              <w:rPr>
                <w:rFonts w:ascii="Arial" w:cs="Arial" w:eastAsia="Arial" w:hAnsi="Arial"/>
                <w:sz w:val="18"/>
                <w:szCs w:val="18"/>
                <w:color w:val="auto"/>
                <w:w w:val="89"/>
              </w:rPr>
              <w:t>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40" w:type="dxa"/>
            <w:vAlign w:val="bottom"/>
            <w:shd w:val="clear" w:color="auto" w:fill="CFF0FC"/>
          </w:tcPr>
          <w:p>
            <w:pPr>
              <w:spacing w:after="0"/>
              <w:rPr>
                <w:sz w:val="20"/>
                <w:szCs w:val="20"/>
                <w:color w:val="auto"/>
              </w:rPr>
            </w:pPr>
          </w:p>
        </w:tc>
        <w:tc>
          <w:tcPr>
            <w:tcW w:w="2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approach</w:t>
            </w:r>
          </w:p>
        </w:tc>
        <w:tc>
          <w:tcPr>
            <w:tcW w:w="1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Market yield</w:t>
            </w:r>
          </w:p>
        </w:tc>
        <w:tc>
          <w:tcPr>
            <w:tcW w:w="2620" w:type="dxa"/>
            <w:vAlign w:val="bottom"/>
            <w:shd w:val="clear" w:color="auto" w:fill="CFF0FC"/>
          </w:tcPr>
          <w:p>
            <w:pPr>
              <w:jc w:val="center"/>
              <w:ind w:right="236"/>
              <w:spacing w:after="0"/>
              <w:rPr>
                <w:sz w:val="20"/>
                <w:szCs w:val="20"/>
                <w:color w:val="auto"/>
              </w:rPr>
            </w:pPr>
            <w:r>
              <w:rPr>
                <w:rFonts w:ascii="Arial" w:cs="Arial" w:eastAsia="Arial" w:hAnsi="Arial"/>
                <w:sz w:val="18"/>
                <w:szCs w:val="18"/>
                <w:color w:val="auto"/>
                <w:w w:val="91"/>
              </w:rPr>
              <w:t>12.6% — 12.6% (12.6%)</w:t>
            </w:r>
          </w:p>
        </w:tc>
        <w:tc>
          <w:tcPr>
            <w:tcW w:w="1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Decrease</w:t>
            </w:r>
          </w:p>
        </w:tc>
      </w:tr>
      <w:tr>
        <w:trPr>
          <w:trHeight w:val="215"/>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Comparable</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Equity and other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Market Multiple or</w:t>
            </w:r>
          </w:p>
        </w:tc>
        <w:tc>
          <w:tcPr>
            <w:tcW w:w="1960" w:type="dxa"/>
            <w:vAlign w:val="bottom"/>
            <w:gridSpan w:val="3"/>
          </w:tcPr>
          <w:p>
            <w:pPr>
              <w:spacing w:after="0"/>
              <w:rPr>
                <w:sz w:val="20"/>
                <w:szCs w:val="20"/>
                <w:color w:val="auto"/>
              </w:rPr>
            </w:pPr>
            <w:r>
              <w:rPr>
                <w:rFonts w:ascii="Arial" w:cs="Arial" w:eastAsia="Arial" w:hAnsi="Arial"/>
                <w:sz w:val="18"/>
                <w:szCs w:val="18"/>
                <w:color w:val="auto"/>
              </w:rPr>
              <w:t>multiple or discount</w:t>
            </w:r>
          </w:p>
        </w:tc>
        <w:tc>
          <w:tcPr>
            <w:tcW w:w="26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Increase or</w:t>
            </w:r>
          </w:p>
        </w:tc>
      </w:tr>
      <w:tr>
        <w:trPr>
          <w:trHeight w:val="230"/>
        </w:trPr>
        <w:tc>
          <w:tcPr>
            <w:tcW w:w="2160" w:type="dxa"/>
            <w:vAlign w:val="bottom"/>
          </w:tcPr>
          <w:p>
            <w:pPr>
              <w:jc w:val="center"/>
              <w:ind w:right="930"/>
              <w:spacing w:after="0"/>
              <w:rPr>
                <w:sz w:val="20"/>
                <w:szCs w:val="20"/>
                <w:color w:val="auto"/>
              </w:rPr>
            </w:pPr>
            <w:r>
              <w:rPr>
                <w:rFonts w:ascii="Arial" w:cs="Arial" w:eastAsia="Arial" w:hAnsi="Arial"/>
                <w:sz w:val="18"/>
                <w:szCs w:val="18"/>
                <w:color w:val="auto"/>
                <w:w w:val="89"/>
              </w:rPr>
              <w:t>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8,205</w:t>
            </w:r>
          </w:p>
        </w:tc>
        <w:tc>
          <w:tcPr>
            <w:tcW w:w="24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 xml:space="preserve">Discounted Cash Flow </w:t>
            </w:r>
            <w:r>
              <w:rPr>
                <w:rFonts w:ascii="Arial" w:cs="Arial" w:eastAsia="Arial" w:hAnsi="Arial"/>
                <w:sz w:val="15"/>
                <w:szCs w:val="15"/>
                <w:color w:val="auto"/>
              </w:rPr>
              <w:t>(2)</w:t>
            </w:r>
          </w:p>
        </w:tc>
        <w:tc>
          <w:tcPr>
            <w:tcW w:w="1960" w:type="dxa"/>
            <w:vAlign w:val="bottom"/>
            <w:gridSpan w:val="3"/>
          </w:tcPr>
          <w:p>
            <w:pPr>
              <w:spacing w:after="0"/>
              <w:rPr>
                <w:sz w:val="20"/>
                <w:szCs w:val="20"/>
                <w:color w:val="auto"/>
              </w:rPr>
            </w:pPr>
            <w:r>
              <w:rPr>
                <w:rFonts w:ascii="Arial" w:cs="Arial" w:eastAsia="Arial" w:hAnsi="Arial"/>
                <w:sz w:val="18"/>
                <w:szCs w:val="18"/>
                <w:color w:val="auto"/>
              </w:rPr>
              <w:t>rate</w:t>
            </w:r>
          </w:p>
        </w:tc>
        <w:tc>
          <w:tcPr>
            <w:tcW w:w="2620" w:type="dxa"/>
            <w:vAlign w:val="bottom"/>
          </w:tcPr>
          <w:p>
            <w:pPr>
              <w:jc w:val="center"/>
              <w:ind w:right="236"/>
              <w:spacing w:after="0"/>
              <w:rPr>
                <w:sz w:val="20"/>
                <w:szCs w:val="20"/>
                <w:color w:val="auto"/>
              </w:rPr>
            </w:pPr>
            <w:r>
              <w:rPr>
                <w:rFonts w:ascii="Arial" w:cs="Arial" w:eastAsia="Arial" w:hAnsi="Arial"/>
                <w:sz w:val="18"/>
                <w:szCs w:val="18"/>
                <w:color w:val="auto"/>
                <w:w w:val="92"/>
              </w:rPr>
              <w:t>8.4x — 13.5x (11.8x) or 12.0%</w:t>
            </w: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r>
    </w:tbl>
    <w:p>
      <w:pPr>
        <w:spacing w:after="0" w:line="202" w:lineRule="exact"/>
        <w:rPr>
          <w:sz w:val="20"/>
          <w:szCs w:val="20"/>
          <w:color w:val="auto"/>
        </w:rPr>
      </w:pPr>
    </w:p>
    <w:p>
      <w:pPr>
        <w:ind w:left="520" w:right="400" w:hanging="512"/>
        <w:spacing w:after="0" w:line="258"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$44.1 million of first-lien debt investments which, due to the proximity of the transactions relative to the measurement date, were valued using the transacted value of the investments.</w:t>
      </w:r>
    </w:p>
    <w:p>
      <w:pPr>
        <w:spacing w:after="0" w:line="1" w:lineRule="exact"/>
        <w:rPr>
          <w:rFonts w:ascii="Arial" w:cs="Arial" w:eastAsia="Arial" w:hAnsi="Arial"/>
          <w:sz w:val="18"/>
          <w:szCs w:val="18"/>
          <w:color w:val="auto"/>
        </w:rPr>
      </w:pPr>
    </w:p>
    <w:p>
      <w:pPr>
        <w:ind w:left="520" w:right="320" w:hanging="512"/>
        <w:spacing w:after="0" w:line="261"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$3.8 million of equity investments which, due to the proximity of the transactions relative to the measurement date, were valued using the transacted value of the investments.</w:t>
      </w:r>
    </w:p>
    <w:p>
      <w:pPr>
        <w:spacing w:after="0" w:line="184"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Significant unobservable quantitative inputs typically considered in the fair value measurement of the Company’s Level 3 debt investments primarily include current market yields, including relevant market indices, but may also include quotes from brokers,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105" w:name="page106"/>
    <w:bookmarkEnd w:id="105"/>
    <w:p>
      <w:pPr>
        <w:spacing w:after="0" w:line="279" w:lineRule="auto"/>
        <w:rPr>
          <w:sz w:val="20"/>
          <w:szCs w:val="20"/>
          <w:color w:val="auto"/>
        </w:rPr>
      </w:pPr>
      <w:r>
        <w:rPr>
          <w:rFonts w:ascii="Arial" w:cs="Arial" w:eastAsia="Arial" w:hAnsi="Arial"/>
          <w:sz w:val="17"/>
          <w:szCs w:val="17"/>
          <w:color w:val="auto"/>
        </w:rPr>
        <w:t>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280" w:firstLine="259"/>
        <w:spacing w:after="0" w:line="259"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December 31, 2016, approximates its carrying value as the outstanding balance is callable at carrying value. The fair value of the Company’s 2019 Convertible Senior Notes, which is categorized as Level 2 within the fair value hierarchy, as of December 31, 2016, was $117.6 million, based on broker quotes received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2019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2016 and 2015, the Company’s asset coverage was 237.7% and 225.7% respectively.</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December 31, 2016 and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2"/>
              </w:rPr>
              <w:t>Aggregate Principal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59"/>
              <w:spacing w:after="0"/>
              <w:rPr>
                <w:sz w:val="20"/>
                <w:szCs w:val="20"/>
                <w:color w:val="auto"/>
              </w:rPr>
            </w:pPr>
            <w:r>
              <w:rPr>
                <w:rFonts w:ascii="Arial" w:cs="Arial" w:eastAsia="Arial" w:hAnsi="Arial"/>
                <w:sz w:val="14"/>
                <w:szCs w:val="14"/>
                <w:b w:val="1"/>
                <w:bCs w:val="1"/>
                <w:color w:val="auto"/>
                <w:w w:val="99"/>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9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5"/>
                <w:szCs w:val="15"/>
                <w:color w:val="auto"/>
              </w:rPr>
            </w:pPr>
          </w:p>
        </w:tc>
      </w:tr>
      <w:tr>
        <w:trPr>
          <w:trHeight w:val="219"/>
        </w:trPr>
        <w:tc>
          <w:tcPr>
            <w:tcW w:w="3380" w:type="dxa"/>
            <w:vAlign w:val="bottom"/>
          </w:tcPr>
          <w:p>
            <w:pPr>
              <w:spacing w:after="0"/>
              <w:rPr>
                <w:sz w:val="19"/>
                <w:szCs w:val="19"/>
                <w:color w:val="auto"/>
              </w:rPr>
            </w:pPr>
          </w:p>
        </w:tc>
        <w:tc>
          <w:tcPr>
            <w:tcW w:w="2400" w:type="dxa"/>
            <w:vAlign w:val="bottom"/>
            <w:gridSpan w:val="3"/>
          </w:tcPr>
          <w:p>
            <w:pPr>
              <w:ind w:left="1140"/>
              <w:spacing w:after="0"/>
              <w:rPr>
                <w:sz w:val="20"/>
                <w:szCs w:val="20"/>
                <w:color w:val="auto"/>
              </w:rPr>
            </w:pPr>
            <w:r>
              <w:rPr>
                <w:rFonts w:ascii="Arial" w:cs="Arial" w:eastAsia="Arial" w:hAnsi="Arial"/>
                <w:sz w:val="14"/>
                <w:szCs w:val="14"/>
                <w:b w:val="1"/>
                <w:bCs w:val="1"/>
                <w:color w:val="auto"/>
                <w:w w:val="95"/>
              </w:rPr>
              <w:t>Amount Committed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259"/>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 xml:space="preserve">Available </w:t>
            </w:r>
            <w:r>
              <w:rPr>
                <w:rFonts w:ascii="Arial" w:cs="Arial" w:eastAsia="Arial" w:hAnsi="Arial"/>
                <w:sz w:val="12"/>
                <w:szCs w:val="12"/>
                <w:b w:val="1"/>
                <w:bCs w:val="1"/>
                <w:color w:val="auto"/>
                <w:w w:val="99"/>
              </w:rPr>
              <w:t>(1)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578,657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366,343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Convertible Senior Notes</w:t>
            </w:r>
          </w:p>
        </w:tc>
        <w:tc>
          <w:tcPr>
            <w:tcW w:w="1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110,790</w:t>
            </w:r>
          </w:p>
        </w:tc>
        <w:tc>
          <w:tcPr>
            <w:tcW w:w="100" w:type="dxa"/>
            <w:vAlign w:val="bottom"/>
            <w:tcBorders>
              <w:bottom w:val="single" w:sz="8" w:color="CFF0FC"/>
            </w:tcBorders>
          </w:tcPr>
          <w:p>
            <w:pPr>
              <w:spacing w:after="0"/>
              <w:rPr>
                <w:sz w:val="19"/>
                <w:szCs w:val="19"/>
                <w:color w:val="auto"/>
              </w:rPr>
            </w:pPr>
          </w:p>
        </w:tc>
      </w:tr>
      <w:tr>
        <w:trPr>
          <w:trHeight w:val="223"/>
        </w:trPr>
        <w:tc>
          <w:tcPr>
            <w:tcW w:w="3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1,060,000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693,657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366,343</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680,709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20" w:hanging="512"/>
        <w:spacing w:after="0" w:line="261"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Convertible Senior Notes are presented net of deferred financing costs of $8.7 million and $2.3 million, respectively.</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Aggregate Principal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59"/>
              <w:spacing w:after="0"/>
              <w:rPr>
                <w:sz w:val="20"/>
                <w:szCs w:val="20"/>
                <w:color w:val="auto"/>
              </w:rPr>
            </w:pPr>
            <w:r>
              <w:rPr>
                <w:rFonts w:ascii="Arial" w:cs="Arial" w:eastAsia="Arial" w:hAnsi="Arial"/>
                <w:sz w:val="14"/>
                <w:szCs w:val="14"/>
                <w:b w:val="1"/>
                <w:bCs w:val="1"/>
                <w:color w:val="auto"/>
                <w:w w:val="99"/>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9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37"/>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5"/>
                <w:szCs w:val="15"/>
                <w:color w:val="auto"/>
              </w:rPr>
            </w:pPr>
          </w:p>
        </w:tc>
      </w:tr>
      <w:tr>
        <w:trPr>
          <w:trHeight w:val="219"/>
        </w:trPr>
        <w:tc>
          <w:tcPr>
            <w:tcW w:w="3380" w:type="dxa"/>
            <w:vAlign w:val="bottom"/>
          </w:tcPr>
          <w:p>
            <w:pPr>
              <w:spacing w:after="0"/>
              <w:rPr>
                <w:sz w:val="19"/>
                <w:szCs w:val="19"/>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 Committed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259"/>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 xml:space="preserve">Available </w:t>
            </w:r>
            <w:r>
              <w:rPr>
                <w:rFonts w:ascii="Arial" w:cs="Arial" w:eastAsia="Arial" w:hAnsi="Arial"/>
                <w:sz w:val="12"/>
                <w:szCs w:val="12"/>
                <w:b w:val="1"/>
                <w:bCs w:val="1"/>
                <w:color w:val="auto"/>
                <w:w w:val="99"/>
              </w:rPr>
              <w:t>(1)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821,250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540,305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280,945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Convertible Senior Notes</w:t>
            </w:r>
          </w:p>
        </w:tc>
        <w:tc>
          <w:tcPr>
            <w:tcW w:w="1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109,427</w:t>
            </w:r>
          </w:p>
        </w:tc>
        <w:tc>
          <w:tcPr>
            <w:tcW w:w="100" w:type="dxa"/>
            <w:vAlign w:val="bottom"/>
            <w:tcBorders>
              <w:bottom w:val="single" w:sz="8" w:color="CFF0FC"/>
            </w:tcBorders>
          </w:tcPr>
          <w:p>
            <w:pPr>
              <w:spacing w:after="0"/>
              <w:rPr>
                <w:sz w:val="19"/>
                <w:szCs w:val="19"/>
                <w:color w:val="auto"/>
              </w:rPr>
            </w:pPr>
          </w:p>
        </w:tc>
      </w:tr>
      <w:tr>
        <w:trPr>
          <w:trHeight w:val="223"/>
        </w:trPr>
        <w:tc>
          <w:tcPr>
            <w:tcW w:w="3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936,250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655,305</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280,945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642,423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20" w:hanging="512"/>
        <w:spacing w:after="0" w:line="261" w:lineRule="auto"/>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Convertible Senior Notes are presented net of deferred financing costs of $7.3 million and $3.1 million, respectively.</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106" w:name="page107"/>
    <w:bookmarkEnd w:id="106"/>
    <w:p>
      <w:pPr>
        <w:ind w:left="260"/>
        <w:spacing w:after="0"/>
        <w:rPr>
          <w:sz w:val="20"/>
          <w:szCs w:val="20"/>
          <w:color w:val="auto"/>
        </w:rPr>
      </w:pPr>
      <w:r>
        <w:rPr>
          <w:rFonts w:ascii="Arial" w:cs="Arial" w:eastAsia="Arial" w:hAnsi="Arial"/>
          <w:sz w:val="18"/>
          <w:szCs w:val="18"/>
          <w:color w:val="auto"/>
        </w:rPr>
        <w:t>For the years ended December 31, 2016, 2015 and 2014, the components of interest expense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 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 2015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December 31, 2014</w:t>
            </w: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20,501</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Commitment fees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2,263</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costs</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(989)</w:t>
            </w:r>
          </w:p>
        </w:tc>
      </w:tr>
      <w:tr>
        <w:trPr>
          <w:trHeight w:val="263"/>
        </w:trPr>
        <w:tc>
          <w:tcPr>
            <w:tcW w:w="20" w:type="dxa"/>
            <w:vAlign w:val="bottom"/>
          </w:tcPr>
          <w:p>
            <w:pPr>
              <w:spacing w:after="0"/>
              <w:rPr>
                <w:sz w:val="22"/>
                <w:szCs w:val="22"/>
                <w:color w:val="auto"/>
              </w:rPr>
            </w:pPr>
          </w:p>
        </w:tc>
        <w:tc>
          <w:tcPr>
            <w:tcW w:w="3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76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23,108</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22,010</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15,078</w:t>
            </w:r>
          </w:p>
        </w:tc>
        <w:tc>
          <w:tcPr>
            <w:tcW w:w="18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377.1</w:t>
            </w:r>
          </w:p>
        </w:tc>
        <w:tc>
          <w:tcPr>
            <w:tcW w:w="1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0.16%</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65"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5"/>
        <w:spacing w:after="0"/>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320" w:hanging="255"/>
        <w:spacing w:after="0" w:line="277" w:lineRule="auto"/>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780" w:right="380" w:hanging="259"/>
        <w:spacing w:after="0" w:line="277" w:lineRule="auto"/>
        <w:tabs>
          <w:tab w:leader="none" w:pos="7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jc w:val="both"/>
        <w:ind w:right="240" w:firstLine="259"/>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17" w:lineRule="exact"/>
        <w:rPr>
          <w:sz w:val="20"/>
          <w:szCs w:val="20"/>
          <w:color w:val="auto"/>
        </w:rPr>
      </w:pPr>
    </w:p>
    <w:p>
      <w:pPr>
        <w:ind w:left="520" w:right="140" w:hanging="255"/>
        <w:spacing w:after="0" w:line="308" w:lineRule="auto"/>
        <w:tabs>
          <w:tab w:leader="none" w:pos="5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5"/>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7" w:name="page108"/>
    <w:bookmarkEnd w:id="107"/>
    <w:p>
      <w:pPr>
        <w:jc w:val="both"/>
        <w:ind w:firstLine="259"/>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2, 2015, the Company entered into a fourth amendment to the Revolving Credit Facility:</w:t>
      </w:r>
    </w:p>
    <w:p>
      <w:pPr>
        <w:spacing w:after="0" w:line="117" w:lineRule="exact"/>
        <w:rPr>
          <w:sz w:val="20"/>
          <w:szCs w:val="20"/>
          <w:color w:val="auto"/>
        </w:rPr>
      </w:pPr>
    </w:p>
    <w:p>
      <w:pPr>
        <w:ind w:left="520" w:right="120" w:hanging="255"/>
        <w:spacing w:after="0" w:line="264"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17" w:lineRule="exact"/>
        <w:rPr>
          <w:rFonts w:ascii="Arial" w:cs="Arial" w:eastAsia="Arial" w:hAnsi="Arial"/>
          <w:sz w:val="18"/>
          <w:szCs w:val="18"/>
          <w:color w:val="auto"/>
        </w:rPr>
      </w:pPr>
    </w:p>
    <w:p>
      <w:pPr>
        <w:ind w:left="520" w:right="80" w:hanging="255"/>
        <w:spacing w:after="0" w:line="277"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22, 2016, the Company entered into a fifth amendment to the Revolving Credit Facility:</w:t>
      </w:r>
    </w:p>
    <w:p>
      <w:pPr>
        <w:spacing w:after="0" w:line="117" w:lineRule="exact"/>
        <w:rPr>
          <w:sz w:val="20"/>
          <w:szCs w:val="20"/>
          <w:color w:val="auto"/>
        </w:rPr>
      </w:pPr>
    </w:p>
    <w:p>
      <w:pPr>
        <w:ind w:left="640" w:hanging="375"/>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increasing the aggregate commitments from $821.3 million to $945.0 million;</w:t>
      </w:r>
    </w:p>
    <w:p>
      <w:pPr>
        <w:spacing w:after="0" w:line="117" w:lineRule="exact"/>
        <w:rPr>
          <w:rFonts w:ascii="Arial" w:cs="Arial" w:eastAsia="Arial" w:hAnsi="Arial"/>
          <w:sz w:val="18"/>
          <w:szCs w:val="18"/>
          <w:color w:val="auto"/>
        </w:rPr>
      </w:pPr>
    </w:p>
    <w:p>
      <w:pPr>
        <w:ind w:left="640" w:hanging="375"/>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 respect to $885.0 million in commitments,</w:t>
      </w:r>
    </w:p>
    <w:p>
      <w:pPr>
        <w:spacing w:after="0" w:line="117" w:lineRule="exact"/>
        <w:rPr>
          <w:rFonts w:ascii="Arial" w:cs="Arial" w:eastAsia="Arial" w:hAnsi="Arial"/>
          <w:sz w:val="18"/>
          <w:szCs w:val="18"/>
          <w:color w:val="auto"/>
        </w:rPr>
      </w:pPr>
    </w:p>
    <w:p>
      <w:pPr>
        <w:ind w:left="860" w:hanging="379"/>
        <w:spacing w:after="0"/>
        <w:tabs>
          <w:tab w:leader="none" w:pos="8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extending the revolving period from October 2, 2019 to December 22, 2020; and</w:t>
      </w:r>
    </w:p>
    <w:p>
      <w:pPr>
        <w:spacing w:after="0" w:line="117" w:lineRule="exact"/>
        <w:rPr>
          <w:rFonts w:ascii="Arial" w:cs="Arial" w:eastAsia="Arial" w:hAnsi="Arial"/>
          <w:sz w:val="18"/>
          <w:szCs w:val="18"/>
          <w:color w:val="auto"/>
        </w:rPr>
      </w:pPr>
    </w:p>
    <w:p>
      <w:pPr>
        <w:ind w:left="860" w:hanging="379"/>
        <w:spacing w:after="0"/>
        <w:tabs>
          <w:tab w:leader="none" w:pos="8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extending the stated maturity date from October 2, 2020 to December 22, 2021.</w:t>
      </w:r>
    </w:p>
    <w:p>
      <w:pPr>
        <w:spacing w:after="0" w:line="225"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December 31, 2016, the Company had outstanding debt denominated in Euro (EUR) of 47.1 million and Pound Sterling (GBP) of 13.3 million on its Revolving Credit Facility, included in the Outstanding Principal amount in the table above.</w:t>
      </w:r>
    </w:p>
    <w:p>
      <w:pPr>
        <w:spacing w:after="0" w:line="181" w:lineRule="exact"/>
        <w:rPr>
          <w:sz w:val="20"/>
          <w:szCs w:val="20"/>
          <w:color w:val="auto"/>
        </w:rPr>
      </w:pPr>
    </w:p>
    <w:p>
      <w:pPr>
        <w:jc w:val="both"/>
        <w:ind w:right="120" w:firstLine="259"/>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20" w:hanging="255"/>
        <w:spacing w:after="0" w:line="264" w:lineRule="auto"/>
        <w:tabs>
          <w:tab w:leader="none" w:pos="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 and</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2019 Convertible Senior Notes were used to pay down borrowings on the Revolving Credit Facility.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160" w:firstLine="259"/>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right="80" w:firstLine="259"/>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After giving effect to amendments to the credit and security agreement in January 2014 and March 2015, the facility (as amended, the “SPV Asset Facility”) had commitments of $175 million and the pricing ranged from cost of funds plus 225 basis points to LIBOR plus 235 basis points and the facility was scheduled to mature on January 21, 2021.</w:t>
      </w:r>
    </w:p>
    <w:p>
      <w:pPr>
        <w:spacing w:after="0" w:line="181" w:lineRule="exact"/>
        <w:rPr>
          <w:sz w:val="20"/>
          <w:szCs w:val="20"/>
          <w:color w:val="auto"/>
        </w:rPr>
      </w:pPr>
    </w:p>
    <w:p>
      <w:pPr>
        <w:ind w:right="340" w:firstLine="259"/>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the Company’s other debt obligations.</w:t>
      </w:r>
    </w:p>
    <w:p>
      <w:pPr>
        <w:spacing w:after="0" w:line="188" w:lineRule="exact"/>
        <w:rPr>
          <w:sz w:val="20"/>
          <w:szCs w:val="20"/>
          <w:color w:val="auto"/>
        </w:rPr>
      </w:pPr>
    </w:p>
    <w:p>
      <w:pPr>
        <w:ind w:firstLine="259"/>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jc w:val="both"/>
        <w:ind w:right="240" w:firstLine="259"/>
        <w:spacing w:after="0" w:line="288" w:lineRule="auto"/>
        <w:rPr>
          <w:sz w:val="20"/>
          <w:szCs w:val="20"/>
          <w:color w:val="auto"/>
        </w:rPr>
      </w:pPr>
      <w:r>
        <w:rPr>
          <w:rFonts w:ascii="Arial" w:cs="Arial" w:eastAsia="Arial" w:hAnsi="Arial"/>
          <w:sz w:val="16"/>
          <w:szCs w:val="16"/>
          <w:color w:val="auto"/>
        </w:rPr>
        <w:t>On June 10, 2014, the Company issued in a private offering $115 million aggregate principal amount convertible senior notes due December 2019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w:t>
      </w:r>
    </w:p>
    <w:p>
      <w:pPr>
        <w:ind w:right="140"/>
        <w:spacing w:after="0" w:line="268" w:lineRule="auto"/>
        <w:rPr>
          <w:sz w:val="20"/>
          <w:szCs w:val="20"/>
          <w:color w:val="auto"/>
        </w:rPr>
      </w:pPr>
      <w:r>
        <w:rPr>
          <w:rFonts w:ascii="Arial" w:cs="Arial" w:eastAsia="Arial" w:hAnsi="Arial"/>
          <w:sz w:val="17"/>
          <w:szCs w:val="17"/>
          <w:color w:val="auto"/>
        </w:rPr>
        <w:t>The 2019 Convertible Senior Notes will mature on December 15, 2019. In certain circumstances, the 2019 Convertible Senior Notes will be convertible into cash, shares of the Company’s common stock or a combination of cash and shares of the Company’s common stock, at the Company’s election, at an initial conversion rate of 38.7162 shares of common stock per $1,000 principal amount of 2019 Convertible Senior Notes, which is equivalent to an initial conversion price of approximately $25.83 per share of the Company’s common stock, subject to customary anti-dilution adjustments. The sale of the 2019 Convertible Senior Notes generated net proceeds of approximately $110.8 million. The Company used the net proceeds of the offering to pay down debt under the Revolving Credit Facility. In connection with the offering of 2019 Convertible Senior Notes, the Company entered into interest rate swaps to continue to align the interest rates of its liabilities with its investment portfolio, which consists of predominately floating rate loans. As a result of the swaps, the Company’s effective interest rate on the 2019 Convertible Senior Notes is three-month LIBOR plus 286 basis points. See Note 5 for further information related to the Company’s interest rate swaps.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2019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55" w:lineRule="auto"/>
        <w:tabs>
          <w:tab w:leader="none" w:pos="2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9" w:name="page110"/>
    <w:bookmarkEnd w:id="109"/>
    <w:p>
      <w:pPr>
        <w:spacing w:after="0" w:line="273" w:lineRule="auto"/>
        <w:rPr>
          <w:sz w:val="20"/>
          <w:szCs w:val="20"/>
          <w:color w:val="auto"/>
        </w:rPr>
      </w:pPr>
      <w:r>
        <w:rPr>
          <w:rFonts w:ascii="Arial" w:cs="Arial" w:eastAsia="Arial" w:hAnsi="Arial"/>
          <w:sz w:val="17"/>
          <w:szCs w:val="17"/>
          <w:color w:val="auto"/>
        </w:rPr>
        <w:t>quarter is greater than or equal to 130% of the conversion price on each applicable trading day; (2) during the five business day period after any five consecutive trading day period (the “measurement period”) in which the trading price (as defined in the indenture governing the 2019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8"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years ended December 31, 2016 and 2015, the components of interest expense related to the 2019 Convertible Senior Notes were as follows: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w:t>
            </w: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259"/>
        <w:spacing w:after="0" w:line="297"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years ended December 31, 2016 and 2015, the Company received $5.2 million and $5.2 million, respectively, and paid $4.1 million and $3.7 million, respectively, related to the quarterly settlement of its interest rate swaps. These net amounts are reductions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58"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As of December 31, 2016 and December 31, 2015, the principal amount of the 2019 Convertible Senior Notes exceeded the value of the underlying shares multiplied by the per share closing price of the Company’s common stock.</w:t>
      </w:r>
    </w:p>
    <w:p>
      <w:pPr>
        <w:spacing w:after="0" w:line="170"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As of December 31, 2016 and December 31, 2015, the components of the carrying value of the 2019 Convertible Senior Notes and the stated interest rate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December 31, 2016</w:t>
            </w:r>
          </w:p>
        </w:tc>
        <w:tc>
          <w:tcPr>
            <w:tcW w:w="32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(1,928)</w:t>
            </w:r>
          </w:p>
        </w:tc>
        <w:tc>
          <w:tcPr>
            <w:tcW w:w="32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(2,282)</w:t>
            </w:r>
          </w:p>
        </w:tc>
        <w:tc>
          <w:tcPr>
            <w:tcW w:w="3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110,790</w:t>
            </w:r>
          </w:p>
        </w:tc>
        <w:tc>
          <w:tcPr>
            <w:tcW w:w="1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109,427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vMerge w:val="continue"/>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259"/>
        <w:spacing w:after="0" w:line="308" w:lineRule="auto"/>
        <w:rPr>
          <w:sz w:val="20"/>
          <w:szCs w:val="20"/>
          <w:color w:val="auto"/>
        </w:rPr>
      </w:pPr>
      <w:r>
        <w:rPr>
          <w:rFonts w:ascii="Arial" w:cs="Arial" w:eastAsia="Arial" w:hAnsi="Arial"/>
          <w:sz w:val="17"/>
          <w:szCs w:val="17"/>
          <w:color w:val="auto"/>
        </w:rPr>
        <w:t>The stated interest rate in the table above does not include the effect of the interest rate swaps. The Company’s swap-adjusted interest rate as of December 31, 2016 was three-month LIBOR plus 286 basis points. Please see Note 5 for further information about the Company’s interest rate swaps.</w:t>
      </w:r>
    </w:p>
    <w:p>
      <w:pPr>
        <w:spacing w:after="0" w:line="14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The 2019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2019 Convertible Senior Notes under certain circumstances. These covenants are subject to important limitations and exceptions that are described in the 2019 Convertible Senior Notes Indenture. As of December 31, 2016, the Company was in compliance with the terms of the 2019 Convertible Senior Notes Indenture.</w:t>
      </w:r>
    </w:p>
    <w:p>
      <w:pPr>
        <w:spacing w:after="0" w:line="18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2019 Convertible Senior Notes are accounted for in accordance with Accounting Standards Codification (“ASC”) 470-20. Upon conversion of any of the 2019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2019 Convertible Senior Notes Indenture. The Company has determined that the embedded conversion option in the 2019 Convertible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0" w:name="page111"/>
    <w:bookmarkEnd w:id="110"/>
    <w:p>
      <w:pPr>
        <w:spacing w:after="0" w:line="276" w:lineRule="auto"/>
        <w:rPr>
          <w:sz w:val="20"/>
          <w:szCs w:val="20"/>
          <w:color w:val="auto"/>
        </w:rPr>
      </w:pPr>
      <w:r>
        <w:rPr>
          <w:rFonts w:ascii="Arial" w:cs="Arial" w:eastAsia="Arial" w:hAnsi="Arial"/>
          <w:sz w:val="17"/>
          <w:szCs w:val="17"/>
          <w:color w:val="auto"/>
        </w:rPr>
        <w:t>Senior Notes are not required to be separately accounted for as a derivative under U.S. GAAP. In accounting for the 2019 Convertible Senior Notes, the Company estimated at the time of issuance separate debt and equity components of the 2019 Convertible Senior Notes. An original issue discount equal to the equity components of the 2019 Convertible Senior Notes was recorded in “additional paid-in capital” in the accompanying consolidated balance sheet. Additionally, the issuance costs associated with the 2019 Convertible Senior Notes were allocated to the debt and equity components in proportion to the allocation of the proceeds and accounted for as debt issuance costs and equity issuance costs, respectively.</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2016 and December 31, 2015, the Company was in compliance with the terms of its debt obligations.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2016 and December 31, 2015, the Company had the following commitments to fund investments in current portfolio companies: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AvidXchange, Inc. - Delayed Draw Term Loan</w:t>
            </w:r>
          </w:p>
        </w:tc>
        <w:tc>
          <w:tcPr>
            <w:tcW w:w="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15,385</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Clarabridge,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FF0FC"/>
          </w:tcPr>
          <w:p>
            <w:pPr>
              <w:spacing w:after="0"/>
              <w:rPr>
                <w:sz w:val="19"/>
                <w:szCs w:val="19"/>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rPr>
              <w:t>CrunchTime Information Systems, Inc. - Delayed Draw</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Term Loan</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12,000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20"/>
                <w:szCs w:val="20"/>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Ecommerce Industries, Inc. - Delayed Draw Term Loan</w:t>
            </w:r>
          </w:p>
        </w:tc>
        <w:tc>
          <w:tcPr>
            <w:tcW w:w="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4,800</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Heartland Automotive Holdings, LLC - Revolver</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2,833</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Helix Health, Ltd.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Highwinds Capital, Inc. - Revolver</w:t>
            </w:r>
          </w:p>
        </w:tc>
        <w:tc>
          <w:tcPr>
            <w:tcW w:w="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Marketo,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MyAlarm Center, LLC - Delayed Draw</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2,164</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Network Merchants,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PayLease, LLC - Revolver</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SailPoint Technologies,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ScentAir Technologies, Inc. - Multi Draw Term Loan</w:t>
            </w:r>
          </w:p>
        </w:tc>
        <w:tc>
          <w:tcPr>
            <w:tcW w:w="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Sears - ABL Revolver</w:t>
            </w:r>
          </w:p>
        </w:tc>
        <w:tc>
          <w:tcPr>
            <w:tcW w:w="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17,913</w:t>
            </w:r>
          </w:p>
        </w:tc>
        <w:tc>
          <w:tcPr>
            <w:tcW w:w="6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78,646</w:t>
            </w: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As of December 31, 2016, the Company had additional unfunded commitments of $50.0 million to fund investments to new borrowers that were not current portfolio companies as of December 31, 2016. As of December 31, 2015, the Company did not have any unfunded commitments to fund investments to new borrowers that were not current portfolio companies as of December 31, 2015.</w:t>
      </w:r>
    </w:p>
    <w:p>
      <w:pPr>
        <w:spacing w:after="0" w:line="181"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2016, management is not aware of any pending or threatened litigation.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In March 2016, the Company issued a total of 5,000,000 shares of common stock at $16.42 per share. Net of underwriting fees and offering costs, the Company received total cash proceeds of $78.3 million.</w:t>
      </w:r>
    </w:p>
    <w:p>
      <w:pPr>
        <w:spacing w:after="0" w:line="170"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year ended December 31, 2016 and 2015. All shares issued to stockholders in the tables below are newly issued shares.</w:t>
      </w:r>
    </w:p>
    <w:p>
      <w:pPr>
        <w:spacing w:after="0" w:line="186"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2016</w:t>
            </w:r>
          </w:p>
        </w:tc>
        <w:tc>
          <w:tcPr>
            <w:tcW w:w="1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right"/>
              <w:ind w:right="760"/>
              <w:spacing w:after="0" w:line="147" w:lineRule="exact"/>
              <w:rPr>
                <w:sz w:val="20"/>
                <w:szCs w:val="20"/>
                <w:color w:val="auto"/>
              </w:rPr>
            </w:pPr>
            <w:r>
              <w:rPr>
                <w:rFonts w:ascii="Arial" w:cs="Arial" w:eastAsia="Arial" w:hAnsi="Arial"/>
                <w:sz w:val="14"/>
                <w:szCs w:val="14"/>
                <w:b w:val="1"/>
                <w:bCs w:val="1"/>
                <w:color w:val="auto"/>
              </w:rPr>
              <w:t>Date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gridSpan w:val="4"/>
          </w:tcPr>
          <w:p>
            <w:pPr>
              <w:spacing w:after="0"/>
              <w:rPr>
                <w:sz w:val="20"/>
                <w:szCs w:val="20"/>
                <w:color w:val="auto"/>
              </w:rPr>
            </w:pPr>
            <w:r>
              <w:rPr>
                <w:rFonts w:ascii="Arial" w:cs="Arial" w:eastAsia="Arial" w:hAnsi="Arial"/>
                <w:sz w:val="14"/>
                <w:szCs w:val="14"/>
                <w:b w:val="1"/>
                <w:bCs w:val="1"/>
                <w:color w:val="auto"/>
              </w:rPr>
              <w:t>Date Declared</w:t>
            </w:r>
          </w:p>
        </w:tc>
        <w:tc>
          <w:tcPr>
            <w:tcW w:w="40" w:type="dxa"/>
            <w:vAlign w:val="bottom"/>
          </w:tcPr>
          <w:p>
            <w:pPr>
              <w:spacing w:after="0"/>
              <w:rPr>
                <w:sz w:val="14"/>
                <w:szCs w:val="14"/>
                <w:color w:val="auto"/>
              </w:rPr>
            </w:pPr>
          </w:p>
        </w:tc>
        <w:tc>
          <w:tcPr>
            <w:tcW w:w="1940" w:type="dxa"/>
            <w:vAlign w:val="bottom"/>
            <w:gridSpan w:val="4"/>
          </w:tcPr>
          <w:p>
            <w:pPr>
              <w:ind w:left="500"/>
              <w:spacing w:after="0"/>
              <w:rPr>
                <w:sz w:val="20"/>
                <w:szCs w:val="20"/>
                <w:color w:val="auto"/>
              </w:rPr>
            </w:pPr>
            <w:r>
              <w:rPr>
                <w:rFonts w:ascii="Arial" w:cs="Arial" w:eastAsia="Arial" w:hAnsi="Arial"/>
                <w:sz w:val="14"/>
                <w:szCs w:val="14"/>
                <w:b w:val="1"/>
                <w:bCs w:val="1"/>
                <w:color w:val="auto"/>
              </w:rPr>
              <w:t>Record Date</w:t>
            </w:r>
          </w:p>
        </w:tc>
        <w:tc>
          <w:tcPr>
            <w:tcW w:w="1720" w:type="dxa"/>
            <w:vAlign w:val="bottom"/>
            <w:gridSpan w:val="4"/>
          </w:tcPr>
          <w:p>
            <w:pPr>
              <w:ind w:left="380"/>
              <w:spacing w:after="0"/>
              <w:rPr>
                <w:sz w:val="20"/>
                <w:szCs w:val="20"/>
                <w:color w:val="auto"/>
              </w:rPr>
            </w:pPr>
            <w:r>
              <w:rPr>
                <w:rFonts w:ascii="Arial" w:cs="Arial" w:eastAsia="Arial" w:hAnsi="Arial"/>
                <w:sz w:val="14"/>
                <w:szCs w:val="14"/>
                <w:b w:val="1"/>
                <w:bCs w:val="1"/>
                <w:color w:val="auto"/>
              </w:rPr>
              <w:t>Shares Issued</w:t>
            </w:r>
          </w:p>
        </w:tc>
        <w:tc>
          <w:tcPr>
            <w:tcW w:w="158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November 3, 2015</w:t>
            </w: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December 31, 2015</w:t>
            </w:r>
          </w:p>
        </w:tc>
        <w:tc>
          <w:tcPr>
            <w:tcW w:w="1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February 1, 2016</w:t>
            </w:r>
          </w:p>
        </w:tc>
        <w:tc>
          <w:tcPr>
            <w:tcW w:w="8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gridSpan w:val="2"/>
            <w:shd w:val="clear" w:color="auto" w:fill="CFF0FC"/>
          </w:tcPr>
          <w:p>
            <w:pPr>
              <w:ind w:left="900"/>
              <w:spacing w:after="0"/>
              <w:rPr>
                <w:sz w:val="20"/>
                <w:szCs w:val="20"/>
                <w:color w:val="auto"/>
              </w:rPr>
            </w:pPr>
            <w:r>
              <w:rPr>
                <w:rFonts w:ascii="Arial" w:cs="Arial" w:eastAsia="Arial" w:hAnsi="Arial"/>
                <w:sz w:val="18"/>
                <w:szCs w:val="18"/>
                <w:color w:val="auto"/>
                <w:w w:val="89"/>
              </w:rPr>
              <w:t>147,809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gridSpan w:val="4"/>
          </w:tcPr>
          <w:p>
            <w:pPr>
              <w:spacing w:after="0"/>
              <w:rPr>
                <w:sz w:val="20"/>
                <w:szCs w:val="20"/>
                <w:color w:val="auto"/>
              </w:rPr>
            </w:pPr>
            <w:r>
              <w:rPr>
                <w:rFonts w:ascii="Arial" w:cs="Arial" w:eastAsia="Arial" w:hAnsi="Arial"/>
                <w:sz w:val="18"/>
                <w:szCs w:val="18"/>
                <w:color w:val="auto"/>
              </w:rPr>
              <w:t>February 24, 2016</w:t>
            </w:r>
          </w:p>
        </w:tc>
        <w:tc>
          <w:tcPr>
            <w:tcW w:w="40" w:type="dxa"/>
            <w:vAlign w:val="bottom"/>
          </w:tcPr>
          <w:p>
            <w:pPr>
              <w:spacing w:after="0"/>
              <w:rPr>
                <w:sz w:val="19"/>
                <w:szCs w:val="19"/>
                <w:color w:val="auto"/>
              </w:rPr>
            </w:pPr>
          </w:p>
        </w:tc>
        <w:tc>
          <w:tcPr>
            <w:tcW w:w="1940" w:type="dxa"/>
            <w:vAlign w:val="bottom"/>
            <w:gridSpan w:val="4"/>
          </w:tcPr>
          <w:p>
            <w:pPr>
              <w:jc w:val="right"/>
              <w:ind w:right="100"/>
              <w:spacing w:after="0"/>
              <w:rPr>
                <w:sz w:val="20"/>
                <w:szCs w:val="20"/>
                <w:color w:val="auto"/>
              </w:rPr>
            </w:pPr>
            <w:r>
              <w:rPr>
                <w:rFonts w:ascii="Arial" w:cs="Arial" w:eastAsia="Arial" w:hAnsi="Arial"/>
                <w:sz w:val="18"/>
                <w:szCs w:val="18"/>
                <w:color w:val="auto"/>
              </w:rPr>
              <w:t>March 31, 2016</w:t>
            </w:r>
          </w:p>
        </w:tc>
        <w:tc>
          <w:tcPr>
            <w:tcW w:w="1720" w:type="dxa"/>
            <w:vAlign w:val="bottom"/>
            <w:gridSpan w:val="4"/>
          </w:tcPr>
          <w:p>
            <w:pPr>
              <w:jc w:val="right"/>
              <w:ind w:right="100"/>
              <w:spacing w:after="0"/>
              <w:rPr>
                <w:sz w:val="20"/>
                <w:szCs w:val="20"/>
                <w:color w:val="auto"/>
              </w:rPr>
            </w:pPr>
            <w:r>
              <w:rPr>
                <w:rFonts w:ascii="Arial" w:cs="Arial" w:eastAsia="Arial" w:hAnsi="Arial"/>
                <w:sz w:val="18"/>
                <w:szCs w:val="18"/>
                <w:color w:val="auto"/>
              </w:rPr>
              <w:t>May 2, 2016</w:t>
            </w:r>
          </w:p>
        </w:tc>
        <w:tc>
          <w:tcPr>
            <w:tcW w:w="1500" w:type="dxa"/>
            <w:vAlign w:val="bottom"/>
            <w:gridSpan w:val="2"/>
          </w:tcPr>
          <w:p>
            <w:pPr>
              <w:ind w:left="900"/>
              <w:spacing w:after="0"/>
              <w:rPr>
                <w:sz w:val="20"/>
                <w:szCs w:val="20"/>
                <w:color w:val="auto"/>
              </w:rPr>
            </w:pPr>
            <w:r>
              <w:rPr>
                <w:rFonts w:ascii="Arial" w:cs="Arial" w:eastAsia="Arial" w:hAnsi="Arial"/>
                <w:sz w:val="18"/>
                <w:szCs w:val="18"/>
                <w:color w:val="auto"/>
                <w:w w:val="89"/>
              </w:rPr>
              <w:t>186,204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May 4, 2016</w:t>
            </w:r>
          </w:p>
        </w:tc>
        <w:tc>
          <w:tcPr>
            <w:tcW w:w="40" w:type="dxa"/>
            <w:vAlign w:val="bottom"/>
            <w:shd w:val="clear" w:color="auto" w:fill="CFF0FC"/>
          </w:tcPr>
          <w:p>
            <w:pPr>
              <w:spacing w:after="0"/>
              <w:rPr>
                <w:sz w:val="19"/>
                <w:szCs w:val="19"/>
                <w:color w:val="auto"/>
              </w:rPr>
            </w:pPr>
          </w:p>
        </w:tc>
        <w:tc>
          <w:tcPr>
            <w:tcW w:w="19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June 30, 2016</w:t>
            </w:r>
          </w:p>
        </w:tc>
        <w:tc>
          <w:tcPr>
            <w:tcW w:w="172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August 1, 2016</w:t>
            </w:r>
          </w:p>
        </w:tc>
        <w:tc>
          <w:tcPr>
            <w:tcW w:w="150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w w:val="89"/>
              </w:rPr>
              <w:t>168,621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August 3, 2016</w:t>
            </w:r>
          </w:p>
        </w:tc>
        <w:tc>
          <w:tcPr>
            <w:tcW w:w="40" w:type="dxa"/>
            <w:vAlign w:val="bottom"/>
            <w:tcBorders>
              <w:bottom w:val="single" w:sz="8" w:color="CFF0FC"/>
            </w:tcBorders>
          </w:tcPr>
          <w:p>
            <w:pPr>
              <w:spacing w:after="0"/>
              <w:rPr>
                <w:sz w:val="19"/>
                <w:szCs w:val="19"/>
                <w:color w:val="auto"/>
              </w:rPr>
            </w:pPr>
          </w:p>
        </w:tc>
        <w:tc>
          <w:tcPr>
            <w:tcW w:w="1940" w:type="dxa"/>
            <w:vAlign w:val="bottom"/>
            <w:tcBorders>
              <w:bottom w:val="single" w:sz="8" w:color="CFF0FC"/>
            </w:tcBorders>
            <w:gridSpan w:val="4"/>
          </w:tcPr>
          <w:p>
            <w:pPr>
              <w:jc w:val="right"/>
              <w:ind w:right="120"/>
              <w:spacing w:after="0"/>
              <w:rPr>
                <w:sz w:val="20"/>
                <w:szCs w:val="20"/>
                <w:color w:val="auto"/>
              </w:rPr>
            </w:pPr>
            <w:r>
              <w:rPr>
                <w:rFonts w:ascii="Arial" w:cs="Arial" w:eastAsia="Arial" w:hAnsi="Arial"/>
                <w:sz w:val="18"/>
                <w:szCs w:val="18"/>
                <w:color w:val="auto"/>
              </w:rPr>
              <w:t>September 30, 2016</w:t>
            </w:r>
          </w:p>
        </w:tc>
        <w:tc>
          <w:tcPr>
            <w:tcW w:w="1720" w:type="dxa"/>
            <w:vAlign w:val="bottom"/>
            <w:tcBorders>
              <w:bottom w:val="single" w:sz="8" w:color="CFF0FC"/>
            </w:tcBorders>
            <w:gridSpan w:val="4"/>
          </w:tcPr>
          <w:p>
            <w:pPr>
              <w:jc w:val="right"/>
              <w:ind w:right="100"/>
              <w:spacing w:after="0"/>
              <w:rPr>
                <w:sz w:val="20"/>
                <w:szCs w:val="20"/>
                <w:color w:val="auto"/>
              </w:rPr>
            </w:pPr>
            <w:r>
              <w:rPr>
                <w:rFonts w:ascii="Arial" w:cs="Arial" w:eastAsia="Arial" w:hAnsi="Arial"/>
                <w:sz w:val="18"/>
                <w:szCs w:val="18"/>
                <w:color w:val="auto"/>
              </w:rPr>
              <w:t>November 1, 2016</w:t>
            </w:r>
          </w:p>
        </w:tc>
        <w:tc>
          <w:tcPr>
            <w:tcW w:w="150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w w:val="89"/>
              </w:rPr>
              <w:t>135,692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CFF0FC"/>
            </w:tcBorders>
            <w:shd w:val="clear" w:color="auto" w:fill="CFF0FC"/>
          </w:tcPr>
          <w:p>
            <w:pPr>
              <w:spacing w:after="0"/>
              <w:rPr>
                <w:sz w:val="19"/>
                <w:szCs w:val="19"/>
                <w:color w:val="auto"/>
              </w:rPr>
            </w:pPr>
          </w:p>
        </w:tc>
        <w:tc>
          <w:tcPr>
            <w:tcW w:w="39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b w:val="1"/>
                <w:bCs w:val="1"/>
                <w:color w:val="auto"/>
              </w:rPr>
              <w:t>Total Shares Issued</w:t>
            </w:r>
          </w:p>
        </w:tc>
        <w:tc>
          <w:tcPr>
            <w:tcW w:w="4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gridSpan w:val="2"/>
            <w:shd w:val="clear" w:color="auto" w:fill="CFF0FC"/>
          </w:tcPr>
          <w:p>
            <w:pPr>
              <w:ind w:left="900"/>
              <w:spacing w:after="0"/>
              <w:rPr>
                <w:sz w:val="20"/>
                <w:szCs w:val="20"/>
                <w:color w:val="auto"/>
              </w:rPr>
            </w:pPr>
            <w:r>
              <w:rPr>
                <w:rFonts w:ascii="Arial" w:cs="Arial" w:eastAsia="Arial" w:hAnsi="Arial"/>
                <w:sz w:val="18"/>
                <w:szCs w:val="18"/>
                <w:color w:val="auto"/>
                <w:w w:val="89"/>
              </w:rPr>
              <w:t>638,326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2015</w:t>
            </w:r>
          </w:p>
        </w:tc>
        <w:tc>
          <w:tcPr>
            <w:tcW w:w="1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ind w:left="540"/>
              <w:spacing w:after="0" w:line="147" w:lineRule="exact"/>
              <w:rPr>
                <w:sz w:val="20"/>
                <w:szCs w:val="20"/>
                <w:color w:val="auto"/>
              </w:rPr>
            </w:pPr>
            <w:r>
              <w:rPr>
                <w:rFonts w:ascii="Arial" w:cs="Arial" w:eastAsia="Arial" w:hAnsi="Arial"/>
                <w:sz w:val="14"/>
                <w:szCs w:val="14"/>
                <w:b w:val="1"/>
                <w:bCs w:val="1"/>
                <w:color w:val="auto"/>
              </w:rPr>
              <w:t>Date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 Declared</w:t>
            </w:r>
          </w:p>
        </w:tc>
        <w:tc>
          <w:tcPr>
            <w:tcW w:w="40" w:type="dxa"/>
            <w:vAlign w:val="bottom"/>
          </w:tcPr>
          <w:p>
            <w:pPr>
              <w:spacing w:after="0"/>
              <w:rPr>
                <w:sz w:val="14"/>
                <w:szCs w:val="14"/>
                <w:color w:val="auto"/>
              </w:rPr>
            </w:pPr>
          </w:p>
        </w:tc>
        <w:tc>
          <w:tcPr>
            <w:tcW w:w="1940" w:type="dxa"/>
            <w:vAlign w:val="bottom"/>
            <w:gridSpan w:val="4"/>
          </w:tcPr>
          <w:p>
            <w:pPr>
              <w:ind w:left="460"/>
              <w:spacing w:after="0"/>
              <w:rPr>
                <w:sz w:val="20"/>
                <w:szCs w:val="20"/>
                <w:color w:val="auto"/>
              </w:rPr>
            </w:pPr>
            <w:r>
              <w:rPr>
                <w:rFonts w:ascii="Arial" w:cs="Arial" w:eastAsia="Arial" w:hAnsi="Arial"/>
                <w:sz w:val="14"/>
                <w:szCs w:val="14"/>
                <w:b w:val="1"/>
                <w:bCs w:val="1"/>
                <w:color w:val="auto"/>
              </w:rPr>
              <w:t>Record Date</w:t>
            </w:r>
          </w:p>
        </w:tc>
        <w:tc>
          <w:tcPr>
            <w:tcW w:w="1720" w:type="dxa"/>
            <w:vAlign w:val="bottom"/>
            <w:gridSpan w:val="4"/>
          </w:tcPr>
          <w:p>
            <w:pPr>
              <w:ind w:left="260"/>
              <w:spacing w:after="0"/>
              <w:rPr>
                <w:sz w:val="20"/>
                <w:szCs w:val="20"/>
                <w:color w:val="auto"/>
              </w:rPr>
            </w:pPr>
            <w:r>
              <w:rPr>
                <w:rFonts w:ascii="Arial" w:cs="Arial" w:eastAsia="Arial" w:hAnsi="Arial"/>
                <w:sz w:val="14"/>
                <w:szCs w:val="14"/>
                <w:b w:val="1"/>
                <w:bCs w:val="1"/>
                <w:color w:val="auto"/>
              </w:rPr>
              <w:t>Shares Issued</w:t>
            </w:r>
          </w:p>
        </w:tc>
        <w:tc>
          <w:tcPr>
            <w:tcW w:w="1580" w:type="dxa"/>
            <w:vAlign w:val="bottom"/>
            <w:gridSpan w:val="3"/>
          </w:tcPr>
          <w:p>
            <w:pPr>
              <w:ind w:left="22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8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November 3, 2014</w:t>
            </w: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31, 2014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 2015</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9"/>
              </w:rPr>
              <w:t>162,490</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February 24, 2015</w:t>
            </w:r>
          </w:p>
        </w:tc>
        <w:tc>
          <w:tcPr>
            <w:tcW w:w="40" w:type="dxa"/>
            <w:vAlign w:val="bottom"/>
          </w:tcPr>
          <w:p>
            <w:pPr>
              <w:spacing w:after="0"/>
              <w:rPr>
                <w:sz w:val="19"/>
                <w:szCs w:val="19"/>
                <w:color w:val="auto"/>
              </w:rPr>
            </w:pPr>
          </w:p>
        </w:tc>
        <w:tc>
          <w:tcPr>
            <w:tcW w:w="1940" w:type="dxa"/>
            <w:vAlign w:val="bottom"/>
            <w:gridSpan w:val="4"/>
          </w:tcPr>
          <w:p>
            <w:pPr>
              <w:jc w:val="right"/>
              <w:ind w:right="240"/>
              <w:spacing w:after="0"/>
              <w:rPr>
                <w:sz w:val="20"/>
                <w:szCs w:val="20"/>
                <w:color w:val="auto"/>
              </w:rPr>
            </w:pPr>
            <w:r>
              <w:rPr>
                <w:rFonts w:ascii="Arial" w:cs="Arial" w:eastAsia="Arial" w:hAnsi="Arial"/>
                <w:sz w:val="18"/>
                <w:szCs w:val="18"/>
                <w:color w:val="auto"/>
              </w:rPr>
              <w:t>March 31, 2015</w:t>
            </w:r>
          </w:p>
        </w:tc>
        <w:tc>
          <w:tcPr>
            <w:tcW w:w="1720" w:type="dxa"/>
            <w:vAlign w:val="bottom"/>
            <w:gridSpan w:val="4"/>
          </w:tcPr>
          <w:p>
            <w:pPr>
              <w:jc w:val="right"/>
              <w:ind w:right="220"/>
              <w:spacing w:after="0"/>
              <w:rPr>
                <w:sz w:val="20"/>
                <w:szCs w:val="20"/>
                <w:color w:val="auto"/>
              </w:rPr>
            </w:pPr>
            <w:r>
              <w:rPr>
                <w:rFonts w:ascii="Arial" w:cs="Arial" w:eastAsia="Arial" w:hAnsi="Arial"/>
                <w:sz w:val="18"/>
                <w:szCs w:val="18"/>
                <w:color w:val="auto"/>
              </w:rPr>
              <w:t>May 1, 2015</w:t>
            </w:r>
          </w:p>
        </w:tc>
        <w:tc>
          <w:tcPr>
            <w:tcW w:w="1420" w:type="dxa"/>
            <w:vAlign w:val="bottom"/>
          </w:tcPr>
          <w:p>
            <w:pPr>
              <w:ind w:left="900"/>
              <w:spacing w:after="0"/>
              <w:rPr>
                <w:sz w:val="20"/>
                <w:szCs w:val="20"/>
                <w:color w:val="auto"/>
              </w:rPr>
            </w:pPr>
            <w:r>
              <w:rPr>
                <w:rFonts w:ascii="Arial" w:cs="Arial" w:eastAsia="Arial" w:hAnsi="Arial"/>
                <w:sz w:val="18"/>
                <w:szCs w:val="18"/>
                <w:color w:val="auto"/>
                <w:w w:val="90"/>
              </w:rPr>
              <w:t>41,441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May 7, 2015</w:t>
            </w:r>
          </w:p>
        </w:tc>
        <w:tc>
          <w:tcPr>
            <w:tcW w:w="40" w:type="dxa"/>
            <w:vAlign w:val="bottom"/>
            <w:shd w:val="clear" w:color="auto" w:fill="CFF0FC"/>
          </w:tcPr>
          <w:p>
            <w:pPr>
              <w:spacing w:after="0"/>
              <w:rPr>
                <w:sz w:val="19"/>
                <w:szCs w:val="19"/>
                <w:color w:val="auto"/>
              </w:rPr>
            </w:pPr>
          </w:p>
        </w:tc>
        <w:tc>
          <w:tcPr>
            <w:tcW w:w="194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June 30, 2015</w:t>
            </w:r>
          </w:p>
        </w:tc>
        <w:tc>
          <w:tcPr>
            <w:tcW w:w="1720" w:type="dxa"/>
            <w:vAlign w:val="bottom"/>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August 3, 2015</w:t>
            </w:r>
          </w:p>
        </w:tc>
        <w:tc>
          <w:tcPr>
            <w:tcW w:w="142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0"/>
              </w:rPr>
              <w:t>26,258</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August 4, 2015</w:t>
            </w:r>
          </w:p>
        </w:tc>
        <w:tc>
          <w:tcPr>
            <w:tcW w:w="40" w:type="dxa"/>
            <w:vAlign w:val="bottom"/>
          </w:tcPr>
          <w:p>
            <w:pPr>
              <w:spacing w:after="0"/>
              <w:rPr>
                <w:sz w:val="19"/>
                <w:szCs w:val="19"/>
                <w:color w:val="auto"/>
              </w:rPr>
            </w:pPr>
          </w:p>
        </w:tc>
        <w:tc>
          <w:tcPr>
            <w:tcW w:w="1940" w:type="dxa"/>
            <w:vAlign w:val="bottom"/>
            <w:gridSpan w:val="4"/>
          </w:tcPr>
          <w:p>
            <w:pPr>
              <w:jc w:val="right"/>
              <w:ind w:right="240"/>
              <w:spacing w:after="0"/>
              <w:rPr>
                <w:sz w:val="20"/>
                <w:szCs w:val="20"/>
                <w:color w:val="auto"/>
              </w:rPr>
            </w:pPr>
            <w:r>
              <w:rPr>
                <w:rFonts w:ascii="Arial" w:cs="Arial" w:eastAsia="Arial" w:hAnsi="Arial"/>
                <w:sz w:val="18"/>
                <w:szCs w:val="18"/>
                <w:color w:val="auto"/>
              </w:rPr>
              <w:t>September 30, 2015</w:t>
            </w:r>
          </w:p>
        </w:tc>
        <w:tc>
          <w:tcPr>
            <w:tcW w:w="1720" w:type="dxa"/>
            <w:vAlign w:val="bottom"/>
            <w:gridSpan w:val="4"/>
          </w:tcPr>
          <w:p>
            <w:pPr>
              <w:jc w:val="right"/>
              <w:ind w:right="220"/>
              <w:spacing w:after="0"/>
              <w:rPr>
                <w:sz w:val="20"/>
                <w:szCs w:val="20"/>
                <w:color w:val="auto"/>
              </w:rPr>
            </w:pPr>
            <w:r>
              <w:rPr>
                <w:rFonts w:ascii="Arial" w:cs="Arial" w:eastAsia="Arial" w:hAnsi="Arial"/>
                <w:sz w:val="18"/>
                <w:szCs w:val="18"/>
                <w:color w:val="auto"/>
                <w:w w:val="99"/>
              </w:rPr>
              <w:t>November 2, 2015</w:t>
            </w: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138,413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920" w:type="dxa"/>
            <w:vAlign w:val="bottom"/>
            <w:tcBorders>
              <w:top w:val="single" w:sz="8" w:color="CFF0FC"/>
              <w:bottom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9"/>
              </w:rPr>
              <w:t>368,602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259"/>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over a specified period, in accordance with the guidelines specified in Rule 10b-18 and Rule 10b5-1 of the Exchange Act.</w:t>
      </w:r>
    </w:p>
    <w:p>
      <w:pPr>
        <w:spacing w:after="0" w:line="181"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On August 3, 2016, the Board authorized the extension of the termination date of the Company 10b5-1 Plan to February 28, 2017. Unless extended or terminated by the Board, the Company 10b5-1 Plan will be in effect through the earlier of February 28, 2017 or such time as the current approved repurchase amount of up to $50 million has been fully utilized, subject to certain conditions.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12" w:name="page113"/>
    <w:bookmarkEnd w:id="112"/>
    <w:p>
      <w:pPr>
        <w:ind w:right="220" w:firstLine="259"/>
        <w:spacing w:after="0" w:line="279" w:lineRule="auto"/>
        <w:rPr>
          <w:sz w:val="20"/>
          <w:szCs w:val="20"/>
          <w:color w:val="auto"/>
        </w:rPr>
      </w:pPr>
      <w:r>
        <w:rPr>
          <w:rFonts w:ascii="Arial" w:cs="Arial" w:eastAsia="Arial" w:hAnsi="Arial"/>
          <w:sz w:val="17"/>
          <w:szCs w:val="17"/>
          <w:color w:val="auto"/>
        </w:rPr>
        <w:t>During the year ended December 31, 2016, the Company repurchased 86,081 shares under the Company 10b5-1 Plan at a weighted average price per share of $15.44, inclusive of commissions, for a total cost of $1.3 million. During the year ended December 31, 2015, 2,000 shares were repurchased under the Company 10b5-1 Plan at a weighted average price per share of $14.44, inclusive of commissions, for a total cost of $28.9. On February 22, 2017, the Board authorized the extension of the termination date of the Company 10b5-1 Plan to August 3, 2017.</w:t>
      </w:r>
    </w:p>
    <w:p>
      <w:pPr>
        <w:spacing w:after="0" w:line="171" w:lineRule="exact"/>
        <w:rPr>
          <w:sz w:val="20"/>
          <w:szCs w:val="20"/>
          <w:color w:val="auto"/>
        </w:rPr>
      </w:pPr>
    </w:p>
    <w:p>
      <w:pPr>
        <w:ind w:right="340" w:firstLine="259"/>
        <w:spacing w:after="0" w:line="257" w:lineRule="auto"/>
        <w:rPr>
          <w:sz w:val="20"/>
          <w:szCs w:val="20"/>
          <w:color w:val="auto"/>
        </w:rPr>
      </w:pPr>
      <w:r>
        <w:rPr>
          <w:rFonts w:ascii="Arial" w:cs="Arial" w:eastAsia="Arial" w:hAnsi="Arial"/>
          <w:sz w:val="18"/>
          <w:szCs w:val="18"/>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For dates prior to December 3, 2013, the Company has retroactively applied the effect of the stock split to the financial information presented herein by multiplying numbers of shares outstanding by 66.676 and dividing per share amounts by 66.676.</w:t>
      </w:r>
    </w:p>
    <w:p>
      <w:pPr>
        <w:spacing w:after="0" w:line="373" w:lineRule="exact"/>
        <w:rPr>
          <w:sz w:val="20"/>
          <w:szCs w:val="20"/>
          <w:color w:val="auto"/>
        </w:rPr>
      </w:pPr>
    </w:p>
    <w:p>
      <w:pPr>
        <w:ind w:left="280" w:hanging="272"/>
        <w:spacing w:after="0"/>
        <w:tabs>
          <w:tab w:leader="none" w:pos="2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Year Ended</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w w:val="93"/>
              </w:rPr>
              <w:t>December 31, 2016</w:t>
            </w:r>
          </w:p>
        </w:tc>
        <w:tc>
          <w:tcPr>
            <w:tcW w:w="12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December 31, 2015</w:t>
            </w:r>
          </w:p>
        </w:tc>
        <w:tc>
          <w:tcPr>
            <w:tcW w:w="20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December 31, 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137,007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63,568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85,050</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Weighted average shares of common stock</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outstanding—basic and diluted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58,591,380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54,006,322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50,509,692</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9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2.34</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48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60" w:firstLine="285"/>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year ended December 31, 2016 was less than the conversion price for the 2019 Convertible Senior Notes outstanding as of December 31, 2016. Therefore, for all periods presented in the financial statements, the underlying shares for the intrinsic value of the embedded options in the 2019 Convertible Senior Notes have no impact on the computation of diluted earnings per common share.</w:t>
      </w:r>
    </w:p>
    <w:p>
      <w:pPr>
        <w:spacing w:after="0" w:line="372" w:lineRule="exact"/>
        <w:rPr>
          <w:sz w:val="20"/>
          <w:szCs w:val="20"/>
          <w:color w:val="auto"/>
        </w:rPr>
      </w:pPr>
    </w:p>
    <w:p>
      <w:pPr>
        <w:ind w:left="260" w:hanging="252"/>
        <w:spacing w:after="0"/>
        <w:tabs>
          <w:tab w:leader="none" w:pos="2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48"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dividends declared during the years ended December 31,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4"/>
                <w:szCs w:val="14"/>
                <w:b w:val="1"/>
                <w:bCs w:val="1"/>
                <w:color w:val="auto"/>
                <w:w w:val="93"/>
              </w:rPr>
              <w:t>December 31, 2016</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vMerge w:val="continue"/>
          </w:tcPr>
          <w:p>
            <w:pPr>
              <w:spacing w:after="0"/>
              <w:rPr>
                <w:sz w:val="13"/>
                <w:szCs w:val="13"/>
                <w:color w:val="auto"/>
              </w:rPr>
            </w:pPr>
          </w:p>
        </w:tc>
        <w:tc>
          <w:tcPr>
            <w:tcW w:w="2140" w:type="dxa"/>
            <w:vAlign w:val="bottom"/>
            <w:gridSpan w:val="2"/>
          </w:tcPr>
          <w:p>
            <w:pPr>
              <w:ind w:left="600"/>
              <w:spacing w:after="0" w:line="155" w:lineRule="exact"/>
              <w:rPr>
                <w:sz w:val="20"/>
                <w:szCs w:val="20"/>
                <w:color w:val="auto"/>
              </w:rPr>
            </w:pPr>
            <w:r>
              <w:rPr>
                <w:rFonts w:ascii="Arial" w:cs="Arial" w:eastAsia="Arial" w:hAnsi="Arial"/>
                <w:sz w:val="14"/>
                <w:szCs w:val="14"/>
                <w:b w:val="1"/>
                <w:bCs w:val="1"/>
                <w:color w:val="auto"/>
              </w:rPr>
              <w:t>Record Date</w:t>
            </w:r>
          </w:p>
        </w:tc>
        <w:tc>
          <w:tcPr>
            <w:tcW w:w="214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30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w w:val="92"/>
              </w:rPr>
              <w:t>Dividend per Share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2016</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2016</w:t>
            </w:r>
          </w:p>
        </w:tc>
        <w:tc>
          <w:tcPr>
            <w:tcW w:w="14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29, 2016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May 4, 2016</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June 30, 2016</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July 29, 2016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August 3, 2016</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September 30, 2016</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October 31, 2016</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7, 2016</w:t>
            </w:r>
          </w:p>
        </w:tc>
        <w:tc>
          <w:tcPr>
            <w:tcW w:w="21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December 31, 2016</w:t>
            </w:r>
          </w:p>
        </w:tc>
        <w:tc>
          <w:tcPr>
            <w:tcW w:w="21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January 31, 2017</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Dividends Declared</w:t>
            </w:r>
          </w:p>
        </w:tc>
        <w:tc>
          <w:tcPr>
            <w:tcW w:w="2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4"/>
                <w:szCs w:val="14"/>
                <w:b w:val="1"/>
                <w:bCs w:val="1"/>
                <w:color w:val="auto"/>
                <w:w w:val="93"/>
              </w:rPr>
              <w:t>December 31, 2015</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vMerge w:val="continue"/>
          </w:tcPr>
          <w:p>
            <w:pPr>
              <w:spacing w:after="0"/>
              <w:rPr>
                <w:sz w:val="13"/>
                <w:szCs w:val="13"/>
                <w:color w:val="auto"/>
              </w:rPr>
            </w:pPr>
          </w:p>
        </w:tc>
        <w:tc>
          <w:tcPr>
            <w:tcW w:w="2140" w:type="dxa"/>
            <w:vAlign w:val="bottom"/>
            <w:gridSpan w:val="2"/>
          </w:tcPr>
          <w:p>
            <w:pPr>
              <w:ind w:left="600"/>
              <w:spacing w:after="0" w:line="155" w:lineRule="exact"/>
              <w:rPr>
                <w:sz w:val="20"/>
                <w:szCs w:val="20"/>
                <w:color w:val="auto"/>
              </w:rPr>
            </w:pPr>
            <w:r>
              <w:rPr>
                <w:rFonts w:ascii="Arial" w:cs="Arial" w:eastAsia="Arial" w:hAnsi="Arial"/>
                <w:sz w:val="14"/>
                <w:szCs w:val="14"/>
                <w:b w:val="1"/>
                <w:bCs w:val="1"/>
                <w:color w:val="auto"/>
              </w:rPr>
              <w:t>Record Date</w:t>
            </w:r>
          </w:p>
        </w:tc>
        <w:tc>
          <w:tcPr>
            <w:tcW w:w="214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30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w w:val="92"/>
              </w:rPr>
              <w:t>Dividend per Share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2015</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2015</w:t>
            </w:r>
          </w:p>
        </w:tc>
        <w:tc>
          <w:tcPr>
            <w:tcW w:w="14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30, 2015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May 7, 2015</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June 30, 2015</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July 31, 2015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August 4, 2015</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September 30, 2015</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October 30, 2015</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3, 2015</w:t>
            </w:r>
          </w:p>
        </w:tc>
        <w:tc>
          <w:tcPr>
            <w:tcW w:w="21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December 31, 2015</w:t>
            </w:r>
          </w:p>
        </w:tc>
        <w:tc>
          <w:tcPr>
            <w:tcW w:w="21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January 29, 2016</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Dividends Declared</w:t>
            </w:r>
          </w:p>
        </w:tc>
        <w:tc>
          <w:tcPr>
            <w:tcW w:w="2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The dividends declared during the years ended December 31, 2016 and December 31, 2015, were derived from net investment income and long-term capital gains, determined on a tax basis.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3" w:name="page114"/>
    <w:bookmarkEnd w:id="113"/>
    <w:p>
      <w:pPr>
        <w:ind w:left="280" w:hanging="272"/>
        <w:spacing w:after="0"/>
        <w:tabs>
          <w:tab w:leader="none" w:pos="2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tax character of shareholder distributions attributable to the fiscal years ended December 31, 2016, 2015 and 2014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14"/>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94"/>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2016</w:t>
            </w:r>
          </w:p>
        </w:tc>
        <w:tc>
          <w:tcPr>
            <w:tcW w:w="2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2015</w:t>
            </w:r>
          </w:p>
        </w:tc>
        <w:tc>
          <w:tcPr>
            <w:tcW w:w="2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Ordinary Income </w:t>
            </w:r>
            <w:r>
              <w:rPr>
                <w:rFonts w:ascii="Arial" w:cs="Arial" w:eastAsia="Arial" w:hAnsi="Arial"/>
                <w:sz w:val="15"/>
                <w:szCs w:val="15"/>
                <w:color w:val="auto"/>
              </w:rPr>
              <w:t>(1)</w:t>
            </w: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89,916</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80,077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 Gains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9,366</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92,794</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84,298</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81,326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60" w:hanging="512"/>
        <w:spacing w:after="0" w:line="277" w:lineRule="auto"/>
        <w:tabs>
          <w:tab w:leader="none" w:pos="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the years ended December 31, 2016, 2015 and 2014, 82.52%, 83.04%, and 78.85% of ordinary income qualified as interest related dividend which is exempt from U.S. withholding tax applicable to non-U.S. shareholders.</w:t>
      </w:r>
    </w:p>
    <w:p>
      <w:pPr>
        <w:spacing w:after="0" w:line="170"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2016, 2015 and 2014, to taxable income at December 31, 2016, 2015 and 2014:</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December 31, 2016</w:t>
            </w:r>
          </w:p>
        </w:tc>
        <w:tc>
          <w:tcPr>
            <w:tcW w:w="80" w:type="dxa"/>
            <w:vAlign w:val="bottom"/>
          </w:tcPr>
          <w:p>
            <w:pPr>
              <w:spacing w:after="0"/>
              <w:rPr>
                <w:sz w:val="14"/>
                <w:szCs w:val="14"/>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December 31, 2015</w:t>
            </w:r>
          </w:p>
        </w:tc>
        <w:tc>
          <w:tcPr>
            <w:tcW w:w="20" w:type="dxa"/>
            <w:vAlign w:val="bottom"/>
          </w:tcPr>
          <w:p>
            <w:pPr>
              <w:spacing w:after="0"/>
              <w:rPr>
                <w:sz w:val="14"/>
                <w:szCs w:val="14"/>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December 31, 2014</w:t>
            </w: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137,007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63,568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85,050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loss on investments</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(29,802)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Other income (loss) for tax purposes, not book</w:t>
            </w: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organization costs</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Other expenses not currently deductible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book-tax differences</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80"/>
              <w:spacing w:after="0"/>
              <w:rPr>
                <w:sz w:val="20"/>
                <w:szCs w:val="20"/>
                <w:color w:val="auto"/>
              </w:rPr>
            </w:pPr>
            <w:r>
              <w:rPr>
                <w:rFonts w:ascii="Arial" w:cs="Arial" w:eastAsia="Arial" w:hAnsi="Arial"/>
                <w:sz w:val="18"/>
                <w:szCs w:val="18"/>
                <w:b w:val="1"/>
                <w:bCs w:val="1"/>
                <w:color w:val="auto"/>
              </w:rPr>
              <w:t>Taxable Income</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96,067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jc w:val="both"/>
        <w:ind w:right="240" w:firstLine="259"/>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During the year ended December 31, 2016, permanent differences were principally related to $2.3 million of recharacterization of income for tax purposes between ordinary income and capital gains, $1.8 million attributable to accrued U.S. federal excise taxes, $1.0 million of recharacterization of prepayment penalties for tax purposes between ordinary income and capital gains, and $0.4 million attributable to the foreign currency reclassifications. During the year ended December 31, 2015, permanent differences were principally related to $13.8 million of recharacterization of prepayment penalties for tax purposes between ordinary income and capital gains, $1.2 million attributable to accrued U.S. federal excise taxes, and $0.1 million attributable to the foreign currency reclassifications. During the year ended December 31, 2014, permanent differences were principally related to $19.9 million of recharacterization of prepayment penalties for tax purposes between ordinary income and capital gains, $1.1 million attributable to accrued U.S. federal excise taxes, and $0.2 million attributable to the foreign currency reclassifications.</w:t>
      </w:r>
    </w:p>
    <w:p>
      <w:pPr>
        <w:spacing w:after="0" w:line="179"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As of December 31, 2016, the Company had a deferred tax asset of $3.1 million pertaining to operating losses, related to one of its investments. Given the losses generated by the entity, the deferred tax asset has been offset by a valuation allowance of $3.1 million. As of December 31, 2015, the Company had a deferred tax asset of $1.5 million pertaining to unrealized depreciation and a $1.6 million deferred tax asset pertaining to operating losses, related to one of its investments. Given the losses generated by the entity, the deferred tax assets have been offset by valuation allowances of $1.5 million and $1.6 million for the deferred tax asset generated from unrealized depreciation and operating income, respectively. There were no deferred tax assets or liabilities as of December 31, 2014.</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tax cost of the Company’s investments as of December 31, 2016 and 2015, approximates their amortized cost.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480" w:firstLine="259"/>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2016, 2015, 2014, 2013, and 2012.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60" w:type="dxa"/>
            <w:vAlign w:val="bottom"/>
            <w:gridSpan w:val="4"/>
          </w:tcPr>
          <w:p>
            <w:pPr>
              <w:ind w:left="660"/>
              <w:spacing w:after="0"/>
              <w:rPr>
                <w:sz w:val="20"/>
                <w:szCs w:val="20"/>
                <w:color w:val="auto"/>
              </w:rPr>
            </w:pPr>
            <w:r>
              <w:rPr>
                <w:rFonts w:ascii="Arial" w:cs="Arial" w:eastAsia="Arial" w:hAnsi="Arial"/>
                <w:sz w:val="14"/>
                <w:szCs w:val="14"/>
                <w:b w:val="1"/>
                <w:bCs w:val="1"/>
                <w:color w:val="auto"/>
              </w:rPr>
              <w:t>December 31, 2016</w:t>
            </w:r>
          </w:p>
        </w:tc>
        <w:tc>
          <w:tcPr>
            <w:tcW w:w="146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2015</w:t>
            </w:r>
          </w:p>
        </w:tc>
        <w:tc>
          <w:tcPr>
            <w:tcW w:w="152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2014</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(5)(7)</w:t>
            </w:r>
          </w:p>
        </w:tc>
        <w:tc>
          <w:tcPr>
            <w:tcW w:w="6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15.53</w:t>
            </w:r>
          </w:p>
        </w:tc>
        <w:tc>
          <w:tcPr>
            <w:tcW w:w="24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15.52</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15.19</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(loss) </w:t>
            </w:r>
            <w:r>
              <w:rPr>
                <w:rFonts w:ascii="Arial" w:cs="Arial" w:eastAsia="Arial" w:hAnsi="Arial"/>
                <w:sz w:val="15"/>
                <w:szCs w:val="15"/>
                <w:color w:val="auto"/>
              </w:rPr>
              <w:t>(1)</w:t>
            </w: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(0.58)</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Total from operations</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(1)</w:t>
            </w: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Dividends declared from net investment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 xml:space="preserve">income </w:t>
            </w:r>
            <w:r>
              <w:rPr>
                <w:rFonts w:ascii="Arial" w:cs="Arial" w:eastAsia="Arial" w:hAnsi="Arial"/>
                <w:sz w:val="15"/>
                <w:szCs w:val="15"/>
                <w:color w:val="auto"/>
              </w:rPr>
              <w:t>(2)</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realized</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gains </w:t>
            </w:r>
            <w:r>
              <w:rPr>
                <w:rFonts w:ascii="Arial" w:cs="Arial" w:eastAsia="Arial" w:hAnsi="Arial"/>
                <w:sz w:val="15"/>
                <w:szCs w:val="15"/>
                <w:color w:val="auto"/>
              </w:rPr>
              <w:t>(2)</w:t>
            </w: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(0.17)</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Total increase (decrease) in net</w:t>
            </w: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360"/>
              <w:spacing w:after="0"/>
              <w:rPr>
                <w:sz w:val="20"/>
                <w:szCs w:val="20"/>
                <w:color w:val="auto"/>
              </w:rPr>
            </w:pPr>
            <w:r>
              <w:rPr>
                <w:rFonts w:ascii="Arial" w:cs="Arial" w:eastAsia="Arial" w:hAnsi="Arial"/>
                <w:sz w:val="18"/>
                <w:szCs w:val="18"/>
                <w:color w:val="auto"/>
              </w:rPr>
              <w:t>assets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Net Asset Value, End of Period</w:t>
            </w:r>
          </w:p>
        </w:tc>
        <w:tc>
          <w:tcPr>
            <w:tcW w:w="6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color w:val="auto"/>
              </w:rPr>
              <w:t>Per share market value at end of period</w:t>
            </w:r>
          </w:p>
        </w:tc>
        <w:tc>
          <w:tcPr>
            <w:tcW w:w="6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16.82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24.78%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14.69%</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(4)</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7.62%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12.44%</w:t>
            </w: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 End of Period</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59,716,205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54,163,960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53,797,358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37,026,023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31,582,954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Ratios / Supplemental Data</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Ratio of net expenses to average</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(6)</w:t>
            </w: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9.39%</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9.31%</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7.56%</w:t>
            </w: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Ratio of net investment income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to average net assets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11.84%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11.35%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13.42%</w:t>
            </w:r>
          </w:p>
        </w:tc>
        <w:tc>
          <w:tcPr>
            <w:tcW w:w="1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10.80%</w:t>
            </w:r>
          </w:p>
        </w:tc>
        <w:tc>
          <w:tcPr>
            <w:tcW w:w="1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Portfolio turnover</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37.40%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34.51%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53.16%</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26.97%</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952,212</w:t>
            </w:r>
          </w:p>
        </w:tc>
        <w:tc>
          <w:tcPr>
            <w:tcW w:w="22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820,741</w:t>
            </w:r>
          </w:p>
        </w:tc>
        <w:tc>
          <w:tcPr>
            <w:tcW w:w="24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835,405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574,696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479,803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hanging="512"/>
        <w:spacing w:after="0"/>
        <w:tabs>
          <w:tab w:leader="none" w:pos="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20" w:right="220" w:hanging="512"/>
        <w:spacing w:after="0" w:line="250" w:lineRule="auto"/>
        <w:tabs>
          <w:tab w:leader="none" w:pos="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20" w:right="580" w:hanging="512"/>
        <w:spacing w:after="0" w:line="250" w:lineRule="auto"/>
        <w:tabs>
          <w:tab w:leader="none" w:pos="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20" w:right="280" w:hanging="512"/>
        <w:spacing w:after="0" w:line="250" w:lineRule="auto"/>
        <w:tabs>
          <w:tab w:leader="none" w:pos="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ind w:left="520" w:right="80" w:hanging="512"/>
        <w:spacing w:after="0" w:line="281" w:lineRule="auto"/>
        <w:tabs>
          <w:tab w:leader="none" w:pos="5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ratio of net expenses to average net assets in the table above reflects the Adviser’s waivers of its right to receive a portion of the Management Fee and Incentive Fees with respect to the Company’s ownership of shares of common stock of TICC Capital Corp. Excluding the effects of waivers, the ratio of net expenses to average net assets would have been 9.43% and 9.33% for the years ended December 31, 2016 and 2015, respectively. For the years ended December 31, 2014, 2013, and 2012, the Company’s did not own any shares of common stock of TICC Capital Corp. For the years ended December 31, 2014, 2013, and 2012, the ratio of net expenses to average net assets in the table above reflects the Adviser’s waivers of its right to receive a portion of the Management Fee prior to our IPO. Excluding the effects of the waiver, the ratio of net expenses to average net assets would have been 7.88%, 7.94% and 8.03% for the years ended December 31, 2014, 2013, and 2012, respectively.</w:t>
      </w:r>
    </w:p>
    <w:p>
      <w:pPr>
        <w:spacing w:after="0" w:line="4" w:lineRule="exact"/>
        <w:rPr>
          <w:rFonts w:ascii="Arial" w:cs="Arial" w:eastAsia="Arial" w:hAnsi="Arial"/>
          <w:sz w:val="16"/>
          <w:szCs w:val="16"/>
          <w:color w:val="auto"/>
        </w:rPr>
      </w:pPr>
    </w:p>
    <w:p>
      <w:pPr>
        <w:ind w:left="440" w:hanging="432"/>
        <w:spacing w:after="0"/>
        <w:tabs>
          <w:tab w:leader="none" w:pos="4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5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49,708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53,917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46,034</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42,751</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7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21,641</w:t>
            </w:r>
          </w:p>
        </w:tc>
        <w:tc>
          <w:tcPr>
            <w:tcW w:w="120" w:type="dxa"/>
            <w:vAlign w:val="bottom"/>
          </w:tcPr>
          <w:p>
            <w:pPr>
              <w:spacing w:after="0"/>
              <w:rPr>
                <w:sz w:val="19"/>
                <w:szCs w:val="19"/>
                <w:color w:val="auto"/>
              </w:rPr>
            </w:pPr>
          </w:p>
        </w:tc>
        <w:tc>
          <w:tcPr>
            <w:tcW w:w="3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23,346</w:t>
            </w:r>
          </w:p>
        </w:tc>
        <w:tc>
          <w:tcPr>
            <w:tcW w:w="120" w:type="dxa"/>
            <w:vAlign w:val="bottom"/>
          </w:tcPr>
          <w:p>
            <w:pPr>
              <w:spacing w:after="0"/>
              <w:rPr>
                <w:sz w:val="19"/>
                <w:szCs w:val="19"/>
                <w:color w:val="auto"/>
              </w:rPr>
            </w:pPr>
          </w:p>
        </w:tc>
        <w:tc>
          <w:tcPr>
            <w:tcW w:w="3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20,531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19,559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28,067</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30,571</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7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4,656</w:t>
            </w:r>
          </w:p>
        </w:tc>
        <w:tc>
          <w:tcPr>
            <w:tcW w:w="120" w:type="dxa"/>
            <w:vAlign w:val="bottom"/>
          </w:tcPr>
          <w:p>
            <w:pPr>
              <w:spacing w:after="0"/>
              <w:rPr>
                <w:sz w:val="19"/>
                <w:szCs w:val="19"/>
                <w:color w:val="auto"/>
              </w:rPr>
            </w:pPr>
          </w:p>
        </w:tc>
        <w:tc>
          <w:tcPr>
            <w:tcW w:w="3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6,304</w:t>
            </w:r>
          </w:p>
        </w:tc>
        <w:tc>
          <w:tcPr>
            <w:tcW w:w="120" w:type="dxa"/>
            <w:vAlign w:val="bottom"/>
          </w:tcPr>
          <w:p>
            <w:pPr>
              <w:spacing w:after="0"/>
              <w:rPr>
                <w:sz w:val="19"/>
                <w:szCs w:val="19"/>
                <w:color w:val="auto"/>
              </w:rPr>
            </w:pPr>
          </w:p>
        </w:tc>
        <w:tc>
          <w:tcPr>
            <w:tcW w:w="3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24,135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(5,421)</w:t>
            </w: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7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32,723</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36,875</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7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20"/>
                <w:szCs w:val="20"/>
                <w:color w:val="auto"/>
              </w:rPr>
            </w:pPr>
          </w:p>
        </w:tc>
        <w:tc>
          <w:tcPr>
            <w:tcW w:w="3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Pr>
          <w:p>
            <w:pPr>
              <w:spacing w:after="0"/>
              <w:rPr>
                <w:sz w:val="20"/>
                <w:szCs w:val="20"/>
                <w:color w:val="auto"/>
              </w:rPr>
            </w:pPr>
          </w:p>
        </w:tc>
        <w:tc>
          <w:tcPr>
            <w:tcW w:w="3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145"/>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Q1</w:t>
            </w:r>
          </w:p>
        </w:tc>
        <w:tc>
          <w:tcPr>
            <w:tcW w:w="120" w:type="dxa"/>
            <w:vAlign w:val="bottom"/>
            <w:gridSpan w:val="2"/>
          </w:tcPr>
          <w:p>
            <w:pPr>
              <w:spacing w:after="0"/>
              <w:rPr>
                <w:sz w:val="13"/>
                <w:szCs w:val="13"/>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5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43,559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46,774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45,352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7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19,916</w:t>
            </w:r>
          </w:p>
        </w:tc>
        <w:tc>
          <w:tcPr>
            <w:tcW w:w="120" w:type="dxa"/>
            <w:vAlign w:val="bottom"/>
          </w:tcPr>
          <w:p>
            <w:pPr>
              <w:spacing w:after="0"/>
              <w:rPr>
                <w:sz w:val="19"/>
                <w:szCs w:val="19"/>
                <w:color w:val="auto"/>
              </w:rPr>
            </w:pP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20,926</w:t>
            </w:r>
          </w:p>
        </w:tc>
        <w:tc>
          <w:tcPr>
            <w:tcW w:w="120" w:type="dxa"/>
            <w:vAlign w:val="bottom"/>
          </w:tcPr>
          <w:p>
            <w:pPr>
              <w:spacing w:after="0"/>
              <w:rPr>
                <w:sz w:val="19"/>
                <w:szCs w:val="19"/>
                <w:color w:val="auto"/>
              </w:rPr>
            </w:pP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20,332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16,943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23,643</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25,849</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7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(27,985)</w:t>
            </w: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(16,512)</w:t>
            </w: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w w:val="99"/>
              </w:rPr>
              <w:t>Increase (decrease) in Net Assets Resulting from Operations</w:t>
            </w:r>
          </w:p>
        </w:tc>
        <w:tc>
          <w:tcPr>
            <w:tcW w:w="7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(4,342)</w:t>
            </w:r>
          </w:p>
        </w:tc>
        <w:tc>
          <w:tcPr>
            <w:tcW w:w="3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7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0"/>
                <w:szCs w:val="20"/>
                <w:color w:val="auto"/>
              </w:rPr>
            </w:pP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20"/>
                <w:szCs w:val="20"/>
                <w:color w:val="auto"/>
              </w:rPr>
            </w:pP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145"/>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Q1</w:t>
            </w:r>
          </w:p>
        </w:tc>
        <w:tc>
          <w:tcPr>
            <w:tcW w:w="120" w:type="dxa"/>
            <w:vAlign w:val="bottom"/>
            <w:gridSpan w:val="2"/>
          </w:tcPr>
          <w:p>
            <w:pPr>
              <w:spacing w:after="0"/>
              <w:rPr>
                <w:sz w:val="13"/>
                <w:szCs w:val="13"/>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5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45,778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38,404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45,657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7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15,094</w:t>
            </w:r>
          </w:p>
        </w:tc>
        <w:tc>
          <w:tcPr>
            <w:tcW w:w="120" w:type="dxa"/>
            <w:vAlign w:val="bottom"/>
          </w:tcPr>
          <w:p>
            <w:pPr>
              <w:spacing w:after="0"/>
              <w:rPr>
                <w:sz w:val="19"/>
                <w:szCs w:val="19"/>
                <w:color w:val="auto"/>
              </w:rPr>
            </w:pP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15,288</w:t>
            </w:r>
          </w:p>
        </w:tc>
        <w:tc>
          <w:tcPr>
            <w:tcW w:w="120" w:type="dxa"/>
            <w:vAlign w:val="bottom"/>
          </w:tcPr>
          <w:p>
            <w:pPr>
              <w:spacing w:after="0"/>
              <w:rPr>
                <w:sz w:val="19"/>
                <w:szCs w:val="19"/>
                <w:color w:val="auto"/>
              </w:rPr>
            </w:pP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30,684</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23,116</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29,433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7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(16,879)</w:t>
            </w: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(4,513)</w:t>
            </w: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(2,139)</w:t>
            </w: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7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13,805</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18,603</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7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0"/>
                <w:szCs w:val="20"/>
                <w:color w:val="auto"/>
              </w:rPr>
            </w:pP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0"/>
                <w:szCs w:val="20"/>
                <w:color w:val="auto"/>
              </w:rPr>
            </w:pP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90"/>
              </w:rPr>
              <w:t>(1)</w:t>
            </w:r>
          </w:p>
        </w:tc>
        <w:tc>
          <w:tcPr>
            <w:tcW w:w="5060" w:type="dxa"/>
            <w:vAlign w:val="bottom"/>
            <w:gridSpan w:val="2"/>
          </w:tcPr>
          <w:p>
            <w:pPr>
              <w:ind w:left="160"/>
              <w:spacing w:after="0"/>
              <w:rPr>
                <w:sz w:val="20"/>
                <w:szCs w:val="20"/>
                <w:color w:val="auto"/>
              </w:rPr>
            </w:pPr>
            <w:r>
              <w:rPr>
                <w:rFonts w:ascii="Arial" w:cs="Arial" w:eastAsia="Arial" w:hAnsi="Arial"/>
                <w:sz w:val="18"/>
                <w:szCs w:val="18"/>
                <w:color w:val="auto"/>
              </w:rPr>
              <w:t>Net expenses include income taxes, including excise taxes.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On February 1, 2017, the Company issued in a private offering $100 million aggregate principal amount of 4.50% Convertible Senior Notes due 2022 (the “2022 Convertible Senior Notes”). On February 3, 2017, the Company issued an additional $15 million aggregate principal amount of the 2022 Convertible Senior Notes pursuant to the exercise in full of the over-allotment option to purchase additional notes granted to the initial purchasers. The 2022 Convertible Senior Notes are unsecured, and bear interest at a rate of 4.50% per year, payable semiannually. The 2022 Convertible Senior Notes will mature on August 1, 2022. In certain circumstances, the Convertible Senior Notes will be convertible into cash, shares of the Company’s common stock or a combination of cash and shares of the Company’s common stock, at the Company’s election, at an initial conversion rate of 46.8516 shares of common stock per $1,000 principal amount of 2022 Convertible Senior Notes, which is equivalent to an initial conversion price of approximately $21.34 per share of our common stock, subject to customary anti-dilution adjustments. The sale of the 2022 Convertible Senior Notes generated net proceeds of approximately $110.6 million. The Company used the net proceeds of the 2022 Convertible Senior Notes issuances to pay down debt under its Revolving Credit Facility.</w:t>
      </w:r>
    </w:p>
    <w:p>
      <w:pPr>
        <w:spacing w:after="0" w:line="167"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On February 1, 2017, in connection with the issuance of the 2022 Convertible Senior Notes, the Company entered into an interest rate swap transaction with a notional amount of $115 million. The Company pays three-month LIBOR plus 237.2 basis points and receives fixed rate interest at 4.50%. The swap transaction matures on August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Co-Chief Executive Officers and Chief Financial Officer, of the effectiveness of the design and operation of our disclosure controls and procedures (as defined in Rule 13a-15 under the Exchange Act).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b w:val="1"/>
          <w:bCs w:val="1"/>
          <w:i w:val="1"/>
          <w:iCs w:val="1"/>
          <w:color w:val="auto"/>
        </w:rPr>
        <w:t xml:space="preserve">Management’s Report on Internal Control Over Financial Reporting. </w:t>
      </w:r>
      <w:r>
        <w:rPr>
          <w:rFonts w:ascii="Arial" w:cs="Arial" w:eastAsia="Arial" w:hAnsi="Arial"/>
          <w:sz w:val="17"/>
          <w:szCs w:val="17"/>
          <w:color w:val="auto"/>
        </w:rPr>
        <w:t>Our management is responsible for establishing and maintaining adequate internal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control over financial reporting (as defined in Rules 13a-15(f) and 15d-15(f) of the Exchange Act). Under the supervision and with the participation of management, including the Co-Chief Executive Officers and Chief Financial Officer, we conducted an evaluation of the effectiveness of our internal control over financial reporting based on the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(2013 COSO Framework). Based on our evaluation under the framework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w:t>
      </w:r>
      <w:r>
        <w:rPr>
          <w:rFonts w:ascii="Arial" w:cs="Arial" w:eastAsia="Arial" w:hAnsi="Arial"/>
          <w:sz w:val="17"/>
          <w:szCs w:val="17"/>
          <w:color w:val="auto"/>
        </w:rPr>
        <w:t>, management concluded that our internal control over financial reporting was effective as of December 31, 2016.</w:t>
      </w:r>
    </w:p>
    <w:p>
      <w:pPr>
        <w:spacing w:after="0" w:line="178"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b w:val="1"/>
          <w:bCs w:val="1"/>
          <w:i w:val="1"/>
          <w:iCs w:val="1"/>
          <w:color w:val="auto"/>
        </w:rPr>
        <w:t xml:space="preserve">Attestation Report of the Independent Registered Public Accounting Firm. </w:t>
      </w:r>
      <w:r>
        <w:rPr>
          <w:rFonts w:ascii="Arial" w:cs="Arial" w:eastAsia="Arial" w:hAnsi="Arial"/>
          <w:sz w:val="18"/>
          <w:szCs w:val="18"/>
          <w:color w:val="auto"/>
        </w:rPr>
        <w:t>Our independent registered public accounting firm, KPMG LLP, has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audit report on the effectiveness of our internal control over financial reporting, which is set forth under the heading “Report of Independent Registered Public Accounting Firm” on page F-2.</w:t>
      </w:r>
    </w:p>
    <w:p>
      <w:pPr>
        <w:spacing w:after="0" w:line="181"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On February 22, 2017, the Board of Directors of the Company and the Adviser entered into an amended and restated administration agreement (the “Amended and Restated Administration Agreement”) reflecting certain clarifications to the agreement, including with respect to the scope of the costs and expenses of the Administrator’s services.</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copy of the Amended and Restated Administration Agreement is attached as Exhibit 10.16 to this Annual Report on Form 10-K.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7" w:name="page118"/>
    <w:bookmarkEnd w:id="117"/>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Information in response to this item is incorporated by reference from our Proxy Statement relating to our 2017 annual meeting of stockholders. The Proxy Statement will be filed with the SEC within 120 days after the end of the fiscal year covered by this Form 10-K pursuant to Regulation 14A under the Exchange Act.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2017 annual meeting of stockholders.</w:t>
      </w:r>
    </w:p>
    <w:p>
      <w:pPr>
        <w:spacing w:after="0" w:line="200" w:lineRule="exact"/>
        <w:rPr>
          <w:sz w:val="20"/>
          <w:szCs w:val="20"/>
          <w:color w:val="auto"/>
        </w:rPr>
      </w:pPr>
    </w:p>
    <w:p>
      <w:pPr>
        <w:spacing w:after="0" w:line="222"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2017 annual meeting of stockholders.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 AND RELATED TRANSACTION, AND DIRECTOR INDEPENDENCE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2017 annual meeting of stockholders.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2017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118" w:name="page119"/>
    <w:bookmarkEnd w:id="118"/>
    <w:p>
      <w:pPr>
        <w:ind w:left="534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left="780" w:right="400" w:hanging="515"/>
        <w:spacing w:after="0" w:line="277"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Financial Statements—Financial statements are included in Item 8. See the Index to the Consolidated Financial Statements on page F-1 of this annual report on Form 10-K.</w:t>
      </w:r>
    </w:p>
    <w:p>
      <w:pPr>
        <w:spacing w:after="0" w:line="62" w:lineRule="exact"/>
        <w:rPr>
          <w:rFonts w:ascii="Arial" w:cs="Arial" w:eastAsia="Arial" w:hAnsi="Arial"/>
          <w:sz w:val="18"/>
          <w:szCs w:val="18"/>
          <w:color w:val="auto"/>
        </w:rPr>
      </w:pPr>
    </w:p>
    <w:p>
      <w:pPr>
        <w:ind w:left="780" w:right="180" w:hanging="515"/>
        <w:spacing w:after="0" w:line="264"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73" w:lineRule="exact"/>
        <w:rPr>
          <w:rFonts w:ascii="Arial" w:cs="Arial" w:eastAsia="Arial" w:hAnsi="Arial"/>
          <w:sz w:val="18"/>
          <w:szCs w:val="18"/>
          <w:color w:val="auto"/>
        </w:rPr>
      </w:pPr>
    </w:p>
    <w:p>
      <w:pPr>
        <w:ind w:left="780" w:hanging="515"/>
        <w:spacing w:after="0"/>
        <w:tabs>
          <w:tab w:leader="none" w:pos="7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Exhibits—The following is a list of all exhibits filed as a part of this annual report on Form 10-K, including those incorporated by reference.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10340" w:type="dxa"/>
            <w:vAlign w:val="bottom"/>
          </w:tcPr>
          <w:p>
            <w:pPr>
              <w:spacing w:after="0"/>
              <w:rPr>
                <w:sz w:val="20"/>
                <w:szCs w:val="20"/>
                <w:color w:val="auto"/>
              </w:rPr>
            </w:pPr>
            <w:r>
              <w:rPr>
                <w:rFonts w:ascii="Arial" w:cs="Arial" w:eastAsia="Arial" w:hAnsi="Arial"/>
                <w:sz w:val="14"/>
                <w:szCs w:val="14"/>
                <w:color w:val="auto"/>
              </w:rPr>
              <w:t>Description of Exhibits</w:t>
            </w:r>
          </w:p>
        </w:tc>
        <w:tc>
          <w:tcPr>
            <w:tcW w:w="20" w:type="dxa"/>
            <w:vAlign w:val="bottom"/>
          </w:tcPr>
          <w:p>
            <w:pPr>
              <w:spacing w:after="0"/>
              <w:rPr>
                <w:sz w:val="14"/>
                <w:szCs w:val="14"/>
                <w:color w:val="auto"/>
              </w:rPr>
            </w:pPr>
          </w:p>
        </w:tc>
      </w:tr>
      <w:tr>
        <w:trPr>
          <w:trHeight w:val="317"/>
        </w:trPr>
        <w:tc>
          <w:tcPr>
            <w:tcW w:w="9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Amended and Restated Certificate of Incorporation (incorporated by reference to Exhibit 3.1 to Amendment No. 1 to the Company’s</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Registration Statement on Form 10 filed on March 14, 2011).</w:t>
            </w:r>
          </w:p>
        </w:tc>
        <w:tc>
          <w:tcPr>
            <w:tcW w:w="20" w:type="dxa"/>
            <w:vAlign w:val="bottom"/>
          </w:tcPr>
          <w:p>
            <w:pPr>
              <w:spacing w:after="0"/>
              <w:rPr>
                <w:sz w:val="20"/>
                <w:szCs w:val="20"/>
                <w:color w:val="auto"/>
              </w:rPr>
            </w:pPr>
          </w:p>
        </w:tc>
      </w:tr>
      <w:tr>
        <w:trPr>
          <w:trHeight w:val="323"/>
        </w:trPr>
        <w:tc>
          <w:tcPr>
            <w:tcW w:w="900" w:type="dxa"/>
            <w:vAlign w:val="bottom"/>
          </w:tcPr>
          <w:p>
            <w:pPr>
              <w:ind w:left="1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Certificate of Amendment to Amended and Restated Certificate of Incorporation (incorporated by reference to Exhibit 3.1 to the Company’s</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Current Report on Form 8-K filed on March 12, 2014).</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Certificate of Change of Registered Agent and/or Registered Office (incorporated by reference to Exhibit 3.1 to the Company’s Quarterly</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Report on Form 10-Q filed on November 7, 2016).</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Bylaws of TPG Specialty Lending, Inc., effective as of November 7, 2016 (incorporated by reference to Exhibit 3.2 to the Company’s</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Quarterly Report on Form 10-Q filed on November 7, 2016).</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Common Stock Certificate (incorporated by reference to Exhibit 4.2 to the Company’s Annual Report on Form 10-K filed on March</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22, 2012).</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Indenture, dated June 10, 2014, between TPG Specialty Lending, Inc. and Wells Fargo Bank, National Association, as Trustee (incorporated by</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reference to Exhibit 4.1 to the Company’s Current Report on Form 8-K filed on June 10, 2014).</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Form of 4.50% Convertible Senior Note Due 2019 (incorporated by reference to Exhibit 4.2 to the Company’s Current Report on Form 8-K</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on June 10, 2014).</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Indenture, dated as of February 1, 2017, between TPG Specialty Lending, Inc. and Wells Fargo Bank, National Association, as Trustee</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(incorporated by reference to Exhibit 4.1 to the Company’s Current Report on Form 8-K filed on February 1, 2017).</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Form of 4.50% Convertible Senior Note Due 2022 (incorporated by reference to Exhibit 4.2 to the Company’s Current Report on Form 8-K</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on February 1, 2017).</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Form of Indemnification Agreement between the Company and certain officers and directors (incorporated by reference to Exhibit 10.3 to</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Amendment No. 1 to the Company’s Registration Statement on Form 10 filed on March 14, 2011).</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Administration Agreement, dated as of March 15, 2011, between the Company and the Adviser (incorporated by reference to Exhibit 10.1 to</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the Company’s Current Report on Form 8-K filed on March 15, 2011).</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Amended and Restated Investment Advisory and Management Agreement, dated December 12, 2011, between the Company and the Adviser</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(incorporated by reference to Exhibit 10.1 to the Company’s Current Report on Form 8-K filed on December 13, 2011).</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Custodian Agreement dated November 29, 2012 (incorporated by reference to Exhibit 10.1 to the Company’s Current Report on Form 8-K</w:t>
            </w: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on December 4, 2012).</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Amended and Restated Revolving Credit and Security Agreement, dated as of January 21, 2014, among TPG SL SPV, LLC, as Borrower, the</w:t>
            </w:r>
          </w:p>
        </w:tc>
        <w:tc>
          <w:tcPr>
            <w:tcW w:w="2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Lenders from Time to Time Parties Hereto, Natixis, New York Branch, as Facility Agent and State Street Bank and Trust Company, as</w:t>
            </w:r>
          </w:p>
        </w:tc>
        <w:tc>
          <w:tcPr>
            <w:tcW w:w="2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Collateral Agent (incorporated by reference to Exhibit 10.18 to the Company’s Annual Report on Form 10-K filed on March 4, 2014).</w:t>
            </w:r>
          </w:p>
        </w:tc>
        <w:tc>
          <w:tcPr>
            <w:tcW w:w="20" w:type="dxa"/>
            <w:vAlign w:val="bottom"/>
          </w:tcPr>
          <w:p>
            <w:pPr>
              <w:spacing w:after="0"/>
              <w:rPr>
                <w:sz w:val="20"/>
                <w:szCs w:val="20"/>
                <w:color w:val="auto"/>
              </w:rPr>
            </w:pPr>
          </w:p>
        </w:tc>
      </w:tr>
      <w:tr>
        <w:trPr>
          <w:trHeight w:val="323"/>
        </w:trPr>
        <w:tc>
          <w:tcPr>
            <w:tcW w:w="900" w:type="dxa"/>
            <w:vAlign w:val="bottom"/>
          </w:tcPr>
          <w:p>
            <w:pPr>
              <w:ind w:left="14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Amended and Restated Master Sale and Contribution Agreement by and between TPG Specialty Lending, Inc., as the Originator and TPG SL</w:t>
            </w:r>
          </w:p>
        </w:tc>
        <w:tc>
          <w:tcPr>
            <w:tcW w:w="2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SPV, LLC, as the Buyer, dated as of January 21, 2014 (incorporated by reference to Exhibit 10.19 to the Company’s Annual Report on Form</w:t>
            </w:r>
          </w:p>
        </w:tc>
        <w:tc>
          <w:tcPr>
            <w:tcW w:w="2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10-K filed on March 4, 2014).</w:t>
            </w:r>
          </w:p>
        </w:tc>
        <w:tc>
          <w:tcPr>
            <w:tcW w:w="20" w:type="dxa"/>
            <w:vAlign w:val="bottom"/>
          </w:tcPr>
          <w:p>
            <w:pPr>
              <w:spacing w:after="0"/>
              <w:rPr>
                <w:sz w:val="20"/>
                <w:szCs w:val="20"/>
                <w:color w:val="auto"/>
              </w:rPr>
            </w:pPr>
          </w:p>
        </w:tc>
      </w:tr>
      <w:tr>
        <w:trPr>
          <w:trHeight w:val="554"/>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340" w:type="dxa"/>
            <w:vAlign w:val="bottom"/>
          </w:tcPr>
          <w:p>
            <w:pPr>
              <w:ind w:left="454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r>
      <w:tr>
        <w:trPr>
          <w:trHeight w:val="115"/>
        </w:trPr>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7"/>
        </w:trPr>
        <w:tc>
          <w:tcPr>
            <w:tcW w:w="1080" w:type="dxa"/>
            <w:vAlign w:val="bottom"/>
            <w:gridSpan w:val="3"/>
          </w:tcPr>
          <w:p>
            <w:pPr>
              <w:spacing w:after="0"/>
              <w:rPr>
                <w:sz w:val="20"/>
                <w:szCs w:val="20"/>
                <w:color w:val="auto"/>
              </w:rPr>
            </w:pPr>
            <w:r>
              <w:rPr>
                <w:rFonts w:ascii="Arial" w:cs="Arial" w:eastAsia="Arial" w:hAnsi="Arial"/>
                <w:sz w:val="14"/>
                <w:szCs w:val="14"/>
                <w:color w:val="auto"/>
              </w:rPr>
              <w:t>Exhibit No</w:t>
            </w:r>
          </w:p>
        </w:tc>
        <w:tc>
          <w:tcPr>
            <w:tcW w:w="10340" w:type="dxa"/>
            <w:vAlign w:val="bottom"/>
          </w:tcPr>
          <w:p>
            <w:pPr>
              <w:spacing w:after="0"/>
              <w:rPr>
                <w:sz w:val="20"/>
                <w:szCs w:val="20"/>
                <w:color w:val="auto"/>
              </w:rPr>
            </w:pPr>
            <w:r>
              <w:rPr>
                <w:rFonts w:ascii="Arial" w:cs="Arial" w:eastAsia="Arial" w:hAnsi="Arial"/>
                <w:sz w:val="14"/>
                <w:szCs w:val="14"/>
                <w:color w:val="auto"/>
              </w:rPr>
              <w:t>Description of Exhibits</w:t>
            </w:r>
          </w:p>
        </w:tc>
      </w:tr>
      <w:tr>
        <w:trPr>
          <w:trHeight w:val="195"/>
        </w:trPr>
        <w:tc>
          <w:tcPr>
            <w:tcW w:w="20" w:type="dxa"/>
            <w:vAlign w:val="bottom"/>
          </w:tcPr>
          <w:p>
            <w:pPr>
              <w:spacing w:after="0"/>
              <w:rPr>
                <w:sz w:val="16"/>
                <w:szCs w:val="16"/>
                <w:color w:val="auto"/>
              </w:rPr>
            </w:pPr>
          </w:p>
        </w:tc>
        <w:tc>
          <w:tcPr>
            <w:tcW w:w="8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10.7</w:t>
            </w:r>
          </w:p>
        </w:tc>
        <w:tc>
          <w:tcPr>
            <w:tcW w:w="180" w:type="dxa"/>
            <w:vAlign w:val="bottom"/>
          </w:tcPr>
          <w:p>
            <w:pPr>
              <w:spacing w:after="0"/>
              <w:rPr>
                <w:sz w:val="16"/>
                <w:szCs w:val="16"/>
                <w:color w:val="auto"/>
              </w:rPr>
            </w:pPr>
          </w:p>
        </w:tc>
        <w:tc>
          <w:tcPr>
            <w:tcW w:w="10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Second Amended and Restated Senior Secured Credit Agreement, dated February 27, 2014, among TPG Specialty Lending, Inc., as Borrower,</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the Lenders Party Hereto and SunTrust Bank, as Administrative Agent, and JPMorgan Chase Bank, N.A., as Syndication Agent (incorporated</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by reference to Exhibit 10.20 to the Company’s Annual Report on Form 10-K filed on March 4, 2014).</w:t>
            </w:r>
          </w:p>
        </w:tc>
      </w:tr>
      <w:tr>
        <w:trPr>
          <w:trHeight w:val="323"/>
        </w:trPr>
        <w:tc>
          <w:tcPr>
            <w:tcW w:w="900" w:type="dxa"/>
            <w:vAlign w:val="bottom"/>
            <w:gridSpan w:val="2"/>
          </w:tcPr>
          <w:p>
            <w:pPr>
              <w:ind w:left="14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Dividend Reinvestment Plan of TPG Specialty Lending, Inc. (incorporated by reference to Exhibit (e) to Pre-Effective Amendment No. 4 to</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the Company’s Registration Statement on Form N-2 filed on March 17, 2014).</w:t>
            </w:r>
          </w:p>
        </w:tc>
      </w:tr>
      <w:tr>
        <w:trPr>
          <w:trHeight w:val="323"/>
        </w:trPr>
        <w:tc>
          <w:tcPr>
            <w:tcW w:w="900" w:type="dxa"/>
            <w:vAlign w:val="bottom"/>
            <w:gridSpan w:val="2"/>
          </w:tcPr>
          <w:p>
            <w:pPr>
              <w:ind w:left="14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Form of Increase Letter pursuant to the Second Amended and Restated Senior Secured Credit Agreement, dated February 27, 2014, among</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TPG Specialty Lending, Inc., as Borrower, the Lenders Party Hereto and SunTrust Bank, as Administrative Agent, and JPMorgan Chase Bank,</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N.A., as Syndication Agent (incorporated by reference to Exhibit 10.3 to the Company’s Quarterly Annual Report on Form 10-Q filed on</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August 4, 2014).</w:t>
            </w:r>
          </w:p>
        </w:tc>
      </w:tr>
      <w:tr>
        <w:trPr>
          <w:trHeight w:val="323"/>
        </w:trPr>
        <w:tc>
          <w:tcPr>
            <w:tcW w:w="900" w:type="dxa"/>
            <w:vAlign w:val="bottom"/>
            <w:gridSpan w:val="2"/>
          </w:tcPr>
          <w:p>
            <w:pPr>
              <w:ind w:left="140"/>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First Amendment to Second Amended and Restated Senior Secured Revolving Credit Agreement, dated June 3, 2014, among TPG Specialty</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Lending, Inc., as Borrower, the Lenders party thereto and SunTrust Bank, as Administrative Agent and Collateral Agent (incorporated by</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reference to Exhibit 10.4 to the Company’s Quarterly Report on Form 10-Q filed on August 4, 2014).</w:t>
            </w:r>
          </w:p>
        </w:tc>
      </w:tr>
      <w:tr>
        <w:trPr>
          <w:trHeight w:val="323"/>
        </w:trPr>
        <w:tc>
          <w:tcPr>
            <w:tcW w:w="90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Second Amendment to Second Amended and Restated Senior Secured Revolving Credit Agreement, dated June 27, 2014, among TPG</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Specialty Lending, Inc., as Borrower, Morgan Stanley Bank, N.A., as a Lender, and SunTrust Bank, as Administrative Agent (incorporated by</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reference to Exhibit 10.5 to the Company’s Quarterly Report on Form 10-Q filed on August 4, 2014).</w:t>
            </w:r>
          </w:p>
        </w:tc>
      </w:tr>
      <w:tr>
        <w:trPr>
          <w:trHeight w:val="323"/>
        </w:trPr>
        <w:tc>
          <w:tcPr>
            <w:tcW w:w="900" w:type="dxa"/>
            <w:vAlign w:val="bottom"/>
            <w:gridSpan w:val="2"/>
          </w:tcPr>
          <w:p>
            <w:pPr>
              <w:ind w:left="140"/>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Third Amendment to Second Amended and Restated Senior Secured Revolving Credit Agreement, dated October 17, 2014, among TPG</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Specialty Lending, Inc., as Borrower, the Lenders party thereto and SunTrust Bank, as Administrative Agent (incorporated by reference to</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Exhibit 10.1 to the Company’s Quarterly Report on Form 10-Q filed on November 3, 2014).</w:t>
            </w:r>
          </w:p>
        </w:tc>
      </w:tr>
      <w:tr>
        <w:trPr>
          <w:trHeight w:val="323"/>
        </w:trPr>
        <w:tc>
          <w:tcPr>
            <w:tcW w:w="900" w:type="dxa"/>
            <w:vAlign w:val="bottom"/>
            <w:gridSpan w:val="2"/>
          </w:tcPr>
          <w:p>
            <w:pPr>
              <w:ind w:left="140"/>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Second Amended and Restated Credit and Security Agreement, dated as of March 27, 2015, among TPG SL SPV, LLC, as Borrower, the</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Lenders from time to time parties thereto, Natixis, New York Branch, as Facility Agent and State Street Bank and Trust Company, as Collateral</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Agent (incorporated by reference to Exhibit 10.1 to the Company’s Current Report on Form 8-K filed on March 30, 2015).</w:t>
            </w:r>
          </w:p>
        </w:tc>
      </w:tr>
      <w:tr>
        <w:trPr>
          <w:trHeight w:val="323"/>
        </w:trPr>
        <w:tc>
          <w:tcPr>
            <w:tcW w:w="900" w:type="dxa"/>
            <w:vAlign w:val="bottom"/>
            <w:gridSpan w:val="2"/>
          </w:tcPr>
          <w:p>
            <w:pPr>
              <w:ind w:left="140"/>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Fourth Amendment to Second Amended and Restated Senior Secured Revolving Credit Agreement, dated October 2, 2015, among TPG</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Specialty Lending, Inc., as Borrower, the Lenders party thereto and Suntrust Bank, as Administrative Agent (incorporated by reference to</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Exhibit 10.1 to the Company’s Quarterly Report on Form 10-Q filed on November 3, 2015).</w:t>
            </w:r>
          </w:p>
        </w:tc>
      </w:tr>
      <w:tr>
        <w:trPr>
          <w:trHeight w:val="323"/>
        </w:trPr>
        <w:tc>
          <w:tcPr>
            <w:tcW w:w="900" w:type="dxa"/>
            <w:vAlign w:val="bottom"/>
            <w:gridSpan w:val="2"/>
          </w:tcPr>
          <w:p>
            <w:pPr>
              <w:ind w:left="140"/>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Fifth Amendment to Second Amended and Restated Senior Secured Revolving Credit Agreement, dated December 22, 2016, among TPG</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Specialty Lending, Inc., as Borrower, the Lenders party thereto and SunTrust Bank, as Administrative Agent.</w:t>
            </w:r>
          </w:p>
        </w:tc>
      </w:tr>
      <w:tr>
        <w:trPr>
          <w:trHeight w:val="338"/>
        </w:trPr>
        <w:tc>
          <w:tcPr>
            <w:tcW w:w="900" w:type="dxa"/>
            <w:vAlign w:val="bottom"/>
            <w:gridSpan w:val="2"/>
          </w:tcPr>
          <w:p>
            <w:pPr>
              <w:ind w:left="140"/>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Amended and Restated Administration Agreement, dated as of February 22, 2017 between the Company and the Adviser.</w:t>
            </w:r>
          </w:p>
        </w:tc>
      </w:tr>
      <w:tr>
        <w:trPr>
          <w:trHeight w:val="338"/>
        </w:trPr>
        <w:tc>
          <w:tcPr>
            <w:tcW w:w="900" w:type="dxa"/>
            <w:vAlign w:val="bottom"/>
            <w:gridSpan w:val="2"/>
          </w:tcPr>
          <w:p>
            <w:pPr>
              <w:ind w:left="14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Subsidiaries of TPG Specialty Lending, Inc.</w:t>
            </w:r>
          </w:p>
        </w:tc>
      </w:tr>
      <w:tr>
        <w:trPr>
          <w:trHeight w:val="323"/>
        </w:trPr>
        <w:tc>
          <w:tcPr>
            <w:tcW w:w="900" w:type="dxa"/>
            <w:vAlign w:val="bottom"/>
            <w:gridSpan w:val="2"/>
          </w:tcPr>
          <w:p>
            <w:pPr>
              <w:ind w:left="1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Certification of Co-Chief Executive Officer Pursuant to 18 U.S.C. Section 1350, as Adopted Pursuant to Section 302 of the Sarbanes-Oxley</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Act of 2002.</w:t>
            </w:r>
          </w:p>
        </w:tc>
      </w:tr>
      <w:tr>
        <w:trPr>
          <w:trHeight w:val="323"/>
        </w:trPr>
        <w:tc>
          <w:tcPr>
            <w:tcW w:w="900" w:type="dxa"/>
            <w:vAlign w:val="bottom"/>
            <w:gridSpan w:val="2"/>
          </w:tcPr>
          <w:p>
            <w:pPr>
              <w:ind w:left="14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Certification of Co-Chief Executive Officer Pursuant to 18 U.S.C. Section 1350, as Adopted Pursuant to Section 302 of the Sarbanes-Oxley</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Act of 2002.</w:t>
            </w:r>
          </w:p>
        </w:tc>
      </w:tr>
      <w:tr>
        <w:trPr>
          <w:trHeight w:val="323"/>
        </w:trPr>
        <w:tc>
          <w:tcPr>
            <w:tcW w:w="900" w:type="dxa"/>
            <w:vAlign w:val="bottom"/>
            <w:gridSpan w:val="2"/>
          </w:tcPr>
          <w:p>
            <w:pPr>
              <w:ind w:left="140"/>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302 of the Sarbanes-Oxley Act of</w:t>
            </w: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2002.</w:t>
            </w:r>
          </w:p>
        </w:tc>
      </w:tr>
    </w:tbl>
    <w:p>
      <w:pPr>
        <w:spacing w:after="0" w:line="107" w:lineRule="exact"/>
        <w:rPr>
          <w:sz w:val="20"/>
          <w:szCs w:val="20"/>
          <w:color w:val="auto"/>
        </w:rPr>
      </w:pPr>
    </w:p>
    <w:p>
      <w:pPr>
        <w:ind w:left="1080" w:right="380" w:hanging="94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Certification of Co-CEOs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9607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February 22, 2017</w:t>
      </w:r>
      <w:r>
        <w:rPr>
          <w:sz w:val="20"/>
          <w:szCs w:val="20"/>
          <w:color w:val="auto"/>
        </w:rPr>
        <w:tab/>
      </w:r>
      <w:r>
        <w:rPr>
          <w:rFonts w:ascii="Arial" w:cs="Arial" w:eastAsia="Arial" w:hAnsi="Arial"/>
          <w:sz w:val="18"/>
          <w:szCs w:val="18"/>
          <w:b w:val="1"/>
          <w:bCs w:val="1"/>
          <w:color w:val="auto"/>
        </w:rPr>
        <w:t>TPG SPECIALTY LENDING, INC.</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Fishman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4" w:lineRule="exact"/>
        <w:rPr>
          <w:sz w:val="20"/>
          <w:szCs w:val="20"/>
          <w:color w:val="auto"/>
        </w:rPr>
      </w:pPr>
    </w:p>
    <w:p>
      <w:pPr>
        <w:ind w:right="140" w:firstLine="259"/>
        <w:spacing w:after="0" w:line="254" w:lineRule="auto"/>
        <w:rPr>
          <w:sz w:val="20"/>
          <w:szCs w:val="20"/>
          <w:color w:val="auto"/>
        </w:rPr>
      </w:pPr>
      <w:r>
        <w:rPr>
          <w:rFonts w:ascii="Arial" w:cs="Arial" w:eastAsia="Arial" w:hAnsi="Arial"/>
          <w:sz w:val="18"/>
          <w:szCs w:val="18"/>
          <w:color w:val="auto"/>
        </w:rPr>
        <w:t>Each person whose signature appears below constitutes and appoints Michael Fishman, Joshua Easterly, Ian Simmonds, David Stiepleman and Jennifer Gordon,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2016,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92"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22,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4"/>
                <w:szCs w:val="14"/>
                <w:color w:val="auto"/>
              </w:rPr>
            </w:pPr>
          </w:p>
        </w:tc>
        <w:tc>
          <w:tcPr>
            <w:tcW w:w="6920" w:type="dxa"/>
            <w:vAlign w:val="bottom"/>
            <w:tcBorders>
              <w:bottom w:val="single" w:sz="8" w:color="auto"/>
            </w:tcBorders>
          </w:tcPr>
          <w:p>
            <w:pPr>
              <w:jc w:val="right"/>
              <w:ind w:right="3248"/>
              <w:spacing w:after="0"/>
              <w:rPr>
                <w:sz w:val="20"/>
                <w:szCs w:val="20"/>
                <w:color w:val="auto"/>
              </w:rPr>
            </w:pPr>
            <w:r>
              <w:rPr>
                <w:rFonts w:ascii="Arial" w:cs="Arial" w:eastAsia="Arial" w:hAnsi="Arial"/>
                <w:sz w:val="14"/>
                <w:szCs w:val="14"/>
                <w:b w:val="1"/>
                <w:bCs w:val="1"/>
                <w:color w:val="auto"/>
              </w:rPr>
              <w:t>Title</w:t>
            </w:r>
          </w:p>
        </w:tc>
      </w:tr>
      <w:tr>
        <w:trPr>
          <w:trHeight w:val="39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Fishman</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Co-Chief Executive Officer and Director (Principal Executive Officer)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Michael Fishman</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Easterly</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Co-Chief Executive Officer, Director and Chairman of the Board of Directors</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Joshua Easterly</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(Principal Financial Officer)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Ian Simmonds</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Graf</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Vice President (Principal Accounting Officer)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Michael Graf</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31"/>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Ross</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Director and Chairman of the Audit Committee</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John A. Ross</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Higginbotham</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Richard A. Higginbotham</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45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K. Tanemura</w:t>
            </w:r>
          </w:p>
        </w:tc>
        <w:tc>
          <w:tcPr>
            <w:tcW w:w="70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Ronald K. Tanemura</w:t>
            </w:r>
          </w:p>
        </w:tc>
        <w:tc>
          <w:tcPr>
            <w:tcW w:w="100" w:type="dxa"/>
            <w:vAlign w:val="bottom"/>
          </w:tcPr>
          <w:p>
            <w:pPr>
              <w:spacing w:after="0"/>
              <w:rPr>
                <w:sz w:val="19"/>
                <w:szCs w:val="19"/>
                <w:color w:val="auto"/>
              </w:rPr>
            </w:pPr>
          </w:p>
        </w:tc>
        <w:tc>
          <w:tcPr>
            <w:tcW w:w="6920" w:type="dxa"/>
            <w:vAlign w:val="bottom"/>
          </w:tcPr>
          <w:p>
            <w:pPr>
              <w:spacing w:after="0"/>
              <w:rPr>
                <w:sz w:val="19"/>
                <w:szCs w:val="19"/>
                <w:color w:val="auto"/>
              </w:rPr>
            </w:pPr>
          </w:p>
        </w:tc>
      </w:tr>
      <w:tr>
        <w:trPr>
          <w:trHeight w:val="647"/>
        </w:trPr>
        <w:tc>
          <w:tcPr>
            <w:tcW w:w="4400" w:type="dxa"/>
            <w:vAlign w:val="bottom"/>
          </w:tcPr>
          <w:p>
            <w:pPr>
              <w:spacing w:after="0"/>
              <w:rPr>
                <w:sz w:val="24"/>
                <w:szCs w:val="24"/>
                <w:color w:val="auto"/>
              </w:rPr>
            </w:pPr>
          </w:p>
        </w:tc>
        <w:tc>
          <w:tcPr>
            <w:tcW w:w="7020" w:type="dxa"/>
            <w:vAlign w:val="bottom"/>
            <w:gridSpan w:val="2"/>
          </w:tcPr>
          <w:p>
            <w:pPr>
              <w:jc w:val="right"/>
              <w:ind w:right="5548"/>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20"/>
          </w:cols>
          <w:pgMar w:left="240" w:top="337"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FIFTH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SECOND AMENDED AND RESTATED SENIOR SECURED REVOLVING CREDIT AGREEMENT</w:t>
      </w:r>
    </w:p>
    <w:p>
      <w:pPr>
        <w:spacing w:after="0" w:line="21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THIS FIFTH AMENDMENT TO SECOND AMENDED AND RESTATED SENIOR SECURED REVOLVING CREDIT AGREEMENT, dated as of December 22, 2016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to the Existing Credit Agreement (capitalized terms used herein and not otherwise defined shall have the meanings given to such terms in </w:t>
      </w:r>
      <w:r>
        <w:rPr>
          <w:rFonts w:ascii="Arial" w:cs="Arial" w:eastAsia="Arial" w:hAnsi="Arial"/>
          <w:sz w:val="18"/>
          <w:szCs w:val="18"/>
          <w:u w:val="single" w:color="auto"/>
          <w:color w:val="auto"/>
        </w:rPr>
        <w:t>Article I</w:t>
      </w:r>
      <w:r>
        <w:rPr>
          <w:rFonts w:ascii="Arial" w:cs="Arial" w:eastAsia="Arial" w:hAnsi="Arial"/>
          <w:sz w:val="18"/>
          <w:szCs w:val="18"/>
          <w:color w:val="auto"/>
        </w:rPr>
        <w:t>) is among TPG SPECIALTY LENDING,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SUNTRUST BANK, as Administrative Agent.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WHEREAS, the Borrower, the Lenders party hereto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and the Fourth Amendment to Second Amended and Restated Senior Secured Revolving Credit Agreement, dated as of October 2, 2015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 by this Amendment and as the same may be further amended, supplemented, amended and restated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w:t>
      </w:r>
    </w:p>
    <w:p>
      <w:pPr>
        <w:spacing w:after="0" w:line="189" w:lineRule="exact"/>
        <w:rPr>
          <w:sz w:val="20"/>
          <w:szCs w:val="20"/>
          <w:color w:val="auto"/>
        </w:rPr>
      </w:pPr>
    </w:p>
    <w:p>
      <w:pPr>
        <w:jc w:val="both"/>
        <w:ind w:firstLine="761"/>
        <w:spacing w:after="0" w:line="308" w:lineRule="auto"/>
        <w:rPr>
          <w:sz w:val="20"/>
          <w:szCs w:val="20"/>
          <w:color w:val="auto"/>
        </w:rPr>
      </w:pPr>
      <w:r>
        <w:rPr>
          <w:rFonts w:ascii="Arial" w:cs="Arial" w:eastAsia="Arial" w:hAnsi="Arial"/>
          <w:sz w:val="17"/>
          <w:szCs w:val="17"/>
          <w:color w:val="auto"/>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NOW, THEREFORE, the parties hereto hereby covenant and agree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The following terms when used in this Amendment shall have the following meanings (such meanings to be equally applicable to the singular and plural forms thereof):</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Fifth Amendment Effective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 Capitalized terms for which meanings are provided in the Existing Credit Agreement are, unless otherwise defined herein or the context otherwise requires, used in this Amendment with such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EXISTING CREDIT AGREEMENT</w:t>
      </w:r>
    </w:p>
    <w:p>
      <w:pPr>
        <w:spacing w:after="0" w:line="22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 xml:space="preserve">Subject to the occurrence of the Fifth Amendment Effective Date (as hereinafter defined), the Existing Credit Agreement is amended in 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The Existing Credit Agreement is hereby amended in its entirety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EFFECTIVENESS</w:t>
      </w:r>
    </w:p>
    <w:p>
      <w:pPr>
        <w:spacing w:after="0" w:line="225"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Effective Date</w:t>
      </w:r>
      <w:r>
        <w:rPr>
          <w:rFonts w:ascii="Arial" w:cs="Arial" w:eastAsia="Arial" w:hAnsi="Arial"/>
          <w:sz w:val="16"/>
          <w:szCs w:val="16"/>
          <w:color w:val="auto"/>
        </w:rPr>
        <w:t>. This Amendment shall become effective on the date (the “</w:t>
      </w:r>
      <w:r>
        <w:rPr>
          <w:rFonts w:ascii="Arial" w:cs="Arial" w:eastAsia="Arial" w:hAnsi="Arial"/>
          <w:sz w:val="16"/>
          <w:szCs w:val="16"/>
          <w:u w:val="single" w:color="auto"/>
          <w:color w:val="auto"/>
        </w:rPr>
        <w:t>Fifth Amendment Effective Date</w:t>
      </w:r>
      <w:r>
        <w:rPr>
          <w:rFonts w:ascii="Arial" w:cs="Arial" w:eastAsia="Arial" w:hAnsi="Arial"/>
          <w:sz w:val="16"/>
          <w:szCs w:val="16"/>
          <w:color w:val="auto"/>
        </w:rPr>
        <w:t>”) when the Administrative Agent shall have received (a) counterparts of this Amendment duly executed and delivered on behalf of the Borrower and each of the Lenders party hereto, (b) a favorable written opinion (addressed to the Administrative Agent and the Lenders party hereto and dated as of the date hereof) of (i) Cleary Gottlieb Steen &amp; Hamilton LLP, New York counsel for the Borrower, and (ii) Young Conaway Stargatt &amp; Taylor, LLP, Delaware counsel for the Borrower, in each case, in form and substance reasonably acceptable to the Administrative Agent (and the Borrower hereby instructs such counsel to deliver such opinions to the Lenders party hereto and the Administrative Agent), (c) such documents and certificates as the Administrative Agent or its counsel may reasonably request relating to the organization, existence and good standing of the Borrower, the authorization of this Amendment and any other legal matters relating to the Borrower, this Amendment, all in form and substance satisfactory to the Administrative Agent and its counsel and (d) for the benefit of Administrative Agent and each of the Lenders party hereto, as applicable, fees and expenses owing by the Borrower in connection with this Amendment as of the date hereof.</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Representations</w:t>
      </w:r>
      <w:r>
        <w:rPr>
          <w:rFonts w:ascii="Arial" w:cs="Arial" w:eastAsia="Arial" w:hAnsi="Arial"/>
          <w:sz w:val="17"/>
          <w:szCs w:val="17"/>
          <w:color w:val="auto"/>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78"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Cross-References</w:t>
      </w:r>
      <w:r>
        <w:rPr>
          <w:rFonts w:ascii="Arial" w:cs="Arial" w:eastAsia="Arial" w:hAnsi="Arial"/>
          <w:sz w:val="18"/>
          <w:szCs w:val="18"/>
          <w:color w:val="auto"/>
        </w:rPr>
        <w:t>. References in this Amendment to any Article or Section are, unless otherwise specified, to such Article or Section of this Amendment.</w:t>
      </w:r>
    </w:p>
    <w:p>
      <w:pPr>
        <w:spacing w:after="0" w:line="17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Loan Document Pursuant to Existing Credit Agreement</w:t>
      </w:r>
      <w:r>
        <w:rPr>
          <w:rFonts w:ascii="Arial" w:cs="Arial" w:eastAsia="Arial" w:hAnsi="Arial"/>
          <w:sz w:val="18"/>
          <w:szCs w:val="18"/>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8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Amendment shall be binding upon and inure to the benefit of the parties hereto and their respective successors and assigns.</w:t>
      </w:r>
    </w:p>
    <w:p>
      <w:pPr>
        <w:spacing w:after="0" w:line="170"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jc w:val="both"/>
        <w:ind w:firstLine="761"/>
        <w:spacing w:after="0" w:line="290"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Full Force and Effect; Limited Amendment</w:t>
      </w:r>
      <w:r>
        <w:rPr>
          <w:rFonts w:ascii="Arial" w:cs="Arial" w:eastAsia="Arial" w:hAnsi="Arial"/>
          <w:sz w:val="16"/>
          <w:szCs w:val="16"/>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pacing w:after="0" w:line="166"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Reaffirmation</w:t>
      </w:r>
      <w:r>
        <w:rPr>
          <w:rFonts w:ascii="Arial" w:cs="Arial" w:eastAsia="Arial" w:hAnsi="Arial"/>
          <w:sz w:val="18"/>
          <w:szCs w:val="18"/>
          <w:color w:val="auto"/>
        </w:rPr>
        <w:t>. Each of TSL MR, LLC, TC Lending, LLC and TPG SL SPV,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4" w:name="page125"/>
    <w:bookmarkEnd w:id="124"/>
    <w:p>
      <w:pPr>
        <w:ind w:left="760"/>
        <w:spacing w:after="0"/>
        <w:rPr>
          <w:sz w:val="20"/>
          <w:szCs w:val="20"/>
          <w:color w:val="auto"/>
        </w:rPr>
      </w:pPr>
      <w:r>
        <w:rPr>
          <w:rFonts w:ascii="Arial" w:cs="Arial" w:eastAsia="Arial" w:hAnsi="Arial"/>
          <w:sz w:val="18"/>
          <w:szCs w:val="18"/>
          <w:color w:val="auto"/>
        </w:rPr>
        <w:t>IN WITNESS WHEREOF, the parties hereto have executed and delivered this Amendment as of the date first above written.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7400" w:type="dxa"/>
            <w:vAlign w:val="bottom"/>
            <w:gridSpan w:val="2"/>
          </w:tcPr>
          <w:p>
            <w:pPr>
              <w:ind w:left="2920"/>
              <w:spacing w:after="0"/>
              <w:rPr>
                <w:sz w:val="20"/>
                <w:szCs w:val="20"/>
                <w:color w:val="auto"/>
              </w:rPr>
            </w:pPr>
            <w:r>
              <w:rPr>
                <w:rFonts w:ascii="Arial" w:cs="Arial" w:eastAsia="Arial" w:hAnsi="Arial"/>
                <w:sz w:val="18"/>
                <w:szCs w:val="18"/>
                <w:b w:val="1"/>
                <w:bCs w:val="1"/>
                <w:color w:val="auto"/>
              </w:rPr>
              <w:t>TPG SPECIALTY LENDING, INC.</w:t>
            </w:r>
          </w:p>
        </w:tc>
      </w:tr>
      <w:tr>
        <w:trPr>
          <w:trHeight w:val="453"/>
        </w:trPr>
        <w:tc>
          <w:tcPr>
            <w:tcW w:w="102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3520" w:type="dxa"/>
            <w:vAlign w:val="bottom"/>
          </w:tcPr>
          <w:p>
            <w:pPr>
              <w:ind w:left="29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r>
      <w:tr>
        <w:trPr>
          <w:trHeight w:val="195"/>
        </w:trPr>
        <w:tc>
          <w:tcPr>
            <w:tcW w:w="10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520" w:type="dxa"/>
            <w:vAlign w:val="bottom"/>
          </w:tcPr>
          <w:p>
            <w:pPr>
              <w:ind w:left="2920"/>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10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520" w:type="dxa"/>
            <w:vAlign w:val="bottom"/>
          </w:tcPr>
          <w:p>
            <w:pPr>
              <w:ind w:left="292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sz w:val="20"/>
                <w:szCs w:val="20"/>
                <w:color w:val="auto"/>
              </w:rPr>
            </w:pPr>
            <w:r>
              <w:rPr>
                <w:rFonts w:ascii="Arial" w:cs="Arial" w:eastAsia="Arial" w:hAnsi="Arial"/>
                <w:sz w:val="18"/>
                <w:szCs w:val="18"/>
                <w:color w:val="auto"/>
              </w:rPr>
              <w:t>LENDERS:</w:t>
            </w:r>
          </w:p>
        </w:tc>
        <w:tc>
          <w:tcPr>
            <w:tcW w:w="7520" w:type="dxa"/>
            <w:vAlign w:val="bottom"/>
            <w:gridSpan w:val="2"/>
          </w:tcPr>
          <w:p>
            <w:pPr>
              <w:ind w:left="3040"/>
              <w:spacing w:after="0"/>
              <w:rPr>
                <w:sz w:val="20"/>
                <w:szCs w:val="20"/>
                <w:color w:val="auto"/>
              </w:rPr>
            </w:pPr>
            <w:r>
              <w:rPr>
                <w:rFonts w:ascii="Arial" w:cs="Arial" w:eastAsia="Arial" w:hAnsi="Arial"/>
                <w:sz w:val="18"/>
                <w:szCs w:val="18"/>
                <w:b w:val="1"/>
                <w:bCs w:val="1"/>
                <w:color w:val="auto"/>
              </w:rPr>
              <w:t>SUNTRUST BANK</w:t>
            </w:r>
          </w:p>
        </w:tc>
      </w:tr>
      <w:tr>
        <w:trPr>
          <w:trHeight w:val="222"/>
        </w:trPr>
        <w:tc>
          <w:tcPr>
            <w:tcW w:w="820" w:type="dxa"/>
            <w:vAlign w:val="bottom"/>
            <w:tcBorders>
              <w:top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7520" w:type="dxa"/>
            <w:vAlign w:val="bottom"/>
            <w:gridSpan w:val="2"/>
          </w:tcPr>
          <w:p>
            <w:pPr>
              <w:ind w:left="3040"/>
              <w:spacing w:after="0"/>
              <w:rPr>
                <w:sz w:val="20"/>
                <w:szCs w:val="20"/>
                <w:color w:val="auto"/>
              </w:rPr>
            </w:pPr>
            <w:r>
              <w:rPr>
                <w:rFonts w:ascii="Arial" w:cs="Arial" w:eastAsia="Arial" w:hAnsi="Arial"/>
                <w:sz w:val="18"/>
                <w:szCs w:val="18"/>
                <w:color w:val="auto"/>
                <w:w w:val="91"/>
              </w:rPr>
              <w:t>as Administrative Agent, Swingline Lender, Issuing Bank and</w:t>
            </w:r>
          </w:p>
        </w:tc>
      </w:tr>
      <w:tr>
        <w:trPr>
          <w:trHeight w:val="230"/>
        </w:trPr>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520" w:type="dxa"/>
            <w:vAlign w:val="bottom"/>
            <w:gridSpan w:val="2"/>
          </w:tcPr>
          <w:p>
            <w:pPr>
              <w:ind w:left="3040"/>
              <w:spacing w:after="0"/>
              <w:rPr>
                <w:sz w:val="20"/>
                <w:szCs w:val="20"/>
                <w:color w:val="auto"/>
              </w:rPr>
            </w:pPr>
            <w:r>
              <w:rPr>
                <w:rFonts w:ascii="Arial" w:cs="Arial" w:eastAsia="Arial" w:hAnsi="Arial"/>
                <w:sz w:val="18"/>
                <w:szCs w:val="18"/>
                <w:color w:val="auto"/>
              </w:rPr>
              <w:t>as a Lender</w:t>
            </w:r>
          </w:p>
        </w:tc>
      </w:tr>
      <w:tr>
        <w:trPr>
          <w:trHeight w:val="432"/>
        </w:trPr>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640" w:type="dxa"/>
            <w:vAlign w:val="bottom"/>
          </w:tcPr>
          <w:p>
            <w:pPr>
              <w:ind w:left="304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Kennedy</w:t>
            </w:r>
          </w:p>
        </w:tc>
      </w:tr>
      <w:tr>
        <w:trPr>
          <w:trHeight w:val="195"/>
        </w:trPr>
        <w:tc>
          <w:tcPr>
            <w:tcW w:w="8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640" w:type="dxa"/>
            <w:vAlign w:val="bottom"/>
          </w:tcPr>
          <w:p>
            <w:pPr>
              <w:ind w:left="3040"/>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Doug Kennedy</w:t>
            </w:r>
          </w:p>
        </w:tc>
      </w:tr>
      <w:tr>
        <w:trPr>
          <w:trHeight w:val="230"/>
        </w:trPr>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640" w:type="dxa"/>
            <w:vAlign w:val="bottom"/>
          </w:tcPr>
          <w:p>
            <w:pPr>
              <w:ind w:left="304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26" w:name="page127"/>
    <w:bookmarkEnd w:id="126"/>
    <w:p>
      <w:pPr>
        <w:ind w:left="6940"/>
        <w:spacing w:after="0"/>
        <w:rPr>
          <w:sz w:val="20"/>
          <w:szCs w:val="20"/>
          <w:color w:val="auto"/>
        </w:rPr>
      </w:pPr>
      <w:r>
        <w:rPr>
          <w:rFonts w:ascii="Arial" w:cs="Arial" w:eastAsia="Arial" w:hAnsi="Arial"/>
          <w:sz w:val="18"/>
          <w:szCs w:val="18"/>
          <w:color w:val="auto"/>
        </w:rPr>
        <w:t>J.P. Morgan Chase Bank N.A., as a Lender</w:t>
      </w: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Griffith</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Matthew Griffith</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7" w:name="page128"/>
    <w:bookmarkEnd w:id="127"/>
    <w:p>
      <w:pPr>
        <w:ind w:left="6940"/>
        <w:spacing w:after="0"/>
        <w:rPr>
          <w:sz w:val="20"/>
          <w:szCs w:val="20"/>
          <w:color w:val="auto"/>
        </w:rPr>
      </w:pPr>
      <w:r>
        <w:rPr>
          <w:rFonts w:ascii="Arial" w:cs="Arial" w:eastAsia="Arial" w:hAnsi="Arial"/>
          <w:sz w:val="18"/>
          <w:szCs w:val="18"/>
          <w:color w:val="auto"/>
        </w:rPr>
        <w:t>STATE STREET BANK AND TRUST COMPANY, as a</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Ducar</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Christopher Ducar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8" w:name="page129"/>
    <w:bookmarkEnd w:id="128"/>
    <w:p>
      <w:pPr>
        <w:ind w:left="6940"/>
        <w:spacing w:after="0"/>
        <w:rPr>
          <w:sz w:val="20"/>
          <w:szCs w:val="20"/>
          <w:color w:val="auto"/>
        </w:rPr>
      </w:pPr>
      <w:r>
        <w:rPr>
          <w:rFonts w:ascii="Arial" w:cs="Arial" w:eastAsia="Arial" w:hAnsi="Arial"/>
          <w:sz w:val="18"/>
          <w:szCs w:val="18"/>
          <w:color w:val="auto"/>
        </w:rPr>
        <w:t>Bank of America N.A., as a Lender</w:t>
      </w: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Jacob Garcia</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Jacob Garcia</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9" w:name="page130"/>
    <w:bookmarkEnd w:id="129"/>
    <w:p>
      <w:pPr>
        <w:ind w:left="6940"/>
        <w:spacing w:after="0"/>
        <w:rPr>
          <w:sz w:val="20"/>
          <w:szCs w:val="20"/>
          <w:color w:val="auto"/>
        </w:rPr>
      </w:pPr>
      <w:r>
        <w:rPr>
          <w:rFonts w:ascii="Arial" w:cs="Arial" w:eastAsia="Arial" w:hAnsi="Arial"/>
          <w:sz w:val="18"/>
          <w:szCs w:val="18"/>
          <w:color w:val="auto"/>
        </w:rPr>
        <w:t>HSBC Bank USA, N.A., as a Lender</w:t>
      </w: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Myles Bae</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Myles Bae</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Senior Vice President 21473</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0" w:name="page131"/>
    <w:bookmarkEnd w:id="130"/>
    <w:p>
      <w:pPr>
        <w:ind w:left="6940"/>
        <w:spacing w:after="0"/>
        <w:rPr>
          <w:sz w:val="20"/>
          <w:szCs w:val="20"/>
          <w:color w:val="auto"/>
        </w:rPr>
      </w:pPr>
      <w:r>
        <w:rPr>
          <w:rFonts w:ascii="Arial" w:cs="Arial" w:eastAsia="Arial" w:hAnsi="Arial"/>
          <w:sz w:val="18"/>
          <w:szCs w:val="18"/>
          <w:color w:val="auto"/>
        </w:rPr>
        <w:t>Citibank, N.A., as a Lender</w:t>
      </w: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Erik Andersen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Erik Andersen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1" w:name="page132"/>
    <w:bookmarkEnd w:id="131"/>
    <w:p>
      <w:pPr>
        <w:ind w:left="6940"/>
        <w:spacing w:after="0"/>
        <w:rPr>
          <w:sz w:val="20"/>
          <w:szCs w:val="20"/>
          <w:color w:val="auto"/>
        </w:rPr>
      </w:pPr>
      <w:r>
        <w:rPr>
          <w:rFonts w:ascii="Arial" w:cs="Arial" w:eastAsia="Arial" w:hAnsi="Arial"/>
          <w:sz w:val="18"/>
          <w:szCs w:val="18"/>
          <w:color w:val="auto"/>
        </w:rPr>
        <w:t>Mizuho Bank, Ltd., as a Lender</w:t>
      </w: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Fayen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James Fayen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2" w:name="page133"/>
    <w:bookmarkEnd w:id="132"/>
    <w:p>
      <w:pPr>
        <w:ind w:left="6940"/>
        <w:spacing w:after="0"/>
        <w:rPr>
          <w:sz w:val="20"/>
          <w:szCs w:val="20"/>
          <w:color w:val="auto"/>
        </w:rPr>
      </w:pPr>
      <w:r>
        <w:rPr>
          <w:rFonts w:ascii="Arial" w:cs="Arial" w:eastAsia="Arial" w:hAnsi="Arial"/>
          <w:sz w:val="18"/>
          <w:szCs w:val="18"/>
          <w:color w:val="auto"/>
        </w:rPr>
        <w:t>Barclays Bank PLC, as a Lender</w:t>
      </w: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Aitkin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Christopher Aitkin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3" w:name="page134"/>
    <w:bookmarkEnd w:id="133"/>
    <w:p>
      <w:pPr>
        <w:ind w:left="6940"/>
        <w:spacing w:after="0"/>
        <w:rPr>
          <w:sz w:val="20"/>
          <w:szCs w:val="20"/>
          <w:color w:val="auto"/>
        </w:rPr>
      </w:pPr>
      <w:r>
        <w:rPr>
          <w:rFonts w:ascii="Arial" w:cs="Arial" w:eastAsia="Arial" w:hAnsi="Arial"/>
          <w:sz w:val="18"/>
          <w:szCs w:val="18"/>
          <w:color w:val="auto"/>
        </w:rPr>
        <w:t>GOLDMAN SACHS BANK USA, as a Lender</w:t>
      </w: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Durkin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Ryan Durkin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4" w:name="page135"/>
    <w:bookmarkEnd w:id="134"/>
    <w:p>
      <w:pPr>
        <w:ind w:left="6940"/>
        <w:spacing w:after="0"/>
        <w:rPr>
          <w:sz w:val="20"/>
          <w:szCs w:val="20"/>
          <w:color w:val="auto"/>
        </w:rPr>
      </w:pPr>
      <w:r>
        <w:rPr>
          <w:rFonts w:ascii="Arial" w:cs="Arial" w:eastAsia="Arial" w:hAnsi="Arial"/>
          <w:sz w:val="18"/>
          <w:szCs w:val="18"/>
          <w:color w:val="auto"/>
        </w:rPr>
        <w:t>Morgan Stanley Bank, N.A., as a Lender</w:t>
      </w: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Michael King</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5" w:name="page136"/>
    <w:bookmarkEnd w:id="135"/>
    <w:p>
      <w:pPr>
        <w:ind w:left="6920"/>
        <w:spacing w:after="0"/>
        <w:rPr>
          <w:sz w:val="20"/>
          <w:szCs w:val="20"/>
          <w:color w:val="auto"/>
        </w:rPr>
      </w:pPr>
      <w:r>
        <w:rPr>
          <w:rFonts w:ascii="Arial" w:cs="Arial" w:eastAsia="Arial" w:hAnsi="Arial"/>
          <w:sz w:val="18"/>
          <w:szCs w:val="18"/>
          <w:color w:val="auto"/>
        </w:rPr>
        <w:t>Santander Bank N.A., as a Lender</w:t>
      </w:r>
    </w:p>
    <w:p>
      <w:pPr>
        <w:spacing w:after="0" w:line="225" w:lineRule="exact"/>
        <w:rPr>
          <w:sz w:val="20"/>
          <w:szCs w:val="20"/>
          <w:color w:val="auto"/>
        </w:rPr>
      </w:pPr>
    </w:p>
    <w:tbl>
      <w:tblPr>
        <w:tblLayout w:type="fixed"/>
        <w:tblInd w:w="69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Louis McKinley</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spacing w:after="0" w:line="195" w:lineRule="exact"/>
              <w:rPr>
                <w:sz w:val="20"/>
                <w:szCs w:val="20"/>
                <w:color w:val="auto"/>
              </w:rPr>
            </w:pPr>
            <w:r>
              <w:rPr>
                <w:rFonts w:ascii="Arial" w:cs="Arial" w:eastAsia="Arial" w:hAnsi="Arial"/>
                <w:sz w:val="18"/>
                <w:szCs w:val="18"/>
                <w:color w:val="auto"/>
              </w:rPr>
              <w:t>George Louis McKinley</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6" w:name="page137"/>
    <w:bookmarkEnd w:id="136"/>
    <w:p>
      <w:pPr>
        <w:ind w:left="6940"/>
        <w:spacing w:after="0"/>
        <w:rPr>
          <w:sz w:val="20"/>
          <w:szCs w:val="20"/>
          <w:color w:val="auto"/>
        </w:rPr>
      </w:pPr>
      <w:r>
        <w:rPr>
          <w:rFonts w:ascii="Arial" w:cs="Arial" w:eastAsia="Arial" w:hAnsi="Arial"/>
          <w:sz w:val="18"/>
          <w:szCs w:val="18"/>
          <w:color w:val="auto"/>
        </w:rPr>
        <w:t>BankUnited, N.A., as a Lender</w:t>
      </w: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Lipke</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Kenneth Lipke</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7" w:name="page138"/>
    <w:bookmarkEnd w:id="137"/>
    <w:p>
      <w:pPr>
        <w:ind w:left="6940"/>
        <w:spacing w:after="0"/>
        <w:rPr>
          <w:sz w:val="20"/>
          <w:szCs w:val="20"/>
          <w:color w:val="auto"/>
        </w:rPr>
      </w:pPr>
      <w:r>
        <w:rPr>
          <w:rFonts w:ascii="Arial" w:cs="Arial" w:eastAsia="Arial" w:hAnsi="Arial"/>
          <w:sz w:val="18"/>
          <w:szCs w:val="18"/>
          <w:color w:val="auto"/>
        </w:rPr>
        <w:t>CIT Finance LLC, as a Lender</w:t>
      </w: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 Klein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Robert L. Klein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8" w:name="page139"/>
    <w:bookmarkEnd w:id="138"/>
    <w:p>
      <w:pPr>
        <w:ind w:left="6940"/>
        <w:spacing w:after="0"/>
        <w:rPr>
          <w:sz w:val="20"/>
          <w:szCs w:val="20"/>
          <w:color w:val="auto"/>
        </w:rPr>
      </w:pPr>
      <w:r>
        <w:rPr>
          <w:rFonts w:ascii="Arial" w:cs="Arial" w:eastAsia="Arial" w:hAnsi="Arial"/>
          <w:sz w:val="18"/>
          <w:szCs w:val="18"/>
          <w:color w:val="auto"/>
        </w:rPr>
        <w:t>Comerica Bank, as a Lender</w:t>
      </w: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O’Rourke</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Timothy O’Rourke</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9" w:name="page140"/>
    <w:bookmarkEnd w:id="139"/>
    <w:p>
      <w:pPr>
        <w:ind w:left="6940"/>
        <w:spacing w:after="0"/>
        <w:rPr>
          <w:sz w:val="20"/>
          <w:szCs w:val="20"/>
          <w:color w:val="auto"/>
        </w:rPr>
      </w:pPr>
      <w:r>
        <w:rPr>
          <w:rFonts w:ascii="Arial" w:cs="Arial" w:eastAsia="Arial" w:hAnsi="Arial"/>
          <w:sz w:val="18"/>
          <w:szCs w:val="18"/>
          <w:color w:val="auto"/>
        </w:rPr>
        <w:t>Lloyds Bank plc, as a Lender</w:t>
      </w:r>
    </w:p>
    <w:p>
      <w:pPr>
        <w:spacing w:after="0" w:line="225"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Erin Walsh</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Erin Walsh</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Assistance Vice President</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Slomko</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Joel Slomko</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0" w:name="page141"/>
    <w:bookmarkEnd w:id="140"/>
    <w:p>
      <w:pPr>
        <w:ind w:left="6940"/>
        <w:spacing w:after="0"/>
        <w:rPr>
          <w:sz w:val="20"/>
          <w:szCs w:val="20"/>
          <w:color w:val="auto"/>
        </w:rPr>
      </w:pPr>
      <w:r>
        <w:rPr>
          <w:rFonts w:ascii="Arial" w:cs="Arial" w:eastAsia="Arial" w:hAnsi="Arial"/>
          <w:sz w:val="16"/>
          <w:szCs w:val="16"/>
          <w:color w:val="auto"/>
        </w:rPr>
        <w:t xml:space="preserve">Agreed and acknowledged solely with respect to </w:t>
      </w:r>
      <w:r>
        <w:rPr>
          <w:rFonts w:ascii="Arial" w:cs="Arial" w:eastAsia="Arial" w:hAnsi="Arial"/>
          <w:sz w:val="16"/>
          <w:szCs w:val="16"/>
          <w:u w:val="single" w:color="auto"/>
          <w:color w:val="auto"/>
        </w:rPr>
        <w:t>Section 4.8</w:t>
      </w:r>
    </w:p>
    <w:p>
      <w:pPr>
        <w:spacing w:after="0" w:line="244"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TC LENDING, LLC</w:t>
      </w:r>
    </w:p>
    <w:p>
      <w:pPr>
        <w:spacing w:after="0" w:line="229" w:lineRule="exact"/>
        <w:rPr>
          <w:sz w:val="20"/>
          <w:szCs w:val="20"/>
          <w:color w:val="auto"/>
        </w:rPr>
      </w:pPr>
    </w:p>
    <w:tbl>
      <w:tblPr>
        <w:tblLayout w:type="fixed"/>
        <w:tblInd w:w="69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TSL MR, LLC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TPG SL SPV, LLC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FIFTH AMENDMENT – TPG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SECOND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SECURED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27, 2014</w:t>
      </w:r>
    </w:p>
    <w:p>
      <w:pPr>
        <w:spacing w:after="0" w:line="225"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color w:val="auto"/>
        </w:rPr>
        <w:t>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and the Fifth Amendment to Second Amended and Restated Senior Secured Revolving Credit Agreement dated as of December 22, 2016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2865755</wp:posOffset>
            </wp:positionH>
            <wp:positionV relativeFrom="paragraph">
              <wp:posOffset>169545</wp:posOffset>
            </wp:positionV>
            <wp:extent cx="14490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168910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186055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936625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517" w:right="27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3"/>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1.01.</w:t>
            </w:r>
          </w:p>
        </w:tc>
        <w:tc>
          <w:tcPr>
            <w:tcW w:w="7480" w:type="dxa"/>
            <w:vAlign w:val="bottom"/>
          </w:tcPr>
          <w:p>
            <w:pPr>
              <w:ind w:left="160"/>
              <w:spacing w:after="0"/>
              <w:rPr>
                <w:sz w:val="20"/>
                <w:szCs w:val="20"/>
                <w:color w:val="auto"/>
              </w:rPr>
            </w:pPr>
            <w:r>
              <w:rPr>
                <w:rFonts w:ascii="Arial" w:cs="Arial" w:eastAsia="Arial" w:hAnsi="Arial"/>
                <w:sz w:val="18"/>
                <w:szCs w:val="18"/>
                <w:color w:val="auto"/>
              </w:rPr>
              <w:t>Defined Terms</w:t>
            </w:r>
          </w:p>
        </w:tc>
        <w:tc>
          <w:tcPr>
            <w:tcW w:w="2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1.02.</w:t>
            </w:r>
          </w:p>
        </w:tc>
        <w:tc>
          <w:tcPr>
            <w:tcW w:w="7480" w:type="dxa"/>
            <w:vAlign w:val="bottom"/>
          </w:tcPr>
          <w:p>
            <w:pPr>
              <w:ind w:left="160"/>
              <w:spacing w:after="0"/>
              <w:rPr>
                <w:sz w:val="20"/>
                <w:szCs w:val="20"/>
                <w:color w:val="auto"/>
              </w:rPr>
            </w:pPr>
            <w:r>
              <w:rPr>
                <w:rFonts w:ascii="Arial" w:cs="Arial" w:eastAsia="Arial" w:hAnsi="Arial"/>
                <w:sz w:val="18"/>
                <w:szCs w:val="18"/>
                <w:color w:val="auto"/>
              </w:rPr>
              <w:t>Classification of Loans and Borrowings</w:t>
            </w:r>
          </w:p>
        </w:tc>
        <w:tc>
          <w:tcPr>
            <w:tcW w:w="2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1.03.</w:t>
            </w:r>
          </w:p>
        </w:tc>
        <w:tc>
          <w:tcPr>
            <w:tcW w:w="7480" w:type="dxa"/>
            <w:vAlign w:val="bottom"/>
          </w:tcPr>
          <w:p>
            <w:pPr>
              <w:ind w:left="160"/>
              <w:spacing w:after="0"/>
              <w:rPr>
                <w:sz w:val="20"/>
                <w:szCs w:val="20"/>
                <w:color w:val="auto"/>
              </w:rPr>
            </w:pPr>
            <w:r>
              <w:rPr>
                <w:rFonts w:ascii="Arial" w:cs="Arial" w:eastAsia="Arial" w:hAnsi="Arial"/>
                <w:sz w:val="18"/>
                <w:szCs w:val="18"/>
                <w:color w:val="auto"/>
              </w:rPr>
              <w:t>Terms Generally</w:t>
            </w:r>
          </w:p>
        </w:tc>
        <w:tc>
          <w:tcPr>
            <w:tcW w:w="2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1.04.</w:t>
            </w:r>
          </w:p>
        </w:tc>
        <w:tc>
          <w:tcPr>
            <w:tcW w:w="7480" w:type="dxa"/>
            <w:vAlign w:val="bottom"/>
          </w:tcPr>
          <w:p>
            <w:pPr>
              <w:ind w:left="160"/>
              <w:spacing w:after="0"/>
              <w:rPr>
                <w:sz w:val="20"/>
                <w:szCs w:val="20"/>
                <w:color w:val="auto"/>
              </w:rPr>
            </w:pPr>
            <w:r>
              <w:rPr>
                <w:rFonts w:ascii="Arial" w:cs="Arial" w:eastAsia="Arial" w:hAnsi="Arial"/>
                <w:sz w:val="18"/>
                <w:szCs w:val="18"/>
                <w:color w:val="auto"/>
              </w:rPr>
              <w:t>Accounting Terms; GAAP</w:t>
            </w:r>
          </w:p>
        </w:tc>
        <w:tc>
          <w:tcPr>
            <w:tcW w:w="2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1.05.</w:t>
            </w:r>
          </w:p>
        </w:tc>
        <w:tc>
          <w:tcPr>
            <w:tcW w:w="7480" w:type="dxa"/>
            <w:vAlign w:val="bottom"/>
          </w:tcPr>
          <w:p>
            <w:pPr>
              <w:ind w:left="160"/>
              <w:spacing w:after="0"/>
              <w:rPr>
                <w:sz w:val="20"/>
                <w:szCs w:val="20"/>
                <w:color w:val="auto"/>
              </w:rPr>
            </w:pPr>
            <w:r>
              <w:rPr>
                <w:rFonts w:ascii="Arial" w:cs="Arial" w:eastAsia="Arial" w:hAnsi="Arial"/>
                <w:sz w:val="18"/>
                <w:szCs w:val="18"/>
                <w:color w:val="auto"/>
              </w:rPr>
              <w:t>Currencies; Currency Equivalents</w:t>
            </w:r>
          </w:p>
        </w:tc>
        <w:tc>
          <w:tcPr>
            <w:tcW w:w="2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8"/>
        </w:trPr>
        <w:tc>
          <w:tcPr>
            <w:tcW w:w="9280" w:type="dxa"/>
            <w:vAlign w:val="bottom"/>
            <w:gridSpan w:val="2"/>
          </w:tcPr>
          <w:p>
            <w:pPr>
              <w:jc w:val="center"/>
              <w:ind w:right="7070"/>
              <w:spacing w:after="0"/>
              <w:rPr>
                <w:sz w:val="20"/>
                <w:szCs w:val="20"/>
                <w:color w:val="auto"/>
              </w:rPr>
            </w:pPr>
            <w:r>
              <w:rPr>
                <w:rFonts w:ascii="Arial" w:cs="Arial" w:eastAsia="Arial" w:hAnsi="Arial"/>
                <w:sz w:val="18"/>
                <w:szCs w:val="18"/>
                <w:color w:val="auto"/>
                <w:w w:val="98"/>
              </w:rPr>
              <w:t>ARTICLE II THE CREDITS</w:t>
            </w:r>
          </w:p>
        </w:tc>
        <w:tc>
          <w:tcPr>
            <w:tcW w:w="2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3"/>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2.01.</w:t>
            </w:r>
          </w:p>
        </w:tc>
        <w:tc>
          <w:tcPr>
            <w:tcW w:w="7480" w:type="dxa"/>
            <w:vAlign w:val="bottom"/>
          </w:tcPr>
          <w:p>
            <w:pPr>
              <w:ind w:left="160"/>
              <w:spacing w:after="0"/>
              <w:rPr>
                <w:sz w:val="20"/>
                <w:szCs w:val="20"/>
                <w:color w:val="auto"/>
              </w:rPr>
            </w:pPr>
            <w:r>
              <w:rPr>
                <w:rFonts w:ascii="Arial" w:cs="Arial" w:eastAsia="Arial" w:hAnsi="Arial"/>
                <w:sz w:val="18"/>
                <w:szCs w:val="18"/>
                <w:color w:val="auto"/>
              </w:rPr>
              <w:t>The Commitments</w:t>
            </w:r>
          </w:p>
        </w:tc>
        <w:tc>
          <w:tcPr>
            <w:tcW w:w="2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2.02.</w:t>
            </w:r>
          </w:p>
        </w:tc>
        <w:tc>
          <w:tcPr>
            <w:tcW w:w="7480" w:type="dxa"/>
            <w:vAlign w:val="bottom"/>
          </w:tcPr>
          <w:p>
            <w:pPr>
              <w:ind w:left="160"/>
              <w:spacing w:after="0"/>
              <w:rPr>
                <w:sz w:val="20"/>
                <w:szCs w:val="20"/>
                <w:color w:val="auto"/>
              </w:rPr>
            </w:pPr>
            <w:r>
              <w:rPr>
                <w:rFonts w:ascii="Arial" w:cs="Arial" w:eastAsia="Arial" w:hAnsi="Arial"/>
                <w:sz w:val="18"/>
                <w:szCs w:val="18"/>
                <w:color w:val="auto"/>
              </w:rPr>
              <w:t>Loans and Borrowings</w:t>
            </w:r>
          </w:p>
        </w:tc>
        <w:tc>
          <w:tcPr>
            <w:tcW w:w="2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2.03.</w:t>
            </w:r>
          </w:p>
        </w:tc>
        <w:tc>
          <w:tcPr>
            <w:tcW w:w="7480" w:type="dxa"/>
            <w:vAlign w:val="bottom"/>
          </w:tcPr>
          <w:p>
            <w:pPr>
              <w:ind w:left="160"/>
              <w:spacing w:after="0"/>
              <w:rPr>
                <w:sz w:val="20"/>
                <w:szCs w:val="20"/>
                <w:color w:val="auto"/>
              </w:rPr>
            </w:pPr>
            <w:r>
              <w:rPr>
                <w:rFonts w:ascii="Arial" w:cs="Arial" w:eastAsia="Arial" w:hAnsi="Arial"/>
                <w:sz w:val="18"/>
                <w:szCs w:val="18"/>
                <w:color w:val="auto"/>
              </w:rPr>
              <w:t>Requests for Syndicated Borrowings</w:t>
            </w:r>
          </w:p>
        </w:tc>
        <w:tc>
          <w:tcPr>
            <w:tcW w:w="2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2.04.</w:t>
            </w:r>
          </w:p>
        </w:tc>
        <w:tc>
          <w:tcPr>
            <w:tcW w:w="7480" w:type="dxa"/>
            <w:vAlign w:val="bottom"/>
          </w:tcPr>
          <w:p>
            <w:pPr>
              <w:ind w:left="160"/>
              <w:spacing w:after="0"/>
              <w:rPr>
                <w:sz w:val="20"/>
                <w:szCs w:val="20"/>
                <w:color w:val="auto"/>
              </w:rPr>
            </w:pPr>
            <w:r>
              <w:rPr>
                <w:rFonts w:ascii="Arial" w:cs="Arial" w:eastAsia="Arial" w:hAnsi="Arial"/>
                <w:sz w:val="18"/>
                <w:szCs w:val="18"/>
                <w:color w:val="auto"/>
              </w:rPr>
              <w:t>Swingline Loans</w:t>
            </w:r>
          </w:p>
        </w:tc>
        <w:tc>
          <w:tcPr>
            <w:tcW w:w="2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2.05.</w:t>
            </w:r>
          </w:p>
        </w:tc>
        <w:tc>
          <w:tcPr>
            <w:tcW w:w="7480" w:type="dxa"/>
            <w:vAlign w:val="bottom"/>
          </w:tcPr>
          <w:p>
            <w:pPr>
              <w:ind w:left="160"/>
              <w:spacing w:after="0"/>
              <w:rPr>
                <w:sz w:val="20"/>
                <w:szCs w:val="20"/>
                <w:color w:val="auto"/>
              </w:rPr>
            </w:pPr>
            <w:r>
              <w:rPr>
                <w:rFonts w:ascii="Arial" w:cs="Arial" w:eastAsia="Arial" w:hAnsi="Arial"/>
                <w:sz w:val="18"/>
                <w:szCs w:val="18"/>
                <w:color w:val="auto"/>
              </w:rPr>
              <w:t>Letters of Credit</w:t>
            </w:r>
          </w:p>
        </w:tc>
        <w:tc>
          <w:tcPr>
            <w:tcW w:w="2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2.06.</w:t>
            </w:r>
          </w:p>
        </w:tc>
        <w:tc>
          <w:tcPr>
            <w:tcW w:w="7480" w:type="dxa"/>
            <w:vAlign w:val="bottom"/>
          </w:tcPr>
          <w:p>
            <w:pPr>
              <w:ind w:left="160"/>
              <w:spacing w:after="0"/>
              <w:rPr>
                <w:sz w:val="20"/>
                <w:szCs w:val="20"/>
                <w:color w:val="auto"/>
              </w:rPr>
            </w:pPr>
            <w:r>
              <w:rPr>
                <w:rFonts w:ascii="Arial" w:cs="Arial" w:eastAsia="Arial" w:hAnsi="Arial"/>
                <w:sz w:val="18"/>
                <w:szCs w:val="18"/>
                <w:color w:val="auto"/>
              </w:rPr>
              <w:t>Funding of Borrowings</w:t>
            </w:r>
          </w:p>
        </w:tc>
        <w:tc>
          <w:tcPr>
            <w:tcW w:w="2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2.07.</w:t>
            </w:r>
          </w:p>
        </w:tc>
        <w:tc>
          <w:tcPr>
            <w:tcW w:w="7480" w:type="dxa"/>
            <w:vAlign w:val="bottom"/>
          </w:tcPr>
          <w:p>
            <w:pPr>
              <w:ind w:left="160"/>
              <w:spacing w:after="0"/>
              <w:rPr>
                <w:sz w:val="20"/>
                <w:szCs w:val="20"/>
                <w:color w:val="auto"/>
              </w:rPr>
            </w:pPr>
            <w:r>
              <w:rPr>
                <w:rFonts w:ascii="Arial" w:cs="Arial" w:eastAsia="Arial" w:hAnsi="Arial"/>
                <w:sz w:val="18"/>
                <w:szCs w:val="18"/>
                <w:color w:val="auto"/>
              </w:rPr>
              <w:t>Interest Elections</w:t>
            </w:r>
          </w:p>
        </w:tc>
        <w:tc>
          <w:tcPr>
            <w:tcW w:w="2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2.08.</w:t>
            </w:r>
          </w:p>
        </w:tc>
        <w:tc>
          <w:tcPr>
            <w:tcW w:w="7480" w:type="dxa"/>
            <w:vAlign w:val="bottom"/>
          </w:tcPr>
          <w:p>
            <w:pPr>
              <w:ind w:left="160"/>
              <w:spacing w:after="0"/>
              <w:rPr>
                <w:sz w:val="20"/>
                <w:szCs w:val="20"/>
                <w:color w:val="auto"/>
              </w:rPr>
            </w:pPr>
            <w:r>
              <w:rPr>
                <w:rFonts w:ascii="Arial" w:cs="Arial" w:eastAsia="Arial" w:hAnsi="Arial"/>
                <w:sz w:val="18"/>
                <w:szCs w:val="18"/>
                <w:color w:val="auto"/>
              </w:rPr>
              <w:t>Termination, Reduction or Increase of the Commitments</w:t>
            </w:r>
          </w:p>
        </w:tc>
        <w:tc>
          <w:tcPr>
            <w:tcW w:w="2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2.09.</w:t>
            </w:r>
          </w:p>
        </w:tc>
        <w:tc>
          <w:tcPr>
            <w:tcW w:w="7480" w:type="dxa"/>
            <w:vAlign w:val="bottom"/>
          </w:tcPr>
          <w:p>
            <w:pPr>
              <w:ind w:left="160"/>
              <w:spacing w:after="0"/>
              <w:rPr>
                <w:sz w:val="20"/>
                <w:szCs w:val="20"/>
                <w:color w:val="auto"/>
              </w:rPr>
            </w:pPr>
            <w:r>
              <w:rPr>
                <w:rFonts w:ascii="Arial" w:cs="Arial" w:eastAsia="Arial" w:hAnsi="Arial"/>
                <w:sz w:val="18"/>
                <w:szCs w:val="18"/>
                <w:color w:val="auto"/>
              </w:rPr>
              <w:t>Repayment of Loans; Evidence of Debt</w:t>
            </w:r>
          </w:p>
        </w:tc>
        <w:tc>
          <w:tcPr>
            <w:tcW w:w="2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2.10.</w:t>
            </w:r>
          </w:p>
        </w:tc>
        <w:tc>
          <w:tcPr>
            <w:tcW w:w="7480" w:type="dxa"/>
            <w:vAlign w:val="bottom"/>
          </w:tcPr>
          <w:p>
            <w:pPr>
              <w:ind w:left="160"/>
              <w:spacing w:after="0"/>
              <w:rPr>
                <w:sz w:val="20"/>
                <w:szCs w:val="20"/>
                <w:color w:val="auto"/>
              </w:rPr>
            </w:pPr>
            <w:r>
              <w:rPr>
                <w:rFonts w:ascii="Arial" w:cs="Arial" w:eastAsia="Arial" w:hAnsi="Arial"/>
                <w:sz w:val="18"/>
                <w:szCs w:val="18"/>
                <w:color w:val="auto"/>
              </w:rPr>
              <w:t>Prepayment of Loans</w:t>
            </w:r>
          </w:p>
        </w:tc>
        <w:tc>
          <w:tcPr>
            <w:tcW w:w="2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00" w:type="dxa"/>
            <w:vAlign w:val="bottom"/>
          </w:tcPr>
          <w:p>
            <w:pPr>
              <w:jc w:val="center"/>
              <w:ind w:left="190"/>
              <w:spacing w:after="0"/>
              <w:rPr>
                <w:sz w:val="20"/>
                <w:szCs w:val="20"/>
                <w:color w:val="auto"/>
              </w:rPr>
            </w:pPr>
            <w:r>
              <w:rPr>
                <w:rFonts w:ascii="Arial" w:cs="Arial" w:eastAsia="Arial" w:hAnsi="Arial"/>
                <w:sz w:val="18"/>
                <w:szCs w:val="18"/>
                <w:color w:val="auto"/>
                <w:w w:val="92"/>
              </w:rPr>
              <w:t>SECTION 2.11.</w:t>
            </w:r>
          </w:p>
        </w:tc>
        <w:tc>
          <w:tcPr>
            <w:tcW w:w="7480" w:type="dxa"/>
            <w:vAlign w:val="bottom"/>
          </w:tcPr>
          <w:p>
            <w:pPr>
              <w:ind w:left="160"/>
              <w:spacing w:after="0"/>
              <w:rPr>
                <w:sz w:val="20"/>
                <w:szCs w:val="20"/>
                <w:color w:val="auto"/>
              </w:rPr>
            </w:pPr>
            <w:r>
              <w:rPr>
                <w:rFonts w:ascii="Arial" w:cs="Arial" w:eastAsia="Arial" w:hAnsi="Arial"/>
                <w:sz w:val="18"/>
                <w:szCs w:val="18"/>
                <w:color w:val="auto"/>
              </w:rPr>
              <w:t>Fees</w:t>
            </w:r>
          </w:p>
        </w:tc>
        <w:tc>
          <w:tcPr>
            <w:tcW w:w="2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2.12.</w:t>
            </w:r>
          </w:p>
        </w:tc>
        <w:tc>
          <w:tcPr>
            <w:tcW w:w="74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2.13.</w:t>
            </w:r>
          </w:p>
        </w:tc>
        <w:tc>
          <w:tcPr>
            <w:tcW w:w="7480" w:type="dxa"/>
            <w:vAlign w:val="bottom"/>
          </w:tcPr>
          <w:p>
            <w:pPr>
              <w:ind w:left="160"/>
              <w:spacing w:after="0"/>
              <w:rPr>
                <w:sz w:val="20"/>
                <w:szCs w:val="20"/>
                <w:color w:val="auto"/>
              </w:rPr>
            </w:pPr>
            <w:r>
              <w:rPr>
                <w:rFonts w:ascii="Arial" w:cs="Arial" w:eastAsia="Arial" w:hAnsi="Arial"/>
                <w:sz w:val="18"/>
                <w:szCs w:val="18"/>
                <w:color w:val="auto"/>
              </w:rPr>
              <w:t>Alternate Rate of Interest</w:t>
            </w:r>
          </w:p>
        </w:tc>
        <w:tc>
          <w:tcPr>
            <w:tcW w:w="2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2.14.</w:t>
            </w:r>
          </w:p>
        </w:tc>
        <w:tc>
          <w:tcPr>
            <w:tcW w:w="7480" w:type="dxa"/>
            <w:vAlign w:val="bottom"/>
          </w:tcPr>
          <w:p>
            <w:pPr>
              <w:ind w:left="160"/>
              <w:spacing w:after="0"/>
              <w:rPr>
                <w:sz w:val="20"/>
                <w:szCs w:val="20"/>
                <w:color w:val="auto"/>
              </w:rPr>
            </w:pPr>
            <w:r>
              <w:rPr>
                <w:rFonts w:ascii="Arial" w:cs="Arial" w:eastAsia="Arial" w:hAnsi="Arial"/>
                <w:sz w:val="18"/>
                <w:szCs w:val="18"/>
                <w:color w:val="auto"/>
              </w:rPr>
              <w:t>Increased Costs</w:t>
            </w:r>
          </w:p>
        </w:tc>
        <w:tc>
          <w:tcPr>
            <w:tcW w:w="2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2.15.</w:t>
            </w:r>
          </w:p>
        </w:tc>
        <w:tc>
          <w:tcPr>
            <w:tcW w:w="7480" w:type="dxa"/>
            <w:vAlign w:val="bottom"/>
          </w:tcPr>
          <w:p>
            <w:pPr>
              <w:ind w:left="160"/>
              <w:spacing w:after="0"/>
              <w:rPr>
                <w:sz w:val="20"/>
                <w:szCs w:val="20"/>
                <w:color w:val="auto"/>
              </w:rPr>
            </w:pPr>
            <w:r>
              <w:rPr>
                <w:rFonts w:ascii="Arial" w:cs="Arial" w:eastAsia="Arial" w:hAnsi="Arial"/>
                <w:sz w:val="18"/>
                <w:szCs w:val="18"/>
                <w:color w:val="auto"/>
              </w:rPr>
              <w:t>Break Funding Payments</w:t>
            </w:r>
          </w:p>
        </w:tc>
        <w:tc>
          <w:tcPr>
            <w:tcW w:w="2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2.16.</w:t>
            </w:r>
          </w:p>
        </w:tc>
        <w:tc>
          <w:tcPr>
            <w:tcW w:w="7480" w:type="dxa"/>
            <w:vAlign w:val="bottom"/>
          </w:tcPr>
          <w:p>
            <w:pPr>
              <w:ind w:left="160"/>
              <w:spacing w:after="0"/>
              <w:rPr>
                <w:sz w:val="20"/>
                <w:szCs w:val="20"/>
                <w:color w:val="auto"/>
              </w:rPr>
            </w:pPr>
            <w:r>
              <w:rPr>
                <w:rFonts w:ascii="Arial" w:cs="Arial" w:eastAsia="Arial" w:hAnsi="Arial"/>
                <w:sz w:val="18"/>
                <w:szCs w:val="18"/>
                <w:color w:val="auto"/>
              </w:rPr>
              <w:t>Taxes</w:t>
            </w:r>
          </w:p>
        </w:tc>
        <w:tc>
          <w:tcPr>
            <w:tcW w:w="2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2.17.</w:t>
            </w:r>
          </w:p>
        </w:tc>
        <w:tc>
          <w:tcPr>
            <w:tcW w:w="7480" w:type="dxa"/>
            <w:vAlign w:val="bottom"/>
          </w:tcPr>
          <w:p>
            <w:pPr>
              <w:ind w:left="160"/>
              <w:spacing w:after="0"/>
              <w:rPr>
                <w:sz w:val="20"/>
                <w:szCs w:val="20"/>
                <w:color w:val="auto"/>
              </w:rPr>
            </w:pPr>
            <w:r>
              <w:rPr>
                <w:rFonts w:ascii="Arial" w:cs="Arial" w:eastAsia="Arial" w:hAnsi="Arial"/>
                <w:sz w:val="18"/>
                <w:szCs w:val="18"/>
                <w:color w:val="auto"/>
              </w:rPr>
              <w:t>Payments Generally; Pro Rata Treatment: Sharing of Set-offs</w:t>
            </w:r>
          </w:p>
        </w:tc>
        <w:tc>
          <w:tcPr>
            <w:tcW w:w="2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2.18.</w:t>
            </w:r>
          </w:p>
        </w:tc>
        <w:tc>
          <w:tcPr>
            <w:tcW w:w="7480" w:type="dxa"/>
            <w:vAlign w:val="bottom"/>
          </w:tcPr>
          <w:p>
            <w:pPr>
              <w:ind w:left="160"/>
              <w:spacing w:after="0"/>
              <w:rPr>
                <w:sz w:val="20"/>
                <w:szCs w:val="20"/>
                <w:color w:val="auto"/>
              </w:rPr>
            </w:pPr>
            <w:r>
              <w:rPr>
                <w:rFonts w:ascii="Arial" w:cs="Arial" w:eastAsia="Arial" w:hAnsi="Arial"/>
                <w:sz w:val="18"/>
                <w:szCs w:val="18"/>
                <w:color w:val="auto"/>
              </w:rPr>
              <w:t>Mitigation Obligations; Replacement of Lenders</w:t>
            </w:r>
          </w:p>
        </w:tc>
        <w:tc>
          <w:tcPr>
            <w:tcW w:w="2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2.19.</w:t>
            </w:r>
          </w:p>
        </w:tc>
        <w:tc>
          <w:tcPr>
            <w:tcW w:w="7480" w:type="dxa"/>
            <w:vAlign w:val="bottom"/>
          </w:tcPr>
          <w:p>
            <w:pPr>
              <w:ind w:left="160"/>
              <w:spacing w:after="0"/>
              <w:rPr>
                <w:sz w:val="20"/>
                <w:szCs w:val="20"/>
                <w:color w:val="auto"/>
              </w:rPr>
            </w:pPr>
            <w:r>
              <w:rPr>
                <w:rFonts w:ascii="Arial" w:cs="Arial" w:eastAsia="Arial" w:hAnsi="Arial"/>
                <w:sz w:val="18"/>
                <w:szCs w:val="18"/>
                <w:color w:val="auto"/>
              </w:rPr>
              <w:t>Defaulting Lenders</w:t>
            </w:r>
          </w:p>
        </w:tc>
        <w:tc>
          <w:tcPr>
            <w:tcW w:w="2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2.20.</w:t>
            </w:r>
          </w:p>
        </w:tc>
        <w:tc>
          <w:tcPr>
            <w:tcW w:w="7480" w:type="dxa"/>
            <w:vAlign w:val="bottom"/>
          </w:tcPr>
          <w:p>
            <w:pPr>
              <w:ind w:left="160"/>
              <w:spacing w:after="0"/>
              <w:rPr>
                <w:sz w:val="20"/>
                <w:szCs w:val="20"/>
                <w:color w:val="auto"/>
              </w:rPr>
            </w:pPr>
            <w:r>
              <w:rPr>
                <w:rFonts w:ascii="Arial" w:cs="Arial" w:eastAsia="Arial" w:hAnsi="Arial"/>
                <w:sz w:val="18"/>
                <w:szCs w:val="18"/>
                <w:color w:val="auto"/>
              </w:rPr>
              <w:t>Reallocation Following the Non-Extended Commitment Termination Date</w:t>
            </w:r>
          </w:p>
        </w:tc>
        <w:tc>
          <w:tcPr>
            <w:tcW w:w="2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2.21.</w:t>
            </w:r>
          </w:p>
        </w:tc>
        <w:tc>
          <w:tcPr>
            <w:tcW w:w="7480" w:type="dxa"/>
            <w:vAlign w:val="bottom"/>
          </w:tcPr>
          <w:p>
            <w:pPr>
              <w:ind w:left="160"/>
              <w:spacing w:after="0"/>
              <w:rPr>
                <w:sz w:val="20"/>
                <w:szCs w:val="20"/>
                <w:color w:val="auto"/>
              </w:rPr>
            </w:pPr>
            <w:r>
              <w:rPr>
                <w:rFonts w:ascii="Arial" w:cs="Arial" w:eastAsia="Arial" w:hAnsi="Arial"/>
                <w:sz w:val="18"/>
                <w:szCs w:val="18"/>
                <w:color w:val="auto"/>
              </w:rPr>
              <w:t>Assignment and Reallocation of Existing Commitments and Existing Loans</w:t>
            </w:r>
          </w:p>
        </w:tc>
        <w:tc>
          <w:tcPr>
            <w:tcW w:w="2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38"/>
        </w:trPr>
        <w:tc>
          <w:tcPr>
            <w:tcW w:w="92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2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3"/>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3.01.</w:t>
            </w:r>
          </w:p>
        </w:tc>
        <w:tc>
          <w:tcPr>
            <w:tcW w:w="7480" w:type="dxa"/>
            <w:vAlign w:val="bottom"/>
          </w:tcPr>
          <w:p>
            <w:pPr>
              <w:ind w:left="160"/>
              <w:spacing w:after="0"/>
              <w:rPr>
                <w:sz w:val="20"/>
                <w:szCs w:val="20"/>
                <w:color w:val="auto"/>
              </w:rPr>
            </w:pPr>
            <w:r>
              <w:rPr>
                <w:rFonts w:ascii="Arial" w:cs="Arial" w:eastAsia="Arial" w:hAnsi="Arial"/>
                <w:sz w:val="18"/>
                <w:szCs w:val="18"/>
                <w:color w:val="auto"/>
              </w:rPr>
              <w:t>Organization; Powers</w:t>
            </w:r>
          </w:p>
        </w:tc>
        <w:tc>
          <w:tcPr>
            <w:tcW w:w="2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3.02.</w:t>
            </w:r>
          </w:p>
        </w:tc>
        <w:tc>
          <w:tcPr>
            <w:tcW w:w="7480" w:type="dxa"/>
            <w:vAlign w:val="bottom"/>
          </w:tcPr>
          <w:p>
            <w:pPr>
              <w:ind w:left="160"/>
              <w:spacing w:after="0"/>
              <w:rPr>
                <w:sz w:val="20"/>
                <w:szCs w:val="20"/>
                <w:color w:val="auto"/>
              </w:rPr>
            </w:pPr>
            <w:r>
              <w:rPr>
                <w:rFonts w:ascii="Arial" w:cs="Arial" w:eastAsia="Arial" w:hAnsi="Arial"/>
                <w:sz w:val="18"/>
                <w:szCs w:val="18"/>
                <w:color w:val="auto"/>
              </w:rPr>
              <w:t>Authorization; Enforceability</w:t>
            </w:r>
          </w:p>
        </w:tc>
        <w:tc>
          <w:tcPr>
            <w:tcW w:w="2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3.03.</w:t>
            </w:r>
          </w:p>
        </w:tc>
        <w:tc>
          <w:tcPr>
            <w:tcW w:w="7480" w:type="dxa"/>
            <w:vAlign w:val="bottom"/>
          </w:tcPr>
          <w:p>
            <w:pPr>
              <w:ind w:left="160"/>
              <w:spacing w:after="0"/>
              <w:rPr>
                <w:sz w:val="20"/>
                <w:szCs w:val="20"/>
                <w:color w:val="auto"/>
              </w:rPr>
            </w:pPr>
            <w:r>
              <w:rPr>
                <w:rFonts w:ascii="Arial" w:cs="Arial" w:eastAsia="Arial" w:hAnsi="Arial"/>
                <w:sz w:val="18"/>
                <w:szCs w:val="18"/>
                <w:color w:val="auto"/>
              </w:rPr>
              <w:t>Governmental Approvals; No Conflicts</w:t>
            </w:r>
          </w:p>
        </w:tc>
        <w:tc>
          <w:tcPr>
            <w:tcW w:w="2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3.04.</w:t>
            </w:r>
          </w:p>
        </w:tc>
        <w:tc>
          <w:tcPr>
            <w:tcW w:w="7480" w:type="dxa"/>
            <w:vAlign w:val="bottom"/>
          </w:tcPr>
          <w:p>
            <w:pPr>
              <w:ind w:left="160"/>
              <w:spacing w:after="0"/>
              <w:rPr>
                <w:sz w:val="20"/>
                <w:szCs w:val="20"/>
                <w:color w:val="auto"/>
              </w:rPr>
            </w:pPr>
            <w:r>
              <w:rPr>
                <w:rFonts w:ascii="Arial" w:cs="Arial" w:eastAsia="Arial" w:hAnsi="Arial"/>
                <w:sz w:val="18"/>
                <w:szCs w:val="18"/>
                <w:color w:val="auto"/>
              </w:rPr>
              <w:t>Financial Condition; No Material Adverse Change</w:t>
            </w:r>
          </w:p>
        </w:tc>
        <w:tc>
          <w:tcPr>
            <w:tcW w:w="2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3.05.</w:t>
            </w:r>
          </w:p>
        </w:tc>
        <w:tc>
          <w:tcPr>
            <w:tcW w:w="748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2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3.06.</w:t>
            </w:r>
          </w:p>
        </w:tc>
        <w:tc>
          <w:tcPr>
            <w:tcW w:w="7480" w:type="dxa"/>
            <w:vAlign w:val="bottom"/>
          </w:tcPr>
          <w:p>
            <w:pPr>
              <w:ind w:left="160"/>
              <w:spacing w:after="0"/>
              <w:rPr>
                <w:sz w:val="20"/>
                <w:szCs w:val="20"/>
                <w:color w:val="auto"/>
              </w:rPr>
            </w:pPr>
            <w:r>
              <w:rPr>
                <w:rFonts w:ascii="Arial" w:cs="Arial" w:eastAsia="Arial" w:hAnsi="Arial"/>
                <w:sz w:val="18"/>
                <w:szCs w:val="18"/>
                <w:color w:val="auto"/>
              </w:rPr>
              <w:t>Compliance with Laws and Agreements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3.07.</w:t>
            </w:r>
          </w:p>
        </w:tc>
        <w:tc>
          <w:tcPr>
            <w:tcW w:w="7480" w:type="dxa"/>
            <w:vAlign w:val="bottom"/>
          </w:tcPr>
          <w:p>
            <w:pPr>
              <w:ind w:left="160"/>
              <w:spacing w:after="0"/>
              <w:rPr>
                <w:sz w:val="20"/>
                <w:szCs w:val="20"/>
                <w:color w:val="auto"/>
              </w:rPr>
            </w:pPr>
            <w:r>
              <w:rPr>
                <w:rFonts w:ascii="Arial" w:cs="Arial" w:eastAsia="Arial" w:hAnsi="Arial"/>
                <w:sz w:val="18"/>
                <w:szCs w:val="18"/>
                <w:color w:val="auto"/>
              </w:rPr>
              <w:t>Taxes</w:t>
            </w:r>
          </w:p>
        </w:tc>
        <w:tc>
          <w:tcPr>
            <w:tcW w:w="2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3.08.</w:t>
            </w:r>
          </w:p>
        </w:tc>
        <w:tc>
          <w:tcPr>
            <w:tcW w:w="7480" w:type="dxa"/>
            <w:vAlign w:val="bottom"/>
          </w:tcPr>
          <w:p>
            <w:pPr>
              <w:ind w:left="160"/>
              <w:spacing w:after="0"/>
              <w:rPr>
                <w:sz w:val="20"/>
                <w:szCs w:val="20"/>
                <w:color w:val="auto"/>
              </w:rPr>
            </w:pPr>
            <w:r>
              <w:rPr>
                <w:rFonts w:ascii="Arial" w:cs="Arial" w:eastAsia="Arial" w:hAnsi="Arial"/>
                <w:sz w:val="18"/>
                <w:szCs w:val="18"/>
                <w:color w:val="auto"/>
              </w:rPr>
              <w:t>ERISA</w:t>
            </w:r>
          </w:p>
        </w:tc>
        <w:tc>
          <w:tcPr>
            <w:tcW w:w="2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3.09.</w:t>
            </w:r>
          </w:p>
        </w:tc>
        <w:tc>
          <w:tcPr>
            <w:tcW w:w="7480" w:type="dxa"/>
            <w:vAlign w:val="bottom"/>
          </w:tcPr>
          <w:p>
            <w:pPr>
              <w:ind w:left="160"/>
              <w:spacing w:after="0"/>
              <w:rPr>
                <w:sz w:val="20"/>
                <w:szCs w:val="20"/>
                <w:color w:val="auto"/>
              </w:rPr>
            </w:pPr>
            <w:r>
              <w:rPr>
                <w:rFonts w:ascii="Arial" w:cs="Arial" w:eastAsia="Arial" w:hAnsi="Arial"/>
                <w:sz w:val="18"/>
                <w:szCs w:val="18"/>
                <w:color w:val="auto"/>
              </w:rPr>
              <w:t>Disclosure</w:t>
            </w:r>
          </w:p>
        </w:tc>
        <w:tc>
          <w:tcPr>
            <w:tcW w:w="2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3.10.</w:t>
            </w:r>
          </w:p>
        </w:tc>
        <w:tc>
          <w:tcPr>
            <w:tcW w:w="7480" w:type="dxa"/>
            <w:vAlign w:val="bottom"/>
          </w:tcPr>
          <w:p>
            <w:pPr>
              <w:ind w:left="160"/>
              <w:spacing w:after="0"/>
              <w:rPr>
                <w:sz w:val="20"/>
                <w:szCs w:val="20"/>
                <w:color w:val="auto"/>
              </w:rPr>
            </w:pPr>
            <w:r>
              <w:rPr>
                <w:rFonts w:ascii="Arial" w:cs="Arial" w:eastAsia="Arial" w:hAnsi="Arial"/>
                <w:sz w:val="18"/>
                <w:szCs w:val="18"/>
                <w:color w:val="auto"/>
              </w:rPr>
              <w:t>Investment Company Act; Margin Regulations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800" w:type="dxa"/>
            <w:vAlign w:val="bottom"/>
          </w:tcPr>
          <w:p>
            <w:pPr>
              <w:jc w:val="center"/>
              <w:ind w:left="190"/>
              <w:spacing w:after="0"/>
              <w:rPr>
                <w:sz w:val="20"/>
                <w:szCs w:val="20"/>
                <w:color w:val="auto"/>
              </w:rPr>
            </w:pPr>
            <w:r>
              <w:rPr>
                <w:rFonts w:ascii="Arial" w:cs="Arial" w:eastAsia="Arial" w:hAnsi="Arial"/>
                <w:sz w:val="18"/>
                <w:szCs w:val="18"/>
                <w:color w:val="auto"/>
                <w:w w:val="92"/>
              </w:rPr>
              <w:t>SECTION 3.11.</w:t>
            </w:r>
          </w:p>
        </w:tc>
        <w:tc>
          <w:tcPr>
            <w:tcW w:w="7480" w:type="dxa"/>
            <w:vAlign w:val="bottom"/>
          </w:tcPr>
          <w:p>
            <w:pPr>
              <w:ind w:left="160"/>
              <w:spacing w:after="0"/>
              <w:rPr>
                <w:sz w:val="20"/>
                <w:szCs w:val="20"/>
                <w:color w:val="auto"/>
              </w:rPr>
            </w:pPr>
            <w:r>
              <w:rPr>
                <w:rFonts w:ascii="Arial" w:cs="Arial" w:eastAsia="Arial" w:hAnsi="Arial"/>
                <w:sz w:val="18"/>
                <w:szCs w:val="18"/>
                <w:color w:val="auto"/>
              </w:rPr>
              <w:t>Material Agreements and Liens</w:t>
            </w:r>
          </w:p>
        </w:tc>
        <w:tc>
          <w:tcPr>
            <w:tcW w:w="21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3.12.</w:t>
            </w:r>
          </w:p>
        </w:tc>
        <w:tc>
          <w:tcPr>
            <w:tcW w:w="7480" w:type="dxa"/>
            <w:vAlign w:val="bottom"/>
          </w:tcPr>
          <w:p>
            <w:pPr>
              <w:ind w:left="160"/>
              <w:spacing w:after="0"/>
              <w:rPr>
                <w:sz w:val="20"/>
                <w:szCs w:val="20"/>
                <w:color w:val="auto"/>
              </w:rPr>
            </w:pPr>
            <w:r>
              <w:rPr>
                <w:rFonts w:ascii="Arial" w:cs="Arial" w:eastAsia="Arial" w:hAnsi="Arial"/>
                <w:sz w:val="18"/>
                <w:szCs w:val="18"/>
                <w:color w:val="auto"/>
              </w:rPr>
              <w:t>Subsidiaries and Investments</w:t>
            </w:r>
          </w:p>
        </w:tc>
        <w:tc>
          <w:tcPr>
            <w:tcW w:w="21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3.13.</w:t>
            </w:r>
          </w:p>
        </w:tc>
        <w:tc>
          <w:tcPr>
            <w:tcW w:w="7480" w:type="dxa"/>
            <w:vAlign w:val="bottom"/>
          </w:tcPr>
          <w:p>
            <w:pPr>
              <w:ind w:left="160"/>
              <w:spacing w:after="0"/>
              <w:rPr>
                <w:sz w:val="20"/>
                <w:szCs w:val="20"/>
                <w:color w:val="auto"/>
              </w:rPr>
            </w:pPr>
            <w:r>
              <w:rPr>
                <w:rFonts w:ascii="Arial" w:cs="Arial" w:eastAsia="Arial" w:hAnsi="Arial"/>
                <w:sz w:val="18"/>
                <w:szCs w:val="18"/>
                <w:color w:val="auto"/>
              </w:rPr>
              <w:t>Properties</w:t>
            </w:r>
          </w:p>
        </w:tc>
        <w:tc>
          <w:tcPr>
            <w:tcW w:w="21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3.14.</w:t>
            </w:r>
          </w:p>
        </w:tc>
        <w:tc>
          <w:tcPr>
            <w:tcW w:w="7480" w:type="dxa"/>
            <w:vAlign w:val="bottom"/>
          </w:tcPr>
          <w:p>
            <w:pPr>
              <w:ind w:left="160"/>
              <w:spacing w:after="0"/>
              <w:rPr>
                <w:sz w:val="20"/>
                <w:szCs w:val="20"/>
                <w:color w:val="auto"/>
              </w:rPr>
            </w:pPr>
            <w:r>
              <w:rPr>
                <w:rFonts w:ascii="Arial" w:cs="Arial" w:eastAsia="Arial" w:hAnsi="Arial"/>
                <w:sz w:val="18"/>
                <w:szCs w:val="18"/>
                <w:color w:val="auto"/>
              </w:rPr>
              <w:t>Affiliate Agreements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3.15.</w:t>
            </w:r>
          </w:p>
        </w:tc>
        <w:tc>
          <w:tcPr>
            <w:tcW w:w="7480" w:type="dxa"/>
            <w:vAlign w:val="bottom"/>
          </w:tcPr>
          <w:p>
            <w:pPr>
              <w:ind w:left="160"/>
              <w:spacing w:after="0"/>
              <w:rPr>
                <w:sz w:val="20"/>
                <w:szCs w:val="20"/>
                <w:color w:val="auto"/>
              </w:rPr>
            </w:pPr>
            <w:r>
              <w:rPr>
                <w:rFonts w:ascii="Arial" w:cs="Arial" w:eastAsia="Arial" w:hAnsi="Arial"/>
                <w:sz w:val="18"/>
                <w:szCs w:val="18"/>
                <w:color w:val="auto"/>
              </w:rPr>
              <w:t>Sanctions</w:t>
            </w:r>
          </w:p>
        </w:tc>
        <w:tc>
          <w:tcPr>
            <w:tcW w:w="2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3.16.</w:t>
            </w:r>
          </w:p>
        </w:tc>
        <w:tc>
          <w:tcPr>
            <w:tcW w:w="7480" w:type="dxa"/>
            <w:vAlign w:val="bottom"/>
          </w:tcPr>
          <w:p>
            <w:pPr>
              <w:ind w:left="160"/>
              <w:spacing w:after="0"/>
              <w:rPr>
                <w:sz w:val="20"/>
                <w:szCs w:val="20"/>
                <w:color w:val="auto"/>
              </w:rPr>
            </w:pPr>
            <w:r>
              <w:rPr>
                <w:rFonts w:ascii="Arial" w:cs="Arial" w:eastAsia="Arial" w:hAnsi="Arial"/>
                <w:sz w:val="18"/>
                <w:szCs w:val="18"/>
                <w:color w:val="auto"/>
              </w:rPr>
              <w:t>Patriot Act</w:t>
            </w:r>
          </w:p>
        </w:tc>
        <w:tc>
          <w:tcPr>
            <w:tcW w:w="2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3.17.</w:t>
            </w:r>
          </w:p>
        </w:tc>
        <w:tc>
          <w:tcPr>
            <w:tcW w:w="7480" w:type="dxa"/>
            <w:vAlign w:val="bottom"/>
          </w:tcPr>
          <w:p>
            <w:pPr>
              <w:ind w:left="160"/>
              <w:spacing w:after="0"/>
              <w:rPr>
                <w:sz w:val="20"/>
                <w:szCs w:val="20"/>
                <w:color w:val="auto"/>
              </w:rPr>
            </w:pPr>
            <w:r>
              <w:rPr>
                <w:rFonts w:ascii="Arial" w:cs="Arial" w:eastAsia="Arial" w:hAnsi="Arial"/>
                <w:sz w:val="18"/>
                <w:szCs w:val="18"/>
                <w:color w:val="auto"/>
              </w:rPr>
              <w:t>Collateral Documents</w:t>
            </w:r>
          </w:p>
        </w:tc>
        <w:tc>
          <w:tcPr>
            <w:tcW w:w="2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3.18.</w:t>
            </w:r>
          </w:p>
        </w:tc>
        <w:tc>
          <w:tcPr>
            <w:tcW w:w="7480" w:type="dxa"/>
            <w:vAlign w:val="bottom"/>
          </w:tcPr>
          <w:p>
            <w:pPr>
              <w:ind w:left="160"/>
              <w:spacing w:after="0"/>
              <w:rPr>
                <w:sz w:val="20"/>
                <w:szCs w:val="20"/>
                <w:color w:val="auto"/>
              </w:rPr>
            </w:pPr>
            <w:r>
              <w:rPr>
                <w:rFonts w:ascii="Arial" w:cs="Arial" w:eastAsia="Arial" w:hAnsi="Arial"/>
                <w:sz w:val="18"/>
                <w:szCs w:val="18"/>
                <w:color w:val="auto"/>
              </w:rPr>
              <w:t>EEA Financial Institutions</w:t>
            </w:r>
          </w:p>
        </w:tc>
        <w:tc>
          <w:tcPr>
            <w:tcW w:w="2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38"/>
        </w:trPr>
        <w:tc>
          <w:tcPr>
            <w:tcW w:w="9280" w:type="dxa"/>
            <w:vAlign w:val="bottom"/>
            <w:gridSpan w:val="2"/>
          </w:tcPr>
          <w:p>
            <w:pPr>
              <w:jc w:val="center"/>
              <w:ind w:right="7050"/>
              <w:spacing w:after="0"/>
              <w:rPr>
                <w:sz w:val="20"/>
                <w:szCs w:val="20"/>
                <w:color w:val="auto"/>
              </w:rPr>
            </w:pPr>
            <w:r>
              <w:rPr>
                <w:rFonts w:ascii="Arial" w:cs="Arial" w:eastAsia="Arial" w:hAnsi="Arial"/>
                <w:sz w:val="18"/>
                <w:szCs w:val="18"/>
                <w:color w:val="auto"/>
                <w:w w:val="99"/>
              </w:rPr>
              <w:t>ARTICLE IV CONDITIONS</w:t>
            </w:r>
          </w:p>
        </w:tc>
        <w:tc>
          <w:tcPr>
            <w:tcW w:w="2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3"/>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4.01.</w:t>
            </w:r>
          </w:p>
        </w:tc>
        <w:tc>
          <w:tcPr>
            <w:tcW w:w="7480" w:type="dxa"/>
            <w:vAlign w:val="bottom"/>
          </w:tcPr>
          <w:p>
            <w:pPr>
              <w:ind w:left="160"/>
              <w:spacing w:after="0"/>
              <w:rPr>
                <w:sz w:val="20"/>
                <w:szCs w:val="20"/>
                <w:color w:val="auto"/>
              </w:rPr>
            </w:pPr>
            <w:r>
              <w:rPr>
                <w:rFonts w:ascii="Arial" w:cs="Arial" w:eastAsia="Arial" w:hAnsi="Arial"/>
                <w:sz w:val="18"/>
                <w:szCs w:val="18"/>
                <w:color w:val="auto"/>
              </w:rPr>
              <w:t>Effective Date</w:t>
            </w:r>
          </w:p>
        </w:tc>
        <w:tc>
          <w:tcPr>
            <w:tcW w:w="2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94"/>
              </w:rPr>
              <w:t>SECTION 4.02.</w:t>
            </w:r>
          </w:p>
        </w:tc>
        <w:tc>
          <w:tcPr>
            <w:tcW w:w="7480" w:type="dxa"/>
            <w:vAlign w:val="bottom"/>
          </w:tcPr>
          <w:p>
            <w:pPr>
              <w:ind w:left="160"/>
              <w:spacing w:after="0"/>
              <w:rPr>
                <w:sz w:val="20"/>
                <w:szCs w:val="20"/>
                <w:color w:val="auto"/>
              </w:rPr>
            </w:pPr>
            <w:r>
              <w:rPr>
                <w:rFonts w:ascii="Arial" w:cs="Arial" w:eastAsia="Arial" w:hAnsi="Arial"/>
                <w:sz w:val="18"/>
                <w:szCs w:val="18"/>
                <w:color w:val="auto"/>
              </w:rPr>
              <w:t>Each Credit Event</w:t>
            </w:r>
          </w:p>
        </w:tc>
        <w:tc>
          <w:tcPr>
            <w:tcW w:w="21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p>
        </w:tc>
        <w:tc>
          <w:tcPr>
            <w:tcW w:w="7220" w:type="dxa"/>
            <w:vAlign w:val="bottom"/>
          </w:tcPr>
          <w:p>
            <w:pPr>
              <w:ind w:left="3440"/>
              <w:spacing w:after="0"/>
              <w:rPr>
                <w:sz w:val="20"/>
                <w:szCs w:val="20"/>
                <w:color w:val="auto"/>
              </w:rPr>
            </w:pPr>
            <w:r>
              <w:rPr>
                <w:rFonts w:ascii="Arial" w:cs="Arial" w:eastAsia="Arial" w:hAnsi="Arial"/>
                <w:sz w:val="18"/>
                <w:szCs w:val="18"/>
                <w:color w:val="auto"/>
              </w:rPr>
              <w:t>(continued)</w:t>
            </w:r>
          </w:p>
        </w:tc>
        <w:tc>
          <w:tcPr>
            <w:tcW w:w="2400" w:type="dxa"/>
            <w:vAlign w:val="bottom"/>
          </w:tcPr>
          <w:p>
            <w:pPr>
              <w:spacing w:after="0"/>
              <w:rPr>
                <w:sz w:val="20"/>
                <w:szCs w:val="20"/>
                <w:color w:val="auto"/>
              </w:rPr>
            </w:pPr>
          </w:p>
        </w:tc>
      </w:tr>
      <w:tr>
        <w:trPr>
          <w:trHeight w:val="392"/>
        </w:trPr>
        <w:tc>
          <w:tcPr>
            <w:tcW w:w="18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23"/>
        </w:trPr>
        <w:tc>
          <w:tcPr>
            <w:tcW w:w="902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3"/>
        </w:trPr>
        <w:tc>
          <w:tcPr>
            <w:tcW w:w="1800" w:type="dxa"/>
            <w:vAlign w:val="bottom"/>
          </w:tcPr>
          <w:p>
            <w:pPr>
              <w:ind w:left="460"/>
              <w:spacing w:after="0"/>
              <w:rPr>
                <w:sz w:val="20"/>
                <w:szCs w:val="20"/>
                <w:color w:val="auto"/>
              </w:rPr>
            </w:pPr>
            <w:r>
              <w:rPr>
                <w:rFonts w:ascii="Arial" w:cs="Arial" w:eastAsia="Arial" w:hAnsi="Arial"/>
                <w:sz w:val="18"/>
                <w:szCs w:val="18"/>
                <w:color w:val="auto"/>
              </w:rPr>
              <w:t>SECTION 5.01.</w:t>
            </w:r>
          </w:p>
        </w:tc>
        <w:tc>
          <w:tcPr>
            <w:tcW w:w="7220" w:type="dxa"/>
            <w:vAlign w:val="bottom"/>
          </w:tcPr>
          <w:p>
            <w:pPr>
              <w:ind w:left="160"/>
              <w:spacing w:after="0"/>
              <w:rPr>
                <w:sz w:val="20"/>
                <w:szCs w:val="20"/>
                <w:color w:val="auto"/>
              </w:rPr>
            </w:pPr>
            <w:r>
              <w:rPr>
                <w:rFonts w:ascii="Arial" w:cs="Arial" w:eastAsia="Arial" w:hAnsi="Arial"/>
                <w:sz w:val="18"/>
                <w:szCs w:val="18"/>
                <w:color w:val="auto"/>
              </w:rPr>
              <w:t>Financial Statements and Other Information</w:t>
            </w:r>
          </w:p>
        </w:tc>
        <w:tc>
          <w:tcPr>
            <w:tcW w:w="2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5.02.</w:t>
            </w:r>
          </w:p>
        </w:tc>
        <w:tc>
          <w:tcPr>
            <w:tcW w:w="7220" w:type="dxa"/>
            <w:vAlign w:val="bottom"/>
          </w:tcPr>
          <w:p>
            <w:pPr>
              <w:ind w:left="160"/>
              <w:spacing w:after="0"/>
              <w:rPr>
                <w:sz w:val="20"/>
                <w:szCs w:val="20"/>
                <w:color w:val="auto"/>
              </w:rPr>
            </w:pPr>
            <w:r>
              <w:rPr>
                <w:rFonts w:ascii="Arial" w:cs="Arial" w:eastAsia="Arial" w:hAnsi="Arial"/>
                <w:sz w:val="18"/>
                <w:szCs w:val="18"/>
                <w:color w:val="auto"/>
              </w:rPr>
              <w:t>Notices of Material Events</w:t>
            </w:r>
          </w:p>
        </w:tc>
        <w:tc>
          <w:tcPr>
            <w:tcW w:w="2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5.03.</w:t>
            </w:r>
          </w:p>
        </w:tc>
        <w:tc>
          <w:tcPr>
            <w:tcW w:w="7220" w:type="dxa"/>
            <w:vAlign w:val="bottom"/>
          </w:tcPr>
          <w:p>
            <w:pPr>
              <w:ind w:left="160"/>
              <w:spacing w:after="0"/>
              <w:rPr>
                <w:sz w:val="20"/>
                <w:szCs w:val="20"/>
                <w:color w:val="auto"/>
              </w:rPr>
            </w:pPr>
            <w:r>
              <w:rPr>
                <w:rFonts w:ascii="Arial" w:cs="Arial" w:eastAsia="Arial" w:hAnsi="Arial"/>
                <w:sz w:val="18"/>
                <w:szCs w:val="18"/>
                <w:color w:val="auto"/>
              </w:rPr>
              <w:t>Existence: Conduct of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5.04.</w:t>
            </w:r>
          </w:p>
        </w:tc>
        <w:tc>
          <w:tcPr>
            <w:tcW w:w="7220" w:type="dxa"/>
            <w:vAlign w:val="bottom"/>
          </w:tcPr>
          <w:p>
            <w:pPr>
              <w:ind w:left="160"/>
              <w:spacing w:after="0"/>
              <w:rPr>
                <w:sz w:val="20"/>
                <w:szCs w:val="20"/>
                <w:color w:val="auto"/>
              </w:rPr>
            </w:pPr>
            <w:r>
              <w:rPr>
                <w:rFonts w:ascii="Arial" w:cs="Arial" w:eastAsia="Arial" w:hAnsi="Arial"/>
                <w:sz w:val="18"/>
                <w:szCs w:val="18"/>
                <w:color w:val="auto"/>
              </w:rPr>
              <w:t>Payment of Obligations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5.05.</w:t>
            </w:r>
          </w:p>
        </w:tc>
        <w:tc>
          <w:tcPr>
            <w:tcW w:w="7220" w:type="dxa"/>
            <w:vAlign w:val="bottom"/>
          </w:tcPr>
          <w:p>
            <w:pPr>
              <w:ind w:left="160"/>
              <w:spacing w:after="0"/>
              <w:rPr>
                <w:sz w:val="20"/>
                <w:szCs w:val="20"/>
                <w:color w:val="auto"/>
              </w:rPr>
            </w:pPr>
            <w:r>
              <w:rPr>
                <w:rFonts w:ascii="Arial" w:cs="Arial" w:eastAsia="Arial" w:hAnsi="Arial"/>
                <w:sz w:val="18"/>
                <w:szCs w:val="18"/>
                <w:color w:val="auto"/>
              </w:rPr>
              <w:t>Maintenance of Properties; 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5.06.</w:t>
            </w:r>
          </w:p>
        </w:tc>
        <w:tc>
          <w:tcPr>
            <w:tcW w:w="7220" w:type="dxa"/>
            <w:vAlign w:val="bottom"/>
          </w:tcPr>
          <w:p>
            <w:pPr>
              <w:ind w:left="160"/>
              <w:spacing w:after="0"/>
              <w:rPr>
                <w:sz w:val="20"/>
                <w:szCs w:val="20"/>
                <w:color w:val="auto"/>
              </w:rPr>
            </w:pPr>
            <w:r>
              <w:rPr>
                <w:rFonts w:ascii="Arial" w:cs="Arial" w:eastAsia="Arial" w:hAnsi="Arial"/>
                <w:sz w:val="18"/>
                <w:szCs w:val="18"/>
                <w:color w:val="auto"/>
              </w:rPr>
              <w:t>Books and Records; Inspection and Audit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5.07.</w:t>
            </w:r>
          </w:p>
        </w:tc>
        <w:tc>
          <w:tcPr>
            <w:tcW w:w="722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2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5.08.</w:t>
            </w:r>
          </w:p>
        </w:tc>
        <w:tc>
          <w:tcPr>
            <w:tcW w:w="7220" w:type="dxa"/>
            <w:vAlign w:val="bottom"/>
          </w:tcPr>
          <w:p>
            <w:pPr>
              <w:ind w:left="160"/>
              <w:spacing w:after="0"/>
              <w:rPr>
                <w:sz w:val="20"/>
                <w:szCs w:val="20"/>
                <w:color w:val="auto"/>
              </w:rPr>
            </w:pPr>
            <w:r>
              <w:rPr>
                <w:rFonts w:ascii="Arial" w:cs="Arial" w:eastAsia="Arial" w:hAnsi="Arial"/>
                <w:sz w:val="18"/>
                <w:szCs w:val="18"/>
                <w:color w:val="auto"/>
              </w:rPr>
              <w:t>Certain Obligations Respecting Subsidiaries; Further Assurances</w:t>
            </w:r>
          </w:p>
        </w:tc>
        <w:tc>
          <w:tcPr>
            <w:tcW w:w="2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5.09.</w:t>
            </w:r>
          </w:p>
        </w:tc>
        <w:tc>
          <w:tcPr>
            <w:tcW w:w="722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2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5.10.</w:t>
            </w:r>
          </w:p>
        </w:tc>
        <w:tc>
          <w:tcPr>
            <w:tcW w:w="7220" w:type="dxa"/>
            <w:vAlign w:val="bottom"/>
          </w:tcPr>
          <w:p>
            <w:pPr>
              <w:ind w:left="160"/>
              <w:spacing w:after="0"/>
              <w:rPr>
                <w:sz w:val="20"/>
                <w:szCs w:val="20"/>
                <w:color w:val="auto"/>
              </w:rPr>
            </w:pPr>
            <w:r>
              <w:rPr>
                <w:rFonts w:ascii="Arial" w:cs="Arial" w:eastAsia="Arial" w:hAnsi="Arial"/>
                <w:sz w:val="18"/>
                <w:szCs w:val="18"/>
                <w:color w:val="auto"/>
              </w:rPr>
              <w:t>Status of RIC and BDC</w:t>
            </w:r>
          </w:p>
        </w:tc>
        <w:tc>
          <w:tcPr>
            <w:tcW w:w="2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5.11.</w:t>
            </w:r>
          </w:p>
        </w:tc>
        <w:tc>
          <w:tcPr>
            <w:tcW w:w="7220" w:type="dxa"/>
            <w:vAlign w:val="bottom"/>
          </w:tcPr>
          <w:p>
            <w:pPr>
              <w:ind w:left="160"/>
              <w:spacing w:after="0"/>
              <w:rPr>
                <w:sz w:val="20"/>
                <w:szCs w:val="20"/>
                <w:color w:val="auto"/>
              </w:rPr>
            </w:pPr>
            <w:r>
              <w:rPr>
                <w:rFonts w:ascii="Arial" w:cs="Arial" w:eastAsia="Arial" w:hAnsi="Arial"/>
                <w:sz w:val="18"/>
                <w:szCs w:val="18"/>
                <w:color w:val="auto"/>
              </w:rPr>
              <w:t>Investment Policies</w:t>
            </w:r>
          </w:p>
        </w:tc>
        <w:tc>
          <w:tcPr>
            <w:tcW w:w="2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5.12.</w:t>
            </w:r>
          </w:p>
        </w:tc>
        <w:tc>
          <w:tcPr>
            <w:tcW w:w="7220" w:type="dxa"/>
            <w:vAlign w:val="bottom"/>
          </w:tcPr>
          <w:p>
            <w:pPr>
              <w:ind w:left="160"/>
              <w:spacing w:after="0"/>
              <w:rPr>
                <w:sz w:val="20"/>
                <w:szCs w:val="20"/>
                <w:color w:val="auto"/>
              </w:rPr>
            </w:pPr>
            <w:r>
              <w:rPr>
                <w:rFonts w:ascii="Arial" w:cs="Arial" w:eastAsia="Arial" w:hAnsi="Arial"/>
                <w:sz w:val="18"/>
                <w:szCs w:val="18"/>
                <w:color w:val="auto"/>
              </w:rPr>
              <w:t>Portfolio Valuation and Diversification Etc</w:t>
            </w:r>
          </w:p>
        </w:tc>
        <w:tc>
          <w:tcPr>
            <w:tcW w:w="2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800" w:type="dxa"/>
            <w:vAlign w:val="bottom"/>
          </w:tcPr>
          <w:p>
            <w:pPr>
              <w:ind w:left="460"/>
              <w:spacing w:after="0"/>
              <w:rPr>
                <w:sz w:val="20"/>
                <w:szCs w:val="20"/>
                <w:color w:val="auto"/>
              </w:rPr>
            </w:pPr>
            <w:r>
              <w:rPr>
                <w:rFonts w:ascii="Arial" w:cs="Arial" w:eastAsia="Arial" w:hAnsi="Arial"/>
                <w:sz w:val="18"/>
                <w:szCs w:val="18"/>
                <w:color w:val="auto"/>
              </w:rPr>
              <w:t>SECTION 5.13.</w:t>
            </w:r>
          </w:p>
        </w:tc>
        <w:tc>
          <w:tcPr>
            <w:tcW w:w="7220" w:type="dxa"/>
            <w:vAlign w:val="bottom"/>
          </w:tcPr>
          <w:p>
            <w:pPr>
              <w:ind w:left="160"/>
              <w:spacing w:after="0"/>
              <w:rPr>
                <w:sz w:val="20"/>
                <w:szCs w:val="20"/>
                <w:color w:val="auto"/>
              </w:rPr>
            </w:pPr>
            <w:r>
              <w:rPr>
                <w:rFonts w:ascii="Arial" w:cs="Arial" w:eastAsia="Arial" w:hAnsi="Arial"/>
                <w:sz w:val="18"/>
                <w:szCs w:val="18"/>
                <w:color w:val="auto"/>
              </w:rPr>
              <w:t>Calculation of Borrowing Base</w:t>
            </w:r>
          </w:p>
        </w:tc>
        <w:tc>
          <w:tcPr>
            <w:tcW w:w="24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38"/>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3"/>
        </w:trPr>
        <w:tc>
          <w:tcPr>
            <w:tcW w:w="1800" w:type="dxa"/>
            <w:vAlign w:val="bottom"/>
          </w:tcPr>
          <w:p>
            <w:pPr>
              <w:ind w:left="460"/>
              <w:spacing w:after="0"/>
              <w:rPr>
                <w:sz w:val="20"/>
                <w:szCs w:val="20"/>
                <w:color w:val="auto"/>
              </w:rPr>
            </w:pPr>
            <w:r>
              <w:rPr>
                <w:rFonts w:ascii="Arial" w:cs="Arial" w:eastAsia="Arial" w:hAnsi="Arial"/>
                <w:sz w:val="18"/>
                <w:szCs w:val="18"/>
                <w:color w:val="auto"/>
              </w:rPr>
              <w:t>SECTION 6.01.</w:t>
            </w:r>
          </w:p>
        </w:tc>
        <w:tc>
          <w:tcPr>
            <w:tcW w:w="7220" w:type="dxa"/>
            <w:vAlign w:val="bottom"/>
          </w:tcPr>
          <w:p>
            <w:pPr>
              <w:ind w:left="160"/>
              <w:spacing w:after="0"/>
              <w:rPr>
                <w:sz w:val="20"/>
                <w:szCs w:val="20"/>
                <w:color w:val="auto"/>
              </w:rPr>
            </w:pPr>
            <w:r>
              <w:rPr>
                <w:rFonts w:ascii="Arial" w:cs="Arial" w:eastAsia="Arial" w:hAnsi="Arial"/>
                <w:sz w:val="18"/>
                <w:szCs w:val="18"/>
                <w:color w:val="auto"/>
              </w:rPr>
              <w:t>Indebtedness</w:t>
            </w:r>
          </w:p>
        </w:tc>
        <w:tc>
          <w:tcPr>
            <w:tcW w:w="24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6.02.</w:t>
            </w:r>
          </w:p>
        </w:tc>
        <w:tc>
          <w:tcPr>
            <w:tcW w:w="7220" w:type="dxa"/>
            <w:vAlign w:val="bottom"/>
          </w:tcPr>
          <w:p>
            <w:pPr>
              <w:ind w:left="160"/>
              <w:spacing w:after="0"/>
              <w:rPr>
                <w:sz w:val="20"/>
                <w:szCs w:val="20"/>
                <w:color w:val="auto"/>
              </w:rPr>
            </w:pPr>
            <w:r>
              <w:rPr>
                <w:rFonts w:ascii="Arial" w:cs="Arial" w:eastAsia="Arial" w:hAnsi="Arial"/>
                <w:sz w:val="18"/>
                <w:szCs w:val="18"/>
                <w:color w:val="auto"/>
              </w:rPr>
              <w:t>Liens</w:t>
            </w:r>
          </w:p>
        </w:tc>
        <w:tc>
          <w:tcPr>
            <w:tcW w:w="24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6.03.</w:t>
            </w:r>
          </w:p>
        </w:tc>
        <w:tc>
          <w:tcPr>
            <w:tcW w:w="7220" w:type="dxa"/>
            <w:vAlign w:val="bottom"/>
          </w:tcPr>
          <w:p>
            <w:pPr>
              <w:ind w:left="160"/>
              <w:spacing w:after="0"/>
              <w:rPr>
                <w:sz w:val="20"/>
                <w:szCs w:val="20"/>
                <w:color w:val="auto"/>
              </w:rPr>
            </w:pPr>
            <w:r>
              <w:rPr>
                <w:rFonts w:ascii="Arial" w:cs="Arial" w:eastAsia="Arial" w:hAnsi="Arial"/>
                <w:sz w:val="18"/>
                <w:szCs w:val="18"/>
                <w:color w:val="auto"/>
              </w:rPr>
              <w:t>Fundamental Changes</w:t>
            </w:r>
          </w:p>
        </w:tc>
        <w:tc>
          <w:tcPr>
            <w:tcW w:w="24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6.04.</w:t>
            </w:r>
          </w:p>
        </w:tc>
        <w:tc>
          <w:tcPr>
            <w:tcW w:w="722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24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6.05.</w:t>
            </w:r>
          </w:p>
        </w:tc>
        <w:tc>
          <w:tcPr>
            <w:tcW w:w="7220" w:type="dxa"/>
            <w:vAlign w:val="bottom"/>
          </w:tcPr>
          <w:p>
            <w:pPr>
              <w:ind w:left="160"/>
              <w:spacing w:after="0"/>
              <w:rPr>
                <w:sz w:val="20"/>
                <w:szCs w:val="20"/>
                <w:color w:val="auto"/>
              </w:rPr>
            </w:pPr>
            <w:r>
              <w:rPr>
                <w:rFonts w:ascii="Arial" w:cs="Arial" w:eastAsia="Arial" w:hAnsi="Arial"/>
                <w:sz w:val="18"/>
                <w:szCs w:val="18"/>
                <w:color w:val="auto"/>
              </w:rPr>
              <w:t>Restricted Payments</w:t>
            </w:r>
          </w:p>
        </w:tc>
        <w:tc>
          <w:tcPr>
            <w:tcW w:w="24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6.06.</w:t>
            </w:r>
          </w:p>
        </w:tc>
        <w:tc>
          <w:tcPr>
            <w:tcW w:w="7220" w:type="dxa"/>
            <w:vAlign w:val="bottom"/>
          </w:tcPr>
          <w:p>
            <w:pPr>
              <w:ind w:left="160"/>
              <w:spacing w:after="0"/>
              <w:rPr>
                <w:sz w:val="20"/>
                <w:szCs w:val="20"/>
                <w:color w:val="auto"/>
              </w:rPr>
            </w:pPr>
            <w:r>
              <w:rPr>
                <w:rFonts w:ascii="Arial" w:cs="Arial" w:eastAsia="Arial" w:hAnsi="Arial"/>
                <w:sz w:val="18"/>
                <w:szCs w:val="18"/>
                <w:color w:val="auto"/>
              </w:rPr>
              <w:t>Certain Restrictions on Subsidiaries</w:t>
            </w:r>
          </w:p>
        </w:tc>
        <w:tc>
          <w:tcPr>
            <w:tcW w:w="24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6.07.</w:t>
            </w:r>
          </w:p>
        </w:tc>
        <w:tc>
          <w:tcPr>
            <w:tcW w:w="7220" w:type="dxa"/>
            <w:vAlign w:val="bottom"/>
          </w:tcPr>
          <w:p>
            <w:pPr>
              <w:ind w:left="160"/>
              <w:spacing w:after="0"/>
              <w:rPr>
                <w:sz w:val="20"/>
                <w:szCs w:val="20"/>
                <w:color w:val="auto"/>
              </w:rPr>
            </w:pPr>
            <w:r>
              <w:rPr>
                <w:rFonts w:ascii="Arial" w:cs="Arial" w:eastAsia="Arial" w:hAnsi="Arial"/>
                <w:sz w:val="18"/>
                <w:szCs w:val="18"/>
                <w:color w:val="auto"/>
              </w:rPr>
              <w:t>Certain Financial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6.08.</w:t>
            </w:r>
          </w:p>
        </w:tc>
        <w:tc>
          <w:tcPr>
            <w:tcW w:w="7220" w:type="dxa"/>
            <w:vAlign w:val="bottom"/>
          </w:tcPr>
          <w:p>
            <w:pPr>
              <w:ind w:left="160"/>
              <w:spacing w:after="0"/>
              <w:rPr>
                <w:sz w:val="20"/>
                <w:szCs w:val="20"/>
                <w:color w:val="auto"/>
              </w:rPr>
            </w:pPr>
            <w:r>
              <w:rPr>
                <w:rFonts w:ascii="Arial" w:cs="Arial" w:eastAsia="Arial" w:hAnsi="Arial"/>
                <w:sz w:val="18"/>
                <w:szCs w:val="18"/>
                <w:color w:val="auto"/>
              </w:rPr>
              <w:t>Transactions with Affiliates</w:t>
            </w:r>
          </w:p>
        </w:tc>
        <w:tc>
          <w:tcPr>
            <w:tcW w:w="2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6.09.</w:t>
            </w:r>
          </w:p>
        </w:tc>
        <w:tc>
          <w:tcPr>
            <w:tcW w:w="7220" w:type="dxa"/>
            <w:vAlign w:val="bottom"/>
          </w:tcPr>
          <w:p>
            <w:pPr>
              <w:ind w:left="160"/>
              <w:spacing w:after="0"/>
              <w:rPr>
                <w:sz w:val="20"/>
                <w:szCs w:val="20"/>
                <w:color w:val="auto"/>
              </w:rPr>
            </w:pPr>
            <w:r>
              <w:rPr>
                <w:rFonts w:ascii="Arial" w:cs="Arial" w:eastAsia="Arial" w:hAnsi="Arial"/>
                <w:sz w:val="18"/>
                <w:szCs w:val="18"/>
                <w:color w:val="auto"/>
              </w:rPr>
              <w:t>Lines of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6.10.</w:t>
            </w:r>
          </w:p>
        </w:tc>
        <w:tc>
          <w:tcPr>
            <w:tcW w:w="7220" w:type="dxa"/>
            <w:vAlign w:val="bottom"/>
          </w:tcPr>
          <w:p>
            <w:pPr>
              <w:ind w:left="160"/>
              <w:spacing w:after="0"/>
              <w:rPr>
                <w:sz w:val="20"/>
                <w:szCs w:val="20"/>
                <w:color w:val="auto"/>
              </w:rPr>
            </w:pPr>
            <w:r>
              <w:rPr>
                <w:rFonts w:ascii="Arial" w:cs="Arial" w:eastAsia="Arial" w:hAnsi="Arial"/>
                <w:sz w:val="18"/>
                <w:szCs w:val="18"/>
                <w:color w:val="auto"/>
              </w:rPr>
              <w:t>No Further Negative Pledge</w:t>
            </w:r>
          </w:p>
        </w:tc>
        <w:tc>
          <w:tcPr>
            <w:tcW w:w="2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6.11.</w:t>
            </w:r>
          </w:p>
        </w:tc>
        <w:tc>
          <w:tcPr>
            <w:tcW w:w="7220" w:type="dxa"/>
            <w:vAlign w:val="bottom"/>
          </w:tcPr>
          <w:p>
            <w:pPr>
              <w:ind w:left="160"/>
              <w:spacing w:after="0"/>
              <w:rPr>
                <w:sz w:val="20"/>
                <w:szCs w:val="20"/>
                <w:color w:val="auto"/>
              </w:rPr>
            </w:pPr>
            <w:r>
              <w:rPr>
                <w:rFonts w:ascii="Arial" w:cs="Arial" w:eastAsia="Arial" w:hAnsi="Arial"/>
                <w:sz w:val="18"/>
                <w:szCs w:val="18"/>
                <w:color w:val="auto"/>
              </w:rPr>
              <w:t>Modifications of Longer-Term Indebtedness 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6.12.</w:t>
            </w:r>
          </w:p>
        </w:tc>
        <w:tc>
          <w:tcPr>
            <w:tcW w:w="7220" w:type="dxa"/>
            <w:vAlign w:val="bottom"/>
          </w:tcPr>
          <w:p>
            <w:pPr>
              <w:ind w:left="160"/>
              <w:spacing w:after="0"/>
              <w:rPr>
                <w:sz w:val="20"/>
                <w:szCs w:val="20"/>
                <w:color w:val="auto"/>
              </w:rPr>
            </w:pPr>
            <w:r>
              <w:rPr>
                <w:rFonts w:ascii="Arial" w:cs="Arial" w:eastAsia="Arial" w:hAnsi="Arial"/>
                <w:sz w:val="18"/>
                <w:szCs w:val="18"/>
                <w:color w:val="auto"/>
              </w:rPr>
              <w:t>Payments of Longer-Term Indebtedness and 2019 Convertible Notes</w:t>
            </w:r>
          </w:p>
        </w:tc>
        <w:tc>
          <w:tcPr>
            <w:tcW w:w="2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6.13.</w:t>
            </w:r>
          </w:p>
        </w:tc>
        <w:tc>
          <w:tcPr>
            <w:tcW w:w="7220" w:type="dxa"/>
            <w:vAlign w:val="bottom"/>
          </w:tcPr>
          <w:p>
            <w:pPr>
              <w:ind w:left="160"/>
              <w:spacing w:after="0"/>
              <w:rPr>
                <w:sz w:val="20"/>
                <w:szCs w:val="20"/>
                <w:color w:val="auto"/>
              </w:rPr>
            </w:pPr>
            <w:r>
              <w:rPr>
                <w:rFonts w:ascii="Arial" w:cs="Arial" w:eastAsia="Arial" w:hAnsi="Arial"/>
                <w:sz w:val="18"/>
                <w:szCs w:val="18"/>
                <w:color w:val="auto"/>
              </w:rPr>
              <w:t>Accounting Changes</w:t>
            </w:r>
          </w:p>
        </w:tc>
        <w:tc>
          <w:tcPr>
            <w:tcW w:w="2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800" w:type="dxa"/>
            <w:vAlign w:val="bottom"/>
          </w:tcPr>
          <w:p>
            <w:pPr>
              <w:ind w:left="460"/>
              <w:spacing w:after="0"/>
              <w:rPr>
                <w:sz w:val="20"/>
                <w:szCs w:val="20"/>
                <w:color w:val="auto"/>
              </w:rPr>
            </w:pPr>
            <w:r>
              <w:rPr>
                <w:rFonts w:ascii="Arial" w:cs="Arial" w:eastAsia="Arial" w:hAnsi="Arial"/>
                <w:sz w:val="18"/>
                <w:szCs w:val="18"/>
                <w:color w:val="auto"/>
              </w:rPr>
              <w:t>SECTION 6.14.</w:t>
            </w:r>
          </w:p>
        </w:tc>
        <w:tc>
          <w:tcPr>
            <w:tcW w:w="7220" w:type="dxa"/>
            <w:vAlign w:val="bottom"/>
          </w:tcPr>
          <w:p>
            <w:pPr>
              <w:ind w:left="160"/>
              <w:spacing w:after="0"/>
              <w:rPr>
                <w:sz w:val="20"/>
                <w:szCs w:val="20"/>
                <w:color w:val="auto"/>
              </w:rPr>
            </w:pPr>
            <w:r>
              <w:rPr>
                <w:rFonts w:ascii="Arial" w:cs="Arial" w:eastAsia="Arial" w:hAnsi="Arial"/>
                <w:sz w:val="18"/>
                <w:szCs w:val="18"/>
                <w:color w:val="auto"/>
              </w:rPr>
              <w:t>SBIC Guarantee</w:t>
            </w:r>
          </w:p>
        </w:tc>
        <w:tc>
          <w:tcPr>
            <w:tcW w:w="2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3"/>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VIII THE ADMINISTRATIVE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3"/>
        </w:trPr>
        <w:tc>
          <w:tcPr>
            <w:tcW w:w="1800" w:type="dxa"/>
            <w:vAlign w:val="bottom"/>
          </w:tcPr>
          <w:p>
            <w:pPr>
              <w:ind w:left="460"/>
              <w:spacing w:after="0"/>
              <w:rPr>
                <w:sz w:val="20"/>
                <w:szCs w:val="20"/>
                <w:color w:val="auto"/>
              </w:rPr>
            </w:pPr>
            <w:r>
              <w:rPr>
                <w:rFonts w:ascii="Arial" w:cs="Arial" w:eastAsia="Arial" w:hAnsi="Arial"/>
                <w:sz w:val="18"/>
                <w:szCs w:val="18"/>
                <w:color w:val="auto"/>
              </w:rPr>
              <w:t>SECTION 8.01.</w:t>
            </w:r>
          </w:p>
        </w:tc>
        <w:tc>
          <w:tcPr>
            <w:tcW w:w="7220" w:type="dxa"/>
            <w:vAlign w:val="bottom"/>
          </w:tcPr>
          <w:p>
            <w:pPr>
              <w:ind w:left="160"/>
              <w:spacing w:after="0"/>
              <w:rPr>
                <w:sz w:val="20"/>
                <w:szCs w:val="20"/>
                <w:color w:val="auto"/>
              </w:rPr>
            </w:pPr>
            <w:r>
              <w:rPr>
                <w:rFonts w:ascii="Arial" w:cs="Arial" w:eastAsia="Arial" w:hAnsi="Arial"/>
                <w:sz w:val="18"/>
                <w:szCs w:val="18"/>
                <w:color w:val="auto"/>
              </w:rPr>
              <w:t>Appointment of the Administrative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8.02.</w:t>
            </w:r>
          </w:p>
        </w:tc>
        <w:tc>
          <w:tcPr>
            <w:tcW w:w="7220" w:type="dxa"/>
            <w:vAlign w:val="bottom"/>
          </w:tcPr>
          <w:p>
            <w:pPr>
              <w:ind w:left="160"/>
              <w:spacing w:after="0"/>
              <w:rPr>
                <w:sz w:val="20"/>
                <w:szCs w:val="20"/>
                <w:color w:val="auto"/>
              </w:rPr>
            </w:pPr>
            <w:r>
              <w:rPr>
                <w:rFonts w:ascii="Arial" w:cs="Arial" w:eastAsia="Arial" w:hAnsi="Arial"/>
                <w:sz w:val="18"/>
                <w:szCs w:val="18"/>
                <w:color w:val="auto"/>
              </w:rPr>
              <w:t>Capacity as Lender</w:t>
            </w:r>
          </w:p>
        </w:tc>
        <w:tc>
          <w:tcPr>
            <w:tcW w:w="24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8.03.</w:t>
            </w:r>
          </w:p>
        </w:tc>
        <w:tc>
          <w:tcPr>
            <w:tcW w:w="7220" w:type="dxa"/>
            <w:vAlign w:val="bottom"/>
          </w:tcPr>
          <w:p>
            <w:pPr>
              <w:ind w:left="160"/>
              <w:spacing w:after="0"/>
              <w:rPr>
                <w:sz w:val="20"/>
                <w:szCs w:val="20"/>
                <w:color w:val="auto"/>
              </w:rPr>
            </w:pPr>
            <w:r>
              <w:rPr>
                <w:rFonts w:ascii="Arial" w:cs="Arial" w:eastAsia="Arial" w:hAnsi="Arial"/>
                <w:sz w:val="18"/>
                <w:szCs w:val="18"/>
                <w:color w:val="auto"/>
              </w:rPr>
              <w:t>Limitation of Duties; Exculpation</w:t>
            </w:r>
          </w:p>
        </w:tc>
        <w:tc>
          <w:tcPr>
            <w:tcW w:w="24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8.04.</w:t>
            </w:r>
          </w:p>
        </w:tc>
        <w:tc>
          <w:tcPr>
            <w:tcW w:w="7220" w:type="dxa"/>
            <w:vAlign w:val="bottom"/>
          </w:tcPr>
          <w:p>
            <w:pPr>
              <w:ind w:left="160"/>
              <w:spacing w:after="0"/>
              <w:rPr>
                <w:sz w:val="20"/>
                <w:szCs w:val="20"/>
                <w:color w:val="auto"/>
              </w:rPr>
            </w:pPr>
            <w:r>
              <w:rPr>
                <w:rFonts w:ascii="Arial" w:cs="Arial" w:eastAsia="Arial" w:hAnsi="Arial"/>
                <w:sz w:val="18"/>
                <w:szCs w:val="18"/>
                <w:color w:val="auto"/>
              </w:rPr>
              <w:t>Reliance</w:t>
            </w:r>
          </w:p>
        </w:tc>
        <w:tc>
          <w:tcPr>
            <w:tcW w:w="24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8.05.</w:t>
            </w:r>
          </w:p>
        </w:tc>
        <w:tc>
          <w:tcPr>
            <w:tcW w:w="7220" w:type="dxa"/>
            <w:vAlign w:val="bottom"/>
          </w:tcPr>
          <w:p>
            <w:pPr>
              <w:ind w:left="160"/>
              <w:spacing w:after="0"/>
              <w:rPr>
                <w:sz w:val="20"/>
                <w:szCs w:val="20"/>
                <w:color w:val="auto"/>
              </w:rPr>
            </w:pPr>
            <w:r>
              <w:rPr>
                <w:rFonts w:ascii="Arial" w:cs="Arial" w:eastAsia="Arial" w:hAnsi="Arial"/>
                <w:sz w:val="18"/>
                <w:szCs w:val="18"/>
                <w:color w:val="auto"/>
              </w:rPr>
              <w:t>Sub-Agents</w:t>
            </w:r>
          </w:p>
        </w:tc>
        <w:tc>
          <w:tcPr>
            <w:tcW w:w="2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8.06.</w:t>
            </w:r>
          </w:p>
        </w:tc>
        <w:tc>
          <w:tcPr>
            <w:tcW w:w="7220" w:type="dxa"/>
            <w:vAlign w:val="bottom"/>
          </w:tcPr>
          <w:p>
            <w:pPr>
              <w:ind w:left="160"/>
              <w:spacing w:after="0"/>
              <w:rPr>
                <w:sz w:val="20"/>
                <w:szCs w:val="20"/>
                <w:color w:val="auto"/>
              </w:rPr>
            </w:pPr>
            <w:r>
              <w:rPr>
                <w:rFonts w:ascii="Arial" w:cs="Arial" w:eastAsia="Arial" w:hAnsi="Arial"/>
                <w:sz w:val="18"/>
                <w:szCs w:val="18"/>
                <w:color w:val="auto"/>
              </w:rPr>
              <w:t>Resignation; Successor Administrative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8.07.</w:t>
            </w:r>
          </w:p>
        </w:tc>
        <w:tc>
          <w:tcPr>
            <w:tcW w:w="7220" w:type="dxa"/>
            <w:vAlign w:val="bottom"/>
          </w:tcPr>
          <w:p>
            <w:pPr>
              <w:ind w:left="160"/>
              <w:spacing w:after="0"/>
              <w:rPr>
                <w:sz w:val="20"/>
                <w:szCs w:val="20"/>
                <w:color w:val="auto"/>
              </w:rPr>
            </w:pPr>
            <w:r>
              <w:rPr>
                <w:rFonts w:ascii="Arial" w:cs="Arial" w:eastAsia="Arial" w:hAnsi="Arial"/>
                <w:sz w:val="18"/>
                <w:szCs w:val="18"/>
                <w:color w:val="auto"/>
              </w:rPr>
              <w:t>Reliance by Lenders</w:t>
            </w:r>
          </w:p>
        </w:tc>
        <w:tc>
          <w:tcPr>
            <w:tcW w:w="2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800" w:type="dxa"/>
            <w:vAlign w:val="bottom"/>
          </w:tcPr>
          <w:p>
            <w:pPr>
              <w:ind w:left="460"/>
              <w:spacing w:after="0"/>
              <w:rPr>
                <w:sz w:val="20"/>
                <w:szCs w:val="20"/>
                <w:color w:val="auto"/>
              </w:rPr>
            </w:pPr>
            <w:r>
              <w:rPr>
                <w:rFonts w:ascii="Arial" w:cs="Arial" w:eastAsia="Arial" w:hAnsi="Arial"/>
                <w:sz w:val="18"/>
                <w:szCs w:val="18"/>
                <w:color w:val="auto"/>
              </w:rPr>
              <w:t>SECTION 8.08.</w:t>
            </w:r>
          </w:p>
        </w:tc>
        <w:tc>
          <w:tcPr>
            <w:tcW w:w="7220" w:type="dxa"/>
            <w:vAlign w:val="bottom"/>
          </w:tcPr>
          <w:p>
            <w:pPr>
              <w:ind w:left="160"/>
              <w:spacing w:after="0"/>
              <w:rPr>
                <w:sz w:val="20"/>
                <w:szCs w:val="20"/>
                <w:color w:val="auto"/>
              </w:rPr>
            </w:pPr>
            <w:r>
              <w:rPr>
                <w:rFonts w:ascii="Arial" w:cs="Arial" w:eastAsia="Arial" w:hAnsi="Arial"/>
                <w:sz w:val="18"/>
                <w:szCs w:val="18"/>
                <w:color w:val="auto"/>
              </w:rPr>
              <w:t>Modifications to Loan 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38"/>
        </w:trPr>
        <w:tc>
          <w:tcPr>
            <w:tcW w:w="902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24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3"/>
        </w:trPr>
        <w:tc>
          <w:tcPr>
            <w:tcW w:w="1800" w:type="dxa"/>
            <w:vAlign w:val="bottom"/>
          </w:tcPr>
          <w:p>
            <w:pPr>
              <w:ind w:left="460"/>
              <w:spacing w:after="0"/>
              <w:rPr>
                <w:sz w:val="20"/>
                <w:szCs w:val="20"/>
                <w:color w:val="auto"/>
              </w:rPr>
            </w:pPr>
            <w:r>
              <w:rPr>
                <w:rFonts w:ascii="Arial" w:cs="Arial" w:eastAsia="Arial" w:hAnsi="Arial"/>
                <w:sz w:val="18"/>
                <w:szCs w:val="18"/>
                <w:color w:val="auto"/>
              </w:rPr>
              <w:t>SECTION 9.01.</w:t>
            </w:r>
          </w:p>
        </w:tc>
        <w:tc>
          <w:tcPr>
            <w:tcW w:w="7220" w:type="dxa"/>
            <w:vAlign w:val="bottom"/>
          </w:tcPr>
          <w:p>
            <w:pPr>
              <w:ind w:left="160"/>
              <w:spacing w:after="0"/>
              <w:rPr>
                <w:sz w:val="20"/>
                <w:szCs w:val="20"/>
                <w:color w:val="auto"/>
              </w:rPr>
            </w:pPr>
            <w:r>
              <w:rPr>
                <w:rFonts w:ascii="Arial" w:cs="Arial" w:eastAsia="Arial" w:hAnsi="Arial"/>
                <w:sz w:val="18"/>
                <w:szCs w:val="18"/>
                <w:color w:val="auto"/>
              </w:rPr>
              <w:t>Notices; Electronic Communications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9.02.</w:t>
            </w:r>
          </w:p>
        </w:tc>
        <w:tc>
          <w:tcPr>
            <w:tcW w:w="7220" w:type="dxa"/>
            <w:vAlign w:val="bottom"/>
          </w:tcPr>
          <w:p>
            <w:pPr>
              <w:ind w:left="160"/>
              <w:spacing w:after="0"/>
              <w:rPr>
                <w:sz w:val="20"/>
                <w:szCs w:val="20"/>
                <w:color w:val="auto"/>
              </w:rPr>
            </w:pPr>
            <w:r>
              <w:rPr>
                <w:rFonts w:ascii="Arial" w:cs="Arial" w:eastAsia="Arial" w:hAnsi="Arial"/>
                <w:sz w:val="18"/>
                <w:szCs w:val="18"/>
                <w:color w:val="auto"/>
              </w:rPr>
              <w:t>Waivers; Amendments</w:t>
            </w:r>
          </w:p>
        </w:tc>
        <w:tc>
          <w:tcPr>
            <w:tcW w:w="2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9.03.</w:t>
            </w:r>
          </w:p>
        </w:tc>
        <w:tc>
          <w:tcPr>
            <w:tcW w:w="7220" w:type="dxa"/>
            <w:vAlign w:val="bottom"/>
          </w:tcPr>
          <w:p>
            <w:pPr>
              <w:ind w:left="160"/>
              <w:spacing w:after="0"/>
              <w:rPr>
                <w:sz w:val="20"/>
                <w:szCs w:val="20"/>
                <w:color w:val="auto"/>
              </w:rPr>
            </w:pPr>
            <w:r>
              <w:rPr>
                <w:rFonts w:ascii="Arial" w:cs="Arial" w:eastAsia="Arial" w:hAnsi="Arial"/>
                <w:sz w:val="18"/>
                <w:szCs w:val="18"/>
                <w:color w:val="auto"/>
              </w:rPr>
              <w:t>Expenses; Indemnity; Damage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9.04.</w:t>
            </w:r>
          </w:p>
        </w:tc>
        <w:tc>
          <w:tcPr>
            <w:tcW w:w="722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24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9.05.</w:t>
            </w:r>
          </w:p>
        </w:tc>
        <w:tc>
          <w:tcPr>
            <w:tcW w:w="7220" w:type="dxa"/>
            <w:vAlign w:val="bottom"/>
          </w:tcPr>
          <w:p>
            <w:pPr>
              <w:ind w:left="160"/>
              <w:spacing w:after="0"/>
              <w:rPr>
                <w:sz w:val="20"/>
                <w:szCs w:val="20"/>
                <w:color w:val="auto"/>
              </w:rPr>
            </w:pPr>
            <w:r>
              <w:rPr>
                <w:rFonts w:ascii="Arial" w:cs="Arial" w:eastAsia="Arial" w:hAnsi="Arial"/>
                <w:sz w:val="18"/>
                <w:szCs w:val="18"/>
                <w:color w:val="auto"/>
              </w:rPr>
              <w:t>Survival</w:t>
            </w:r>
          </w:p>
        </w:tc>
        <w:tc>
          <w:tcPr>
            <w:tcW w:w="24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9.06.</w:t>
            </w:r>
          </w:p>
        </w:tc>
        <w:tc>
          <w:tcPr>
            <w:tcW w:w="7220" w:type="dxa"/>
            <w:vAlign w:val="bottom"/>
          </w:tcPr>
          <w:p>
            <w:pPr>
              <w:ind w:left="160"/>
              <w:spacing w:after="0"/>
              <w:rPr>
                <w:sz w:val="20"/>
                <w:szCs w:val="20"/>
                <w:color w:val="auto"/>
              </w:rPr>
            </w:pPr>
            <w:r>
              <w:rPr>
                <w:rFonts w:ascii="Arial" w:cs="Arial" w:eastAsia="Arial" w:hAnsi="Arial"/>
                <w:sz w:val="18"/>
                <w:szCs w:val="18"/>
                <w:color w:val="auto"/>
              </w:rPr>
              <w:t>Counterparts; Integration; Effectiveness; Electronic Execution</w:t>
            </w:r>
          </w:p>
        </w:tc>
        <w:tc>
          <w:tcPr>
            <w:tcW w:w="24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9.07.</w:t>
            </w:r>
          </w:p>
        </w:tc>
        <w:tc>
          <w:tcPr>
            <w:tcW w:w="72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9.08.</w:t>
            </w:r>
          </w:p>
        </w:tc>
        <w:tc>
          <w:tcPr>
            <w:tcW w:w="7220" w:type="dxa"/>
            <w:vAlign w:val="bottom"/>
          </w:tcPr>
          <w:p>
            <w:pPr>
              <w:ind w:left="160"/>
              <w:spacing w:after="0"/>
              <w:rPr>
                <w:sz w:val="20"/>
                <w:szCs w:val="20"/>
                <w:color w:val="auto"/>
              </w:rPr>
            </w:pPr>
            <w:r>
              <w:rPr>
                <w:rFonts w:ascii="Arial" w:cs="Arial" w:eastAsia="Arial" w:hAnsi="Arial"/>
                <w:sz w:val="18"/>
                <w:szCs w:val="18"/>
                <w:color w:val="auto"/>
              </w:rPr>
              <w:t>Right of Setoff</w:t>
            </w:r>
          </w:p>
        </w:tc>
        <w:tc>
          <w:tcPr>
            <w:tcW w:w="24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9.09.</w:t>
            </w:r>
          </w:p>
        </w:tc>
        <w:tc>
          <w:tcPr>
            <w:tcW w:w="7220" w:type="dxa"/>
            <w:vAlign w:val="bottom"/>
          </w:tcPr>
          <w:p>
            <w:pPr>
              <w:ind w:left="160"/>
              <w:spacing w:after="0"/>
              <w:rPr>
                <w:sz w:val="20"/>
                <w:szCs w:val="20"/>
                <w:color w:val="auto"/>
              </w:rPr>
            </w:pPr>
            <w:r>
              <w:rPr>
                <w:rFonts w:ascii="Arial" w:cs="Arial" w:eastAsia="Arial" w:hAnsi="Arial"/>
                <w:sz w:val="18"/>
                <w:szCs w:val="18"/>
                <w:color w:val="auto"/>
              </w:rPr>
              <w:t>Governing Law; Jurisdiction; Etc</w:t>
            </w:r>
          </w:p>
        </w:tc>
        <w:tc>
          <w:tcPr>
            <w:tcW w:w="24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800" w:type="dxa"/>
            <w:vAlign w:val="bottom"/>
          </w:tcPr>
          <w:p>
            <w:pPr>
              <w:ind w:left="460"/>
              <w:spacing w:after="0"/>
              <w:rPr>
                <w:sz w:val="20"/>
                <w:szCs w:val="20"/>
                <w:color w:val="auto"/>
              </w:rPr>
            </w:pPr>
            <w:r>
              <w:rPr>
                <w:rFonts w:ascii="Arial" w:cs="Arial" w:eastAsia="Arial" w:hAnsi="Arial"/>
                <w:sz w:val="18"/>
                <w:szCs w:val="18"/>
                <w:color w:val="auto"/>
              </w:rPr>
              <w:t>SECTION 9.10.</w:t>
            </w:r>
          </w:p>
        </w:tc>
        <w:tc>
          <w:tcPr>
            <w:tcW w:w="7220" w:type="dxa"/>
            <w:vAlign w:val="bottom"/>
          </w:tcPr>
          <w:p>
            <w:pPr>
              <w:ind w:left="160"/>
              <w:spacing w:after="0"/>
              <w:rPr>
                <w:sz w:val="20"/>
                <w:szCs w:val="20"/>
                <w:color w:val="auto"/>
              </w:rPr>
            </w:pPr>
            <w:r>
              <w:rPr>
                <w:rFonts w:ascii="Arial" w:cs="Arial" w:eastAsia="Arial" w:hAnsi="Arial"/>
                <w:sz w:val="18"/>
                <w:szCs w:val="18"/>
                <w:color w:val="auto"/>
              </w:rPr>
              <w:t>WAIVER OF JURY TRIAL</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800" w:type="dxa"/>
            <w:vAlign w:val="bottom"/>
          </w:tcPr>
          <w:p>
            <w:pPr>
              <w:ind w:left="460"/>
              <w:spacing w:after="0"/>
              <w:rPr>
                <w:sz w:val="20"/>
                <w:szCs w:val="20"/>
                <w:color w:val="auto"/>
              </w:rPr>
            </w:pPr>
            <w:r>
              <w:rPr>
                <w:rFonts w:ascii="Arial" w:cs="Arial" w:eastAsia="Arial" w:hAnsi="Arial"/>
                <w:sz w:val="18"/>
                <w:szCs w:val="18"/>
                <w:color w:val="auto"/>
              </w:rPr>
              <w:t>SECTION 9.11.</w:t>
            </w:r>
          </w:p>
        </w:tc>
        <w:tc>
          <w:tcPr>
            <w:tcW w:w="7220" w:type="dxa"/>
            <w:vAlign w:val="bottom"/>
          </w:tcPr>
          <w:p>
            <w:pPr>
              <w:ind w:left="160"/>
              <w:spacing w:after="0"/>
              <w:rPr>
                <w:sz w:val="20"/>
                <w:szCs w:val="20"/>
                <w:color w:val="auto"/>
              </w:rPr>
            </w:pPr>
            <w:r>
              <w:rPr>
                <w:rFonts w:ascii="Arial" w:cs="Arial" w:eastAsia="Arial" w:hAnsi="Arial"/>
                <w:sz w:val="18"/>
                <w:szCs w:val="18"/>
                <w:color w:val="auto"/>
              </w:rPr>
              <w:t>Judgment Currency</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ind w:left="430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(continued)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4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2"/>
        </w:trPr>
        <w:tc>
          <w:tcPr>
            <w:tcW w:w="1340" w:type="dxa"/>
            <w:vAlign w:val="bottom"/>
          </w:tcPr>
          <w:p>
            <w:pPr>
              <w:spacing w:after="0"/>
              <w:rPr>
                <w:sz w:val="20"/>
                <w:szCs w:val="20"/>
                <w:color w:val="auto"/>
              </w:rPr>
            </w:pPr>
            <w:r>
              <w:rPr>
                <w:rFonts w:ascii="Arial" w:cs="Arial" w:eastAsia="Arial" w:hAnsi="Arial"/>
                <w:sz w:val="18"/>
                <w:szCs w:val="18"/>
                <w:color w:val="auto"/>
              </w:rPr>
              <w:t>SECTION 9.12.</w:t>
            </w:r>
          </w:p>
        </w:tc>
        <w:tc>
          <w:tcPr>
            <w:tcW w:w="7380" w:type="dxa"/>
            <w:vAlign w:val="bottom"/>
          </w:tcPr>
          <w:p>
            <w:pPr>
              <w:ind w:left="160"/>
              <w:spacing w:after="0"/>
              <w:rPr>
                <w:sz w:val="20"/>
                <w:szCs w:val="20"/>
                <w:color w:val="auto"/>
              </w:rPr>
            </w:pPr>
            <w:r>
              <w:rPr>
                <w:rFonts w:ascii="Arial" w:cs="Arial" w:eastAsia="Arial" w:hAnsi="Arial"/>
                <w:sz w:val="18"/>
                <w:szCs w:val="18"/>
                <w:color w:val="auto"/>
              </w:rPr>
              <w:t>Headings</w:t>
            </w:r>
          </w:p>
        </w:tc>
        <w:tc>
          <w:tcPr>
            <w:tcW w:w="2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9.13.</w:t>
            </w:r>
          </w:p>
        </w:tc>
        <w:tc>
          <w:tcPr>
            <w:tcW w:w="7380" w:type="dxa"/>
            <w:vAlign w:val="bottom"/>
          </w:tcPr>
          <w:p>
            <w:pPr>
              <w:ind w:left="160"/>
              <w:spacing w:after="0"/>
              <w:rPr>
                <w:sz w:val="20"/>
                <w:szCs w:val="20"/>
                <w:color w:val="auto"/>
              </w:rPr>
            </w:pPr>
            <w:r>
              <w:rPr>
                <w:rFonts w:ascii="Arial" w:cs="Arial" w:eastAsia="Arial" w:hAnsi="Arial"/>
                <w:sz w:val="18"/>
                <w:szCs w:val="18"/>
                <w:color w:val="auto"/>
              </w:rPr>
              <w:t>Treatment of Certain Information; No Fiduciary Duty; Confidentiality</w:t>
            </w:r>
          </w:p>
        </w:tc>
        <w:tc>
          <w:tcPr>
            <w:tcW w:w="2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9.14.</w:t>
            </w:r>
          </w:p>
        </w:tc>
        <w:tc>
          <w:tcPr>
            <w:tcW w:w="7380" w:type="dxa"/>
            <w:vAlign w:val="bottom"/>
          </w:tcPr>
          <w:p>
            <w:pPr>
              <w:ind w:left="160"/>
              <w:spacing w:after="0"/>
              <w:rPr>
                <w:sz w:val="20"/>
                <w:szCs w:val="20"/>
                <w:color w:val="auto"/>
              </w:rPr>
            </w:pPr>
            <w:r>
              <w:rPr>
                <w:rFonts w:ascii="Arial" w:cs="Arial" w:eastAsia="Arial" w:hAnsi="Arial"/>
                <w:sz w:val="18"/>
                <w:szCs w:val="18"/>
                <w:color w:val="auto"/>
              </w:rPr>
              <w:t>USA PATRIOT Act</w:t>
            </w:r>
          </w:p>
        </w:tc>
        <w:tc>
          <w:tcPr>
            <w:tcW w:w="22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9.15.</w:t>
            </w:r>
          </w:p>
        </w:tc>
        <w:tc>
          <w:tcPr>
            <w:tcW w:w="7380" w:type="dxa"/>
            <w:vAlign w:val="bottom"/>
          </w:tcPr>
          <w:p>
            <w:pPr>
              <w:ind w:left="160"/>
              <w:spacing w:after="0"/>
              <w:rPr>
                <w:sz w:val="20"/>
                <w:szCs w:val="20"/>
                <w:color w:val="auto"/>
              </w:rPr>
            </w:pPr>
            <w:r>
              <w:rPr>
                <w:rFonts w:ascii="Arial" w:cs="Arial" w:eastAsia="Arial" w:hAnsi="Arial"/>
                <w:sz w:val="18"/>
                <w:szCs w:val="18"/>
                <w:color w:val="auto"/>
              </w:rPr>
              <w:t>Effect of Amendment and Restatement of the Existing Credit Agreement</w:t>
            </w:r>
          </w:p>
        </w:tc>
        <w:tc>
          <w:tcPr>
            <w:tcW w:w="22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9.16.</w:t>
            </w:r>
          </w:p>
        </w:tc>
        <w:tc>
          <w:tcPr>
            <w:tcW w:w="7380" w:type="dxa"/>
            <w:vAlign w:val="bottom"/>
          </w:tcPr>
          <w:p>
            <w:pPr>
              <w:ind w:left="160"/>
              <w:spacing w:after="0"/>
              <w:rPr>
                <w:sz w:val="20"/>
                <w:szCs w:val="20"/>
                <w:color w:val="auto"/>
              </w:rPr>
            </w:pPr>
            <w:r>
              <w:rPr>
                <w:rFonts w:ascii="Arial" w:cs="Arial" w:eastAsia="Arial" w:hAnsi="Arial"/>
                <w:sz w:val="18"/>
                <w:szCs w:val="18"/>
                <w:color w:val="auto"/>
              </w:rPr>
              <w:t>Reaffirmation of Guarantee and Security Agreement</w:t>
            </w:r>
          </w:p>
        </w:tc>
        <w:tc>
          <w:tcPr>
            <w:tcW w:w="22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9.17.</w:t>
            </w:r>
          </w:p>
        </w:tc>
        <w:tc>
          <w:tcPr>
            <w:tcW w:w="7380" w:type="dxa"/>
            <w:vAlign w:val="bottom"/>
          </w:tcPr>
          <w:p>
            <w:pPr>
              <w:ind w:left="16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24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700" w:top="121" w:right="239" w:bottom="1440" w:gutter="0" w:footer="0" w:header="0"/>
        </w:sectPr>
      </w:pPr>
    </w:p>
    <w:bookmarkStart w:id="145" w:name="page146"/>
    <w:bookmarkEnd w:id="145"/>
    <w:p>
      <w:pPr>
        <w:spacing w:after="0" w:line="271" w:lineRule="auto"/>
        <w:rPr>
          <w:sz w:val="20"/>
          <w:szCs w:val="20"/>
          <w:color w:val="auto"/>
        </w:rPr>
      </w:pPr>
      <w:r>
        <w:rPr>
          <w:rFonts w:ascii="Arial" w:cs="Arial" w:eastAsia="Arial" w:hAnsi="Arial"/>
          <w:sz w:val="17"/>
          <w:szCs w:val="17"/>
          <w:color w:val="auto"/>
        </w:rPr>
        <w:t>SCHEDULE 1.01(a) SCHEDULE 1.01(b) SCHEDULE 1.01(c) SCHEDULE 2.05 SCHEDULE 3.11 SCHEDULE 3.12(a) SCHEDULE 3.12(b) SCHEDULE 6.08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Approved Dealers and Approved Pricing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Commitments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Industry Classification Group List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Issuing Bank LC Exposure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Material Agreements and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Transactions with Affiliates</w:t>
      </w:r>
    </w:p>
    <w:p>
      <w:pPr>
        <w:spacing w:after="0" w:line="210" w:lineRule="exact"/>
        <w:rPr>
          <w:sz w:val="20"/>
          <w:szCs w:val="20"/>
          <w:color w:val="auto"/>
        </w:rPr>
      </w:pPr>
    </w:p>
    <w:p>
      <w:pPr>
        <w:sectPr>
          <w:pgSz w:w="11900" w:h="16838" w:orient="portrait"/>
          <w:cols w:equalWidth="0" w:num="2">
            <w:col w:w="1520" w:space="500"/>
            <w:col w:w="8199"/>
          </w:cols>
          <w:pgMar w:left="240" w:top="557" w:right="1440" w:bottom="1440" w:gutter="0" w:footer="0" w:header="0"/>
        </w:sect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Form of Assignment and Assumption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Form of Borrowing Base Certificate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Form of Borrowing Request</w:t>
      </w:r>
    </w:p>
    <w:p>
      <w:pPr>
        <w:spacing w:after="0" w:line="200" w:lineRule="exact"/>
        <w:rPr>
          <w:sz w:val="20"/>
          <w:szCs w:val="20"/>
          <w:color w:val="auto"/>
        </w:rPr>
      </w:pPr>
    </w:p>
    <w:p>
      <w:pPr>
        <w:sectPr>
          <w:pgSz w:w="11900" w:h="16838" w:orient="portrait"/>
          <w:cols w:equalWidth="0" w:num="2">
            <w:col w:w="1300" w:space="720"/>
            <w:col w:w="8199"/>
          </w:cols>
          <w:pgMar w:left="240" w:top="5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722276124 11299570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type w:val="continuous"/>
        </w:sectPr>
      </w:pPr>
    </w:p>
    <w:bookmarkStart w:id="146" w:name="page147"/>
    <w:bookmarkEnd w:id="146"/>
    <w:p>
      <w:pPr>
        <w:jc w:val="both"/>
        <w:ind w:firstLine="1521"/>
        <w:spacing w:after="0" w:line="259" w:lineRule="auto"/>
        <w:rPr>
          <w:sz w:val="20"/>
          <w:szCs w:val="20"/>
          <w:color w:val="auto"/>
        </w:rPr>
      </w:pPr>
      <w:r>
        <w:rPr>
          <w:rFonts w:ascii="Arial" w:cs="Arial" w:eastAsia="Arial" w:hAnsi="Arial"/>
          <w:sz w:val="18"/>
          <w:szCs w:val="18"/>
          <w:color w:val="auto"/>
        </w:rPr>
        <w:t>SECOND AMENDED AND RESTATED SENIOR SECURED REVOLVING CREDIT AGREEMENT dated as of February 27, 2014, as amended as of June 3, 2014, as of June 27, 2014, as of October 17, 2014, as of October 2, 2015 and as of December 22, 2016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TPG SPECIALTY LENDING,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SUNTRUST BANK, as Administrative Agent.</w:t>
      </w:r>
    </w:p>
    <w:p>
      <w:pPr>
        <w:spacing w:after="0" w:line="187" w:lineRule="exact"/>
        <w:rPr>
          <w:sz w:val="20"/>
          <w:szCs w:val="20"/>
          <w:color w:val="auto"/>
        </w:rPr>
      </w:pPr>
    </w:p>
    <w:p>
      <w:pPr>
        <w:jc w:val="both"/>
        <w:ind w:firstLine="1521"/>
        <w:spacing w:after="0" w:line="257" w:lineRule="auto"/>
        <w:rPr>
          <w:sz w:val="20"/>
          <w:szCs w:val="20"/>
          <w:color w:val="auto"/>
        </w:rPr>
      </w:pPr>
      <w:r>
        <w:rPr>
          <w:rFonts w:ascii="Arial" w:cs="Arial" w:eastAsia="Arial" w:hAnsi="Arial"/>
          <w:sz w:val="18"/>
          <w:szCs w:val="18"/>
          <w:color w:val="auto"/>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among the Borrower, the lenders party thereto (collectively, the “</w:t>
      </w:r>
      <w:r>
        <w:rPr>
          <w:rFonts w:ascii="Arial" w:cs="Arial" w:eastAsia="Arial" w:hAnsi="Arial"/>
          <w:sz w:val="18"/>
          <w:szCs w:val="18"/>
          <w:u w:val="single" w:color="auto"/>
          <w:color w:val="auto"/>
        </w:rPr>
        <w:t>Existing Lenders</w:t>
      </w:r>
      <w:r>
        <w:rPr>
          <w:rFonts w:ascii="Arial" w:cs="Arial" w:eastAsia="Arial" w:hAnsi="Arial"/>
          <w:sz w:val="18"/>
          <w:szCs w:val="18"/>
          <w:color w:val="auto"/>
        </w:rPr>
        <w:t>”) and the Administrative Agent, the Existing Lenders agreed to make extensions of credit to the Borrower on the terms and conditions set forth therein, including making loans (the “</w:t>
      </w:r>
      <w:r>
        <w:rPr>
          <w:rFonts w:ascii="Arial" w:cs="Arial" w:eastAsia="Arial" w:hAnsi="Arial"/>
          <w:sz w:val="18"/>
          <w:szCs w:val="18"/>
          <w:u w:val="single" w:color="auto"/>
          <w:color w:val="auto"/>
        </w:rPr>
        <w:t>Existing Loans</w:t>
      </w:r>
      <w:r>
        <w:rPr>
          <w:rFonts w:ascii="Arial" w:cs="Arial" w:eastAsia="Arial" w:hAnsi="Arial"/>
          <w:sz w:val="18"/>
          <w:szCs w:val="18"/>
          <w:color w:val="auto"/>
        </w:rPr>
        <w:t>”) to the Borrower.</w:t>
      </w:r>
    </w:p>
    <w:p>
      <w:pPr>
        <w:spacing w:after="0" w:line="188" w:lineRule="exact"/>
        <w:rPr>
          <w:sz w:val="20"/>
          <w:szCs w:val="20"/>
          <w:color w:val="auto"/>
        </w:rPr>
      </w:pPr>
    </w:p>
    <w:p>
      <w:pPr>
        <w:jc w:val="both"/>
        <w:ind w:firstLine="1521"/>
        <w:spacing w:after="0" w:line="270" w:lineRule="auto"/>
        <w:rPr>
          <w:sz w:val="20"/>
          <w:szCs w:val="20"/>
          <w:color w:val="auto"/>
        </w:rPr>
      </w:pPr>
      <w:r>
        <w:rPr>
          <w:rFonts w:ascii="Arial" w:cs="Arial" w:eastAsia="Arial" w:hAnsi="Arial"/>
          <w:sz w:val="17"/>
          <w:szCs w:val="17"/>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78"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The parties hereto hereby agree to amend and restate the Existing Credit Agreement, and the Existing Credit Agreement is hereby amended and restated in its entirety as follows: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2019 Convertible Notes</w:t>
      </w:r>
      <w:r>
        <w:rPr>
          <w:rFonts w:ascii="Arial" w:cs="Arial" w:eastAsia="Arial" w:hAnsi="Arial"/>
          <w:sz w:val="16"/>
          <w:szCs w:val="16"/>
          <w:color w:val="auto"/>
        </w:rPr>
        <w:t>” means the Borrower’s $115,000,000 aggregate principal amount convertible notes due December 2019 issued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June 2014.</w:t>
      </w:r>
    </w:p>
    <w:p>
      <w:pPr>
        <w:spacing w:after="0" w:line="211"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70"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Borrowing Base</w:t>
      </w:r>
      <w:r>
        <w:rPr>
          <w:rFonts w:ascii="Arial" w:cs="Arial" w:eastAsia="Arial" w:hAnsi="Arial"/>
          <w:sz w:val="18"/>
          <w:szCs w:val="18"/>
          <w:color w:val="auto"/>
        </w:rPr>
        <w:t xml:space="preserve">” means the Borrowing Base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81"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Covered Debt Balance</w:t>
      </w:r>
      <w:r>
        <w:rPr>
          <w:rFonts w:ascii="Arial" w:cs="Arial" w:eastAsia="Arial" w:hAnsi="Arial"/>
          <w:sz w:val="18"/>
          <w:szCs w:val="18"/>
          <w:color w:val="auto"/>
        </w:rPr>
        <w:t xml:space="preserve">” means, on any date, the aggregate Covered Debt Amount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81" w:lineRule="exact"/>
        <w:rPr>
          <w:sz w:val="20"/>
          <w:szCs w:val="20"/>
          <w:color w:val="auto"/>
        </w:rPr>
      </w:pPr>
    </w:p>
    <w:p>
      <w:pPr>
        <w:jc w:val="both"/>
        <w:ind w:firstLine="152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LIBO Rate</w:t>
      </w:r>
      <w:r>
        <w:rPr>
          <w:rFonts w:ascii="Arial" w:cs="Arial" w:eastAsia="Arial" w:hAnsi="Arial"/>
          <w:sz w:val="17"/>
          <w:szCs w:val="17"/>
          <w:color w:val="auto"/>
        </w:rPr>
        <w:t xml:space="preserve">” means (a) for the Interest Period for any Eurocurrency Borrowing denominated in a LIBO Quoted Currency, an interest rate per annum (rounded upwards, if necessary, to the next 1/16 of 1%) equal to (i) the LIBO Rate for such Interest Period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(ii) the Statutory Reserve Rate for such Interest Period and (b) for the Interest Period for any Eurocurrency Borrowing denominated in a Non-LIBO Quoted Currency an interest rate per annum (rounded upwards, if necessary, to the next 1/16 of 1%) equal to the LIBO Rate for such Interest Period.</w:t>
      </w:r>
    </w:p>
    <w:p>
      <w:pPr>
        <w:spacing w:after="0" w:line="17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SunTrust, in its capacity as administrative agent for the Lenders hereunder.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66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7" w:name="page148"/>
    <w:bookmarkEnd w:id="147"/>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Appraisal Testing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5.12(b)(ii)(E)(y)</w:t>
      </w:r>
      <w:r>
        <w:rPr>
          <w:rFonts w:ascii="Arial" w:cs="Arial" w:eastAsia="Arial" w:hAnsi="Arial"/>
          <w:sz w:val="18"/>
          <w:szCs w:val="18"/>
          <w:color w:val="auto"/>
        </w:rPr>
        <w:t>.</w:t>
      </w:r>
    </w:p>
    <w:p>
      <w:pPr>
        <w:spacing w:after="0" w:line="225"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Account</w:t>
      </w:r>
      <w:r>
        <w:rPr>
          <w:rFonts w:ascii="Arial" w:cs="Arial" w:eastAsia="Arial" w:hAnsi="Arial"/>
          <w:sz w:val="18"/>
          <w:szCs w:val="18"/>
          <w:color w:val="auto"/>
        </w:rPr>
        <w:t>” means, for each Currency, an account in respect of such Currency designated by the Administrative Agent in a notice to the Borrower and the Lenders.</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87" w:lineRule="exact"/>
        <w:rPr>
          <w:sz w:val="20"/>
          <w:szCs w:val="20"/>
          <w:color w:val="auto"/>
        </w:rPr>
      </w:pPr>
    </w:p>
    <w:p>
      <w:pPr>
        <w:jc w:val="both"/>
        <w:ind w:firstLine="152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 Agreements</w:t>
      </w:r>
      <w:r>
        <w:rPr>
          <w:rFonts w:ascii="Arial" w:cs="Arial" w:eastAsia="Arial" w:hAnsi="Arial"/>
          <w:sz w:val="17"/>
          <w:szCs w:val="17"/>
          <w:color w:val="auto"/>
        </w:rPr>
        <w:t>” 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spacing w:after="0" w:line="166" w:lineRule="exact"/>
        <w:rPr>
          <w:sz w:val="20"/>
          <w:szCs w:val="20"/>
          <w:color w:val="auto"/>
        </w:rPr>
      </w:pPr>
    </w:p>
    <w:p>
      <w:pPr>
        <w:jc w:val="both"/>
        <w:ind w:firstLine="152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Agreed Foreign Currency</w:t>
      </w:r>
      <w:r>
        <w:rPr>
          <w:rFonts w:ascii="Arial" w:cs="Arial" w:eastAsia="Arial" w:hAnsi="Arial"/>
          <w:sz w:val="16"/>
          <w:szCs w:val="16"/>
          <w:color w:val="auto"/>
        </w:rPr>
        <w:t>” means, at any time, (i) any of Canadian Dollars, English Pounds Sterling, Euros, Japanese Yen, Australian Dollar, Swiss Franc, Swedish Krona and New Zealand Dollar,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6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means, for any day, a rate per annum equal to the greatest of (a) zero, (b) the Prime Rate in effect on such day,</w:t>
      </w:r>
    </w:p>
    <w:p>
      <w:pPr>
        <w:spacing w:after="0" w:line="46" w:lineRule="exact"/>
        <w:rPr>
          <w:sz w:val="20"/>
          <w:szCs w:val="20"/>
          <w:color w:val="auto"/>
        </w:rPr>
      </w:pPr>
    </w:p>
    <w:p>
      <w:pPr>
        <w:jc w:val="both"/>
        <w:ind w:firstLine="8"/>
        <w:spacing w:after="0" w:line="287" w:lineRule="auto"/>
        <w:tabs>
          <w:tab w:leader="none" w:pos="24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the Federal Funds Effective Rate for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 and (d) the rate per annum equal to 1%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170" w:lineRule="exact"/>
        <w:rPr>
          <w:sz w:val="20"/>
          <w:szCs w:val="20"/>
          <w:color w:val="auto"/>
        </w:rPr>
      </w:pPr>
    </w:p>
    <w:p>
      <w:pPr>
        <w:jc w:val="both"/>
        <w:ind w:firstLine="152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Dollar Percentage</w:t>
      </w:r>
      <w:r>
        <w:rPr>
          <w:rFonts w:ascii="Arial" w:cs="Arial" w:eastAsia="Arial" w:hAnsi="Arial"/>
          <w:sz w:val="16"/>
          <w:szCs w:val="16"/>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on and after the Non-Extended Commitment Termination Date, the Applicable Dollar Percentage of each Non-Extending Lender that is a Dollar Lender shall be 0%.</w:t>
      </w:r>
    </w:p>
    <w:p>
      <w:pPr>
        <w:spacing w:after="0" w:line="154" w:lineRule="exact"/>
        <w:rPr>
          <w:sz w:val="20"/>
          <w:szCs w:val="20"/>
          <w:color w:val="auto"/>
        </w:rPr>
      </w:pPr>
    </w:p>
    <w:p>
      <w:pPr>
        <w:jc w:val="both"/>
        <w:ind w:firstLine="152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Financial Statements</w:t>
      </w:r>
      <w:r>
        <w:rPr>
          <w:rFonts w:ascii="Arial" w:cs="Arial" w:eastAsia="Arial" w:hAnsi="Arial"/>
          <w:sz w:val="17"/>
          <w:szCs w:val="17"/>
          <w:color w:val="auto"/>
        </w:rPr>
        <w:t xml:space="preserve">” means, as at any date, the most-recent audited financial statements of the Borrower delivered to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immediately prior to the delivery to the Lenders of new audited financial statements of the Borrower a Material Adverse Change (the “</w:t>
      </w:r>
      <w:r>
        <w:rPr>
          <w:rFonts w:ascii="Arial" w:cs="Arial" w:eastAsia="Arial" w:hAnsi="Arial"/>
          <w:sz w:val="17"/>
          <w:szCs w:val="17"/>
          <w:u w:val="single" w:color="auto"/>
          <w:color w:val="auto"/>
        </w:rPr>
        <w:t>Pre-existing MAC</w:t>
      </w:r>
      <w:r>
        <w:rPr>
          <w:rFonts w:ascii="Arial" w:cs="Arial" w:eastAsia="Arial" w:hAnsi="Arial"/>
          <w:sz w:val="17"/>
          <w:szCs w:val="17"/>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566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8" w:name="page149"/>
    <w:bookmarkEnd w:id="148"/>
    <w:p>
      <w:pPr>
        <w:jc w:val="both"/>
        <w:ind w:firstLine="15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xml:space="preserve">” means: (a) if the Borrowing Base (as of the most recently delivered Borrowing Base Certificate) is equal to or greater than 1.85 times the Combined Debt Amount, (i) with respect to any ABR Loan, 0.75% per annum; and (ii) with respect to any Eurocurrency Loan, 1.75% per annum and (b) if the Borrowing Base (as of the most recently delivered Borrowing Base Certificate) is less than 1.85 times the Combined Debt Amount (i) with respect to any ABR Loan, 1.00% per annum; and (ii) with respect to any Eurocurrency Loan, 2.00% per annum. Any change in the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Borrowing Base Certificate has not been delivered in accordance with </w:t>
      </w:r>
      <w:r>
        <w:rPr>
          <w:rFonts w:ascii="Arial" w:cs="Arial" w:eastAsia="Arial" w:hAnsi="Arial"/>
          <w:sz w:val="17"/>
          <w:szCs w:val="17"/>
          <w:u w:val="single" w:color="auto"/>
          <w:color w:val="auto"/>
        </w:rPr>
        <w:t>Section 5.01(d)</w:t>
      </w:r>
      <w:r>
        <w:rPr>
          <w:rFonts w:ascii="Arial" w:cs="Arial" w:eastAsia="Arial" w:hAnsi="Arial"/>
          <w:sz w:val="17"/>
          <w:szCs w:val="17"/>
          <w:color w:val="auto"/>
        </w:rPr>
        <w:t xml:space="preserve">, then from and including the day immediately succeeding the date on which such Borrowing Base Certificate was required to be delivered, the Applicable Margin shall be the Applicable Margin set forth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to and including the date on which the required Borrowing Base Certificate is delivered.</w:t>
      </w:r>
    </w:p>
    <w:p>
      <w:pPr>
        <w:spacing w:after="0" w:line="182" w:lineRule="exact"/>
        <w:rPr>
          <w:sz w:val="20"/>
          <w:szCs w:val="20"/>
          <w:color w:val="auto"/>
        </w:rPr>
      </w:pPr>
    </w:p>
    <w:p>
      <w:pPr>
        <w:jc w:val="both"/>
        <w:ind w:firstLine="15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Multicurrency Percentage</w:t>
      </w:r>
      <w:r>
        <w:rPr>
          <w:rFonts w:ascii="Arial" w:cs="Arial" w:eastAsia="Arial" w:hAnsi="Arial"/>
          <w:sz w:val="18"/>
          <w:szCs w:val="18"/>
          <w:color w:val="auto"/>
        </w:rPr>
        <w:t xml:space="preserv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on and after the Non-Extended Commitment Termination Date, the Applicable Multicurrency Percentage of each Non-Extending Lender that is a Multicurrency Lender shall be 0%.</w:t>
      </w:r>
    </w:p>
    <w:p>
      <w:pPr>
        <w:spacing w:after="0" w:line="188"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on and after the Non-Extended Commitment Termination Date, the Applicable Percentage of each Non-Extending Lender shall be 0%.</w:t>
      </w:r>
    </w:p>
    <w:p>
      <w:pPr>
        <w:spacing w:after="0" w:line="187" w:lineRule="exact"/>
        <w:rPr>
          <w:sz w:val="20"/>
          <w:szCs w:val="20"/>
          <w:color w:val="auto"/>
        </w:rPr>
      </w:pPr>
    </w:p>
    <w:p>
      <w:pPr>
        <w:jc w:val="both"/>
        <w:ind w:firstLine="15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Dealer</w:t>
      </w:r>
      <w:r>
        <w:rPr>
          <w:rFonts w:ascii="Arial" w:cs="Arial" w:eastAsia="Arial" w:hAnsi="Arial"/>
          <w:sz w:val="18"/>
          <w:szCs w:val="18"/>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as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or any other bank or broker-dealer acceptable to the Administrative Agent in its reasonable determination.</w:t>
      </w:r>
    </w:p>
    <w:p>
      <w:pPr>
        <w:spacing w:after="0" w:line="188" w:lineRule="exact"/>
        <w:rPr>
          <w:sz w:val="20"/>
          <w:szCs w:val="20"/>
          <w:color w:val="auto"/>
        </w:rPr>
      </w:pPr>
    </w:p>
    <w:p>
      <w:pPr>
        <w:jc w:val="both"/>
        <w:ind w:firstLine="152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Pricing Service</w:t>
      </w:r>
      <w:r>
        <w:rPr>
          <w:rFonts w:ascii="Arial" w:cs="Arial" w:eastAsia="Arial" w:hAnsi="Arial"/>
          <w:sz w:val="16"/>
          <w:szCs w:val="16"/>
          <w:color w:val="auto"/>
        </w:rPr>
        <w:t xml:space="preserve">” means a pricing or quotation service as set forth in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47" w:lineRule="exact"/>
        <w:rPr>
          <w:sz w:val="20"/>
          <w:szCs w:val="20"/>
          <w:color w:val="auto"/>
        </w:rPr>
      </w:pPr>
    </w:p>
    <w:p>
      <w:pPr>
        <w:jc w:val="both"/>
        <w:ind w:firstLine="152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Third-Party Appraiser</w:t>
      </w:r>
      <w:r>
        <w:rPr>
          <w:rFonts w:ascii="Arial" w:cs="Arial" w:eastAsia="Arial" w:hAnsi="Arial"/>
          <w:sz w:val="18"/>
          <w:szCs w:val="18"/>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(formerly known as Lincoln Partners LLC) and Valuation Research Corporation are acceptable to the Administrative Agent. As used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97" w:lineRule="exact"/>
        <w:rPr>
          <w:sz w:val="20"/>
          <w:szCs w:val="20"/>
          <w:color w:val="auto"/>
        </w:rPr>
      </w:pPr>
    </w:p>
    <w:p>
      <w:pPr>
        <w:jc w:val="both"/>
        <w:ind w:firstLine="152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Coverage Ratio</w:t>
      </w:r>
      <w:r>
        <w:rPr>
          <w:rFonts w:ascii="Arial" w:cs="Arial" w:eastAsia="Arial" w:hAnsi="Arial"/>
          <w:sz w:val="16"/>
          <w:szCs w:val="16"/>
          <w:color w:val="auto"/>
        </w:rPr>
        <w:t>” means the ratio, determined on a consolidated basis for Borrower and its Subsidiaries, without duplication, (a) the Value of total assets of the Borrower and its Subsidiaries, less all liabilities and indebtedness not represented by senior securities to (b) to the aggregate amount of senior securities representing indebtedness of Borrower and its Subsidiaries (including this Agreement),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58"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adjustments thereto to reflect the Classes of Commitments and/or Loans being assigned or outstanding at the time of the respective assignment) or any other form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66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9" w:name="page150"/>
    <w:bookmarkEnd w:id="149"/>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(a) in the case of any Extending Lender (with respect to such Extending Lender’s Extended Loans), the Extended Availability Period or (b) in the case of any Non-Extending Lender (with respect to such Non-Extending Lender’s Non-Extended Loans), the Non-Extended Availability Period, as applicable.</w:t>
      </w:r>
    </w:p>
    <w:p>
      <w:pPr>
        <w:spacing w:after="0" w:line="181"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all Syndicated ABR Loans of the same Class made, converted or continued on the same date, (b) all Eurocurrency Loans of the same Class denominated in the same Currency that have the same Interest Period or (c) a Swingline Loan.</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of a Financial Officer of the Borrower,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appropriately completed.</w:t>
      </w:r>
    </w:p>
    <w:p>
      <w:pPr>
        <w:spacing w:after="0" w:line="170"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Deficiency</w:t>
      </w:r>
      <w:r>
        <w:rPr>
          <w:rFonts w:ascii="Arial" w:cs="Arial" w:eastAsia="Arial" w:hAnsi="Arial"/>
          <w:sz w:val="18"/>
          <w:szCs w:val="18"/>
          <w:color w:val="auto"/>
        </w:rPr>
        <w:t>” means, at any date on which the same is determined, the amount, if any, that (a) the aggregate Covered Debt Amount as of such date exceeds (b) the Borrowing Base as of such date.</w:t>
      </w:r>
    </w:p>
    <w:p>
      <w:pPr>
        <w:spacing w:after="0" w:line="170"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Syndicated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jc w:val="both"/>
        <w:ind w:firstLine="152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 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79" w:lineRule="exact"/>
        <w:rPr>
          <w:sz w:val="20"/>
          <w:szCs w:val="20"/>
          <w:color w:val="auto"/>
        </w:rPr>
      </w:pPr>
    </w:p>
    <w:p>
      <w:pPr>
        <w:jc w:val="both"/>
        <w:ind w:firstLine="152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Calculation Amount</w:t>
      </w:r>
      <w:r>
        <w:rPr>
          <w:rFonts w:ascii="Arial" w:cs="Arial" w:eastAsia="Arial" w:hAnsi="Arial"/>
          <w:sz w:val="17"/>
          <w:szCs w:val="17"/>
          <w:color w:val="auto"/>
        </w:rPr>
        <w:t xml:space="preserve">” shall mean, as of the end of any Testing Period, an amount equal to the greater of: (a) (i) 125% of the Adjusted Covered Debt Balance (as of the end of such Testing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aggregate Value of all Quoted Investments included in the Borrowing Base (as of the end of such Testing Period) and (b) 10% of the aggregate Value of all Unquoted Investments included in the Borrowing Base (as of the end of such Testing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more than 25% (or, if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applies, 10%, or as near thereto as reasonably practicable) of the aggregate Value of the Unquoted Investments in the Borrowing Base be tested in respect of any applicable Testing Period.</w:t>
      </w:r>
    </w:p>
    <w:p>
      <w:pPr>
        <w:spacing w:after="0" w:line="17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w:t>
      </w:r>
      <w:r>
        <w:rPr>
          <w:rFonts w:ascii="Arial" w:cs="Arial" w:eastAsia="Arial" w:hAnsi="Arial"/>
          <w:sz w:val="18"/>
          <w:szCs w:val="18"/>
          <w:color w:val="auto"/>
        </w:rPr>
        <w:t xml:space="preserve">” means the exchange of the Lenders’ interests provided for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jc w:val="both"/>
        <w:ind w:firstLine="152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CAM Exchange Date</w:t>
      </w:r>
      <w:r>
        <w:rPr>
          <w:rFonts w:ascii="Arial" w:cs="Arial" w:eastAsia="Arial" w:hAnsi="Arial"/>
          <w:sz w:val="17"/>
          <w:szCs w:val="17"/>
          <w:color w:val="auto"/>
        </w:rPr>
        <w:t xml:space="preserve">” means the date on which any Event of Default referred to in </w:t>
      </w:r>
      <w:r>
        <w:rPr>
          <w:rFonts w:ascii="Arial" w:cs="Arial" w:eastAsia="Arial" w:hAnsi="Arial"/>
          <w:sz w:val="17"/>
          <w:szCs w:val="17"/>
          <w:u w:val="single" w:color="auto"/>
          <w:color w:val="auto"/>
        </w:rPr>
        <w:t>clause (j)</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occur or the date on which the Company receives written notice from the Administrative Agent that any Event of Default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has occurred.</w:t>
      </w:r>
    </w:p>
    <w:p>
      <w:pPr>
        <w:spacing w:after="0" w:line="200" w:lineRule="exact"/>
        <w:rPr>
          <w:sz w:val="20"/>
          <w:szCs w:val="20"/>
          <w:color w:val="auto"/>
        </w:rPr>
      </w:pPr>
    </w:p>
    <w:p>
      <w:pPr>
        <w:spacing w:after="0" w:line="379" w:lineRule="exact"/>
        <w:rPr>
          <w:sz w:val="20"/>
          <w:szCs w:val="20"/>
          <w:color w:val="auto"/>
        </w:rPr>
      </w:pPr>
    </w:p>
    <w:p>
      <w:pPr>
        <w:spacing w:after="0"/>
        <w:tabs>
          <w:tab w:leader="none" w:pos="566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0" w:name="page151"/>
    <w:bookmarkEnd w:id="150"/>
    <w:p>
      <w:pPr>
        <w:jc w:val="both"/>
        <w:ind w:right="20"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Percentage</w:t>
      </w:r>
      <w:r>
        <w:rPr>
          <w:rFonts w:ascii="Arial" w:cs="Arial" w:eastAsia="Arial" w:hAnsi="Arial"/>
          <w:sz w:val="18"/>
          <w:szCs w:val="18"/>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87"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any immediately available funds in Dollars or in any currency other than Dollars (measured in terms of the Dollar Equivalent thereof) which is a freely convertible currency.</w:t>
      </w:r>
    </w:p>
    <w:p>
      <w:pPr>
        <w:spacing w:after="0" w:line="170" w:lineRule="exact"/>
        <w:rPr>
          <w:sz w:val="20"/>
          <w:szCs w:val="20"/>
          <w:color w:val="auto"/>
        </w:rPr>
      </w:pPr>
    </w:p>
    <w:p>
      <w:pPr>
        <w:jc w:val="both"/>
        <w:ind w:firstLine="152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xml:space="preserve">” means, in respect of a Letter of Credit or any obligation hereunder, to provide and pledge cash collateral pursuant to </w:t>
      </w:r>
      <w:r>
        <w:rPr>
          <w:rFonts w:ascii="Arial" w:cs="Arial" w:eastAsia="Arial" w:hAnsi="Arial"/>
          <w:sz w:val="16"/>
          <w:szCs w:val="16"/>
          <w:u w:val="single" w:color="auto"/>
          <w:color w:val="auto"/>
        </w:rPr>
        <w:t>Section 2.05(k)</w:t>
      </w:r>
      <w:r>
        <w:rPr>
          <w:rFonts w:ascii="Arial" w:cs="Arial" w:eastAsia="Arial" w:hAnsi="Arial"/>
          <w:sz w:val="16"/>
          <w:szCs w:val="16"/>
          <w:color w:val="auto"/>
        </w:rPr>
        <w:t>, at a location and pursuant to documentation in form and substance reasonably satisfactory to Administrative Agent and each Issuing Bank. “</w:t>
      </w:r>
      <w:r>
        <w:rPr>
          <w:rFonts w:ascii="Arial" w:cs="Arial" w:eastAsia="Arial" w:hAnsi="Arial"/>
          <w:sz w:val="16"/>
          <w:szCs w:val="16"/>
          <w:u w:val="single" w:color="auto"/>
          <w:color w:val="auto"/>
        </w:rPr>
        <w:t>Cash Collateral</w:t>
      </w:r>
      <w:r>
        <w:rPr>
          <w:rFonts w:ascii="Arial" w:cs="Arial" w:eastAsia="Arial" w:hAnsi="Arial"/>
          <w:sz w:val="16"/>
          <w:szCs w:val="16"/>
          <w:color w:val="auto"/>
        </w:rPr>
        <w:t>” shall have a meaning correlative to the foregoing and shall include the proceeds of such cash collateral and other credit support.</w:t>
      </w:r>
    </w:p>
    <w:p>
      <w:pPr>
        <w:spacing w:after="0" w:line="14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(other than Cash) that are one or more of the following obligations:</w:t>
      </w:r>
    </w:p>
    <w:p>
      <w:pPr>
        <w:spacing w:after="0" w:line="225" w:lineRule="exact"/>
        <w:rPr>
          <w:sz w:val="20"/>
          <w:szCs w:val="20"/>
          <w:color w:val="auto"/>
        </w:rPr>
      </w:pPr>
    </w:p>
    <w:p>
      <w:pPr>
        <w:ind w:left="1780" w:hanging="251"/>
        <w:spacing w:after="0"/>
        <w:tabs>
          <w:tab w:leader="none" w:pos="1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U.S. Government Securities, in each case maturing within one year from the date of acquisition thereof;</w:t>
      </w:r>
    </w:p>
    <w:p>
      <w:pPr>
        <w:spacing w:after="0" w:line="225" w:lineRule="exact"/>
        <w:rPr>
          <w:rFonts w:ascii="Arial" w:cs="Arial" w:eastAsia="Arial" w:hAnsi="Arial"/>
          <w:sz w:val="18"/>
          <w:szCs w:val="18"/>
          <w:color w:val="auto"/>
        </w:rPr>
      </w:pPr>
    </w:p>
    <w:p>
      <w:pPr>
        <w:ind w:firstLine="1529"/>
        <w:spacing w:after="0" w:line="223" w:lineRule="exact"/>
        <w:tabs>
          <w:tab w:leader="none" w:pos="181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a credit rating of at least A</w:t>
      </w:r>
      <w:r>
        <w:rPr>
          <w:rFonts w:ascii="MS PGothic" w:cs="MS PGothic" w:eastAsia="MS PGothic" w:hAnsi="MS PGothic"/>
          <w:sz w:val="18"/>
          <w:szCs w:val="18"/>
          <w:color w:val="auto"/>
        </w:rPr>
        <w:t>‑</w:t>
      </w:r>
      <w:r>
        <w:rPr>
          <w:rFonts w:ascii="Arial" w:cs="Arial" w:eastAsia="Arial" w:hAnsi="Arial"/>
          <w:sz w:val="18"/>
          <w:szCs w:val="18"/>
          <w:color w:val="auto"/>
        </w:rPr>
        <w:t>1 from S&amp;P and at least P</w:t>
      </w:r>
      <w:r>
        <w:rPr>
          <w:rFonts w:ascii="MS PGothic" w:cs="MS PGothic" w:eastAsia="MS PGothic" w:hAnsi="MS PGothic"/>
          <w:sz w:val="18"/>
          <w:szCs w:val="18"/>
          <w:color w:val="auto"/>
        </w:rPr>
        <w:t>‑</w:t>
      </w:r>
      <w:r>
        <w:rPr>
          <w:rFonts w:ascii="Arial" w:cs="Arial" w:eastAsia="Arial" w:hAnsi="Arial"/>
          <w:sz w:val="18"/>
          <w:szCs w:val="18"/>
          <w:color w:val="auto"/>
        </w:rPr>
        <w:t>1 from Moody’s;</w:t>
      </w:r>
    </w:p>
    <w:p>
      <w:pPr>
        <w:spacing w:after="0" w:line="203" w:lineRule="exact"/>
        <w:rPr>
          <w:rFonts w:ascii="Arial" w:cs="Arial" w:eastAsia="Arial" w:hAnsi="Arial"/>
          <w:sz w:val="18"/>
          <w:szCs w:val="18"/>
          <w:color w:val="auto"/>
        </w:rPr>
      </w:pPr>
    </w:p>
    <w:p>
      <w:pPr>
        <w:jc w:val="both"/>
        <w:ind w:firstLine="1529"/>
        <w:spacing w:after="0" w:line="219" w:lineRule="exact"/>
        <w:tabs>
          <w:tab w:leader="none" w:pos="177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r>
      <w:r>
        <w:rPr>
          <w:rFonts w:ascii="MS PGothic" w:cs="MS PGothic" w:eastAsia="MS PGothic" w:hAnsi="MS PGothic"/>
          <w:sz w:val="18"/>
          <w:szCs w:val="18"/>
          <w:color w:val="auto"/>
        </w:rPr>
        <w:t>‑</w:t>
      </w:r>
      <w:r>
        <w:rPr>
          <w:rFonts w:ascii="Arial" w:cs="Arial" w:eastAsia="Arial" w:hAnsi="Arial"/>
          <w:sz w:val="18"/>
          <w:szCs w:val="18"/>
          <w:color w:val="auto"/>
        </w:rPr>
        <w:t>1 from S&amp;P and at least P</w:t>
      </w:r>
      <w:r>
        <w:rPr>
          <w:rFonts w:ascii="MS PGothic" w:cs="MS PGothic" w:eastAsia="MS PGothic" w:hAnsi="MS PGothic"/>
          <w:sz w:val="18"/>
          <w:szCs w:val="18"/>
          <w:color w:val="auto"/>
        </w:rPr>
        <w:t>‑</w:t>
      </w:r>
      <w:r>
        <w:rPr>
          <w:rFonts w:ascii="Arial" w:cs="Arial" w:eastAsia="Arial" w:hAnsi="Arial"/>
          <w:sz w:val="18"/>
          <w:szCs w:val="18"/>
          <w:color w:val="auto"/>
        </w:rPr>
        <w:t>1 from Moody’s;</w:t>
      </w:r>
    </w:p>
    <w:p>
      <w:pPr>
        <w:spacing w:after="0" w:line="203" w:lineRule="exact"/>
        <w:rPr>
          <w:rFonts w:ascii="Arial" w:cs="Arial" w:eastAsia="Arial" w:hAnsi="Arial"/>
          <w:sz w:val="18"/>
          <w:szCs w:val="18"/>
          <w:color w:val="auto"/>
        </w:rPr>
      </w:pPr>
    </w:p>
    <w:p>
      <w:pPr>
        <w:jc w:val="both"/>
        <w:ind w:firstLine="1529"/>
        <w:spacing w:after="0" w:line="220" w:lineRule="exact"/>
        <w:tabs>
          <w:tab w:leader="none" w:pos="180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definition or (ii) an Approved Dealer having (or being a member of a consolidated group having) at such date of acquisition, a credit rating of at least A</w:t>
      </w:r>
      <w:r>
        <w:rPr>
          <w:rFonts w:ascii="MS PGothic" w:cs="MS PGothic" w:eastAsia="MS PGothic" w:hAnsi="MS PGothic"/>
          <w:sz w:val="18"/>
          <w:szCs w:val="18"/>
          <w:color w:val="auto"/>
        </w:rPr>
        <w:t>‑</w:t>
      </w:r>
      <w:r>
        <w:rPr>
          <w:rFonts w:ascii="Arial" w:cs="Arial" w:eastAsia="Arial" w:hAnsi="Arial"/>
          <w:sz w:val="18"/>
          <w:szCs w:val="18"/>
          <w:color w:val="auto"/>
        </w:rPr>
        <w:t>1 from S&amp;P and at least P</w:t>
      </w:r>
      <w:r>
        <w:rPr>
          <w:rFonts w:ascii="MS PGothic" w:cs="MS PGothic" w:eastAsia="MS PGothic" w:hAnsi="MS PGothic"/>
          <w:sz w:val="18"/>
          <w:szCs w:val="18"/>
          <w:color w:val="auto"/>
        </w:rPr>
        <w:t>‑</w:t>
      </w:r>
      <w:r>
        <w:rPr>
          <w:rFonts w:ascii="Arial" w:cs="Arial" w:eastAsia="Arial" w:hAnsi="Arial"/>
          <w:sz w:val="18"/>
          <w:szCs w:val="18"/>
          <w:color w:val="auto"/>
        </w:rPr>
        <w:t>1 from Moody’s; and</w:t>
      </w:r>
    </w:p>
    <w:p>
      <w:pPr>
        <w:spacing w:after="0" w:line="204" w:lineRule="exact"/>
        <w:rPr>
          <w:rFonts w:ascii="Arial" w:cs="Arial" w:eastAsia="Arial" w:hAnsi="Arial"/>
          <w:sz w:val="18"/>
          <w:szCs w:val="18"/>
          <w:color w:val="auto"/>
        </w:rPr>
      </w:pPr>
    </w:p>
    <w:p>
      <w:pPr>
        <w:ind w:firstLine="1529"/>
        <w:spacing w:after="0" w:line="308" w:lineRule="auto"/>
        <w:tabs>
          <w:tab w:leader="none" w:pos="179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investments in money market funds that invest solely, and which are restricted by their respective charters to invest solely, in investments of the type described in the immediately preceding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(including as to credit quality and maturity).</w:t>
      </w:r>
    </w:p>
    <w:p>
      <w:pPr>
        <w:spacing w:after="0" w:line="147" w:lineRule="exact"/>
        <w:rPr>
          <w:sz w:val="20"/>
          <w:szCs w:val="20"/>
          <w:color w:val="auto"/>
        </w:rPr>
      </w:pPr>
    </w:p>
    <w:p>
      <w:pPr>
        <w:jc w:val="both"/>
        <w:ind w:firstLine="1521"/>
        <w:spacing w:after="0" w:line="29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or repurchase agreements)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58" w:lineRule="exact"/>
        <w:rPr>
          <w:sz w:val="20"/>
          <w:szCs w:val="20"/>
          <w:color w:val="auto"/>
        </w:rPr>
      </w:pPr>
    </w:p>
    <w:p>
      <w:pPr>
        <w:jc w:val="both"/>
        <w:ind w:firstLine="1521"/>
        <w:spacing w:after="0" w:line="255" w:lineRule="auto"/>
        <w:rPr>
          <w:sz w:val="20"/>
          <w:szCs w:val="20"/>
          <w:color w:val="auto"/>
        </w:rPr>
      </w:pPr>
      <w:r>
        <w:rPr>
          <w:rFonts w:ascii="Arial" w:cs="Arial" w:eastAsia="Arial" w:hAnsi="Arial"/>
          <w:sz w:val="18"/>
          <w:szCs w:val="18"/>
          <w:u w:val="single" w:color="auto"/>
          <w:color w:val="auto"/>
        </w:rPr>
        <w:t>“CDOR Rate</w:t>
      </w:r>
      <w:r>
        <w:rPr>
          <w:rFonts w:ascii="Arial" w:cs="Arial" w:eastAsia="Arial" w:hAnsi="Arial"/>
          <w:sz w:val="18"/>
          <w:szCs w:val="18"/>
          <w:color w:val="auto"/>
        </w:rPr>
        <w:t>” means, the rate per annum, equal to the average of the annual yield rates applicable to Canadian Dollar banker’s acceptances at or about 10:00a.m. (Toronto, Ontario time) on the first day of such Interest Period (or if such day is 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5102225</wp:posOffset>
            </wp:positionH>
            <wp:positionV relativeFrom="paragraph">
              <wp:posOffset>-441960</wp:posOffset>
            </wp:positionV>
            <wp:extent cx="368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566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1" w:name="page152"/>
    <w:bookmarkEnd w:id="151"/>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External Manager ceases to be Controlled by (a) (I) David Bonderman or James Coulter and (II) Alan Waxman, or any of their successors or (b) an Affiliate of TPG Holdings II, L.P. (but, for the avoidance of doubt, excluding Controlled portfolio investment companies of TPG Holdings II, L.P.).</w:t>
      </w:r>
    </w:p>
    <w:p>
      <w:pPr>
        <w:spacing w:after="0" w:line="181" w:lineRule="exact"/>
        <w:rPr>
          <w:sz w:val="20"/>
          <w:szCs w:val="20"/>
          <w:color w:val="auto"/>
        </w:rPr>
      </w:pPr>
    </w:p>
    <w:p>
      <w:pPr>
        <w:jc w:val="both"/>
        <w:ind w:firstLine="152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the occurrence, after the date of this Agreement,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80" w:lineRule="exact"/>
        <w:rPr>
          <w:sz w:val="20"/>
          <w:szCs w:val="20"/>
          <w:color w:val="auto"/>
        </w:rPr>
      </w:pPr>
    </w:p>
    <w:p>
      <w:pPr>
        <w:jc w:val="both"/>
        <w:ind w:firstLine="152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constituting such Borrowing, are Syndicated Dollar Loans, Syndicated Multicurrency Loans or Swingline Loans; when used in reference to any Lender’s (i) Class of Commitment, refers to whether such Lender is a Dollar Lender or a Multicurrency Lender and (ii) Class of Final Maturity Date, refers to whether such Lender is an Extending Lender or a Non-Extending Lender; and, when used in reference to any Commitment, refers to whether such Commitment is a Dollar Commitment or a Multicurrency Commitment. The “</w:t>
      </w:r>
      <w:r>
        <w:rPr>
          <w:rFonts w:ascii="Arial" w:cs="Arial" w:eastAsia="Arial" w:hAnsi="Arial"/>
          <w:sz w:val="18"/>
          <w:szCs w:val="18"/>
          <w:u w:val="single" w:color="auto"/>
          <w:color w:val="auto"/>
        </w:rPr>
        <w:t>Class</w:t>
      </w:r>
      <w:r>
        <w:rPr>
          <w:rFonts w:ascii="Arial" w:cs="Arial" w:eastAsia="Arial" w:hAnsi="Arial"/>
          <w:sz w:val="18"/>
          <w:szCs w:val="18"/>
          <w:color w:val="auto"/>
        </w:rPr>
        <w:t>” of a Letter of Credit refers to whether such Letter of Credit is a Dollar Letter of Credit or a Multicurrency Letter of Credit.</w:t>
      </w:r>
    </w:p>
    <w:p>
      <w:pPr>
        <w:spacing w:after="0" w:line="1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assigned to such term in the Guarantee and Security Agreement.</w:t>
      </w:r>
    </w:p>
    <w:p>
      <w:pPr>
        <w:spacing w:after="0" w:line="225"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SunTrust in its capacity as Collateral Agent under the Guarantee and Security Agreement, and includes any successor Collateral Agent thereunder.</w:t>
      </w:r>
    </w:p>
    <w:p>
      <w:pPr>
        <w:spacing w:after="0" w:line="170" w:lineRule="exact"/>
        <w:rPr>
          <w:sz w:val="20"/>
          <w:szCs w:val="20"/>
          <w:color w:val="auto"/>
        </w:rPr>
      </w:pPr>
    </w:p>
    <w:p>
      <w:pPr>
        <w:jc w:val="both"/>
        <w:ind w:firstLine="152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Pool</w:t>
      </w:r>
      <w:r>
        <w:rPr>
          <w:rFonts w:ascii="Arial" w:cs="Arial" w:eastAsia="Arial" w:hAnsi="Arial"/>
          <w:sz w:val="17"/>
          <w:szCs w:val="17"/>
          <w:color w:val="auto"/>
        </w:rPr>
        <w:t xml:space="preserve">” means, at any time, each Portfolio Investment that has been Delivered (as defined in the Guarantee and Security Agreement) to the Collateral Agent and is subject to the Lien of the Guaranty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hereof);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7 days of such inclusion.</w:t>
      </w:r>
    </w:p>
    <w:p>
      <w:pPr>
        <w:spacing w:after="0" w:line="178"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Debt Amount</w:t>
      </w:r>
      <w:r>
        <w:rPr>
          <w:rFonts w:ascii="Arial" w:cs="Arial" w:eastAsia="Arial" w:hAnsi="Arial"/>
          <w:sz w:val="18"/>
          <w:szCs w:val="18"/>
          <w:color w:val="auto"/>
        </w:rPr>
        <w:t>” means, as of any date, (i) the aggregate amount of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the Dollar Commitments and the Multicurrency Commitments.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Termination Date</w:t>
      </w:r>
      <w:r>
        <w:rPr>
          <w:rFonts w:ascii="Arial" w:cs="Arial" w:eastAsia="Arial" w:hAnsi="Arial"/>
          <w:sz w:val="16"/>
          <w:szCs w:val="16"/>
          <w:color w:val="auto"/>
        </w:rPr>
        <w:t>” means the Extended Commitment Termination Date or the Non-Extended Commitment Termination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 as applicable.</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Group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66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2" w:name="page153"/>
    <w:bookmarkEnd w:id="152"/>
    <w:p>
      <w:pPr>
        <w:ind w:firstLine="152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Debt Amount</w:t>
      </w:r>
      <w:r>
        <w:rPr>
          <w:rFonts w:ascii="Arial" w:cs="Arial" w:eastAsia="Arial" w:hAnsi="Arial"/>
          <w:sz w:val="17"/>
          <w:szCs w:val="17"/>
          <w:color w:val="auto"/>
        </w:rPr>
        <w:t xml:space="preserve">” means, on any date, the sum of (x) all of the Revolving Credit Exposures of all Lenders on such date </w:t>
      </w:r>
      <w:r>
        <w:rPr>
          <w:rFonts w:ascii="Arial" w:cs="Arial" w:eastAsia="Arial" w:hAnsi="Arial"/>
          <w:sz w:val="17"/>
          <w:szCs w:val="17"/>
          <w:u w:val="single" w:color="auto"/>
          <w:color w:val="auto"/>
        </w:rPr>
        <w:t>plus</w:t>
      </w:r>
    </w:p>
    <w:p>
      <w:pPr>
        <w:spacing w:after="0" w:line="35" w:lineRule="exact"/>
        <w:rPr>
          <w:sz w:val="20"/>
          <w:szCs w:val="20"/>
          <w:color w:val="auto"/>
        </w:rPr>
      </w:pPr>
    </w:p>
    <w:p>
      <w:pPr>
        <w:jc w:val="both"/>
        <w:ind w:firstLine="8"/>
        <w:spacing w:after="0" w:line="267" w:lineRule="auto"/>
        <w:tabs>
          <w:tab w:leader="none" w:pos="29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the aggregate amount of Other Covered Indebtedness, the 2019 Convertible Notes, Special Unsecured Indebtedness and Unsecured Longer Term Indebtedness on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(z) the LC Exposures fully Cash Collateralized on such date pursuant to </w:t>
      </w:r>
      <w:r>
        <w:rPr>
          <w:rFonts w:ascii="Arial" w:cs="Arial" w:eastAsia="Arial" w:hAnsi="Arial"/>
          <w:sz w:val="17"/>
          <w:szCs w:val="17"/>
          <w:u w:val="single" w:color="auto"/>
          <w:color w:val="auto"/>
        </w:rPr>
        <w:t>Section 2.05(k)</w:t>
      </w:r>
      <w:r>
        <w:rPr>
          <w:rFonts w:ascii="Arial" w:cs="Arial" w:eastAsia="Arial" w:hAnsi="Arial"/>
          <w:sz w:val="17"/>
          <w:szCs w:val="17"/>
          <w:color w:val="auto"/>
        </w:rPr>
        <w:t xml:space="preserve"> and the last paragraph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2.09(a)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2019 Convertible Notes, Special Unsecured Indebtedness and Unsecured Longer-Term Indebtedness shall be excluded from the calculation of the Covered Debt Amount, in each case, until the date that is nine (9) months prior to the scheduled maturity date of the 2019 Convertible Notes, Special Unsecured Indebtedness or such Unsecured Longer-Term Indebtedness, as applicable (provided that, to the extent, but only to the extent, any portion of the 2019 Convertible Notes, Special Unsecured Indebtedness or Unsecured Longer-Term Indebtedness is subject to a contractually scheduled amortization payment or other principal payment or mandatory redemption (other than in common stock of the Borrower) earlier than six (6) months after the Final Maturity Date (in the case of the 2019 Convertible Notes and Unsecured Longer-Term Indebtedness) or earlier than the original final maturity date of such Indebtedness (in the case of Special Unsecured Indebtedness), such portion of such Indebtedness, to the extent then outstanding,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 For the avoidance of doubt, for purposes of calculating the Covered Debt Amount, any convertible securities will be included at the then outstanding principal balance thereof.</w:t>
      </w:r>
    </w:p>
    <w:p>
      <w:pPr>
        <w:spacing w:after="0" w:line="184"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Foreign Currency.</w:t>
      </w:r>
    </w:p>
    <w:p>
      <w:pPr>
        <w:spacing w:after="0" w:line="225"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jc w:val="both"/>
        <w:ind w:firstLine="152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any Lender that, during such Lender’s Availability Period,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any Issuing Bank, any Swingline Lender or any Lender any other amount required to be paid by it hereunder (including in respect of its participation in Letters of Credit or Swingline Loans) within two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shall be conclusive and binding absent manifest error, and such Lender shall be deemed to be a Defaulting Lender (subject to </w:t>
      </w:r>
      <w:r>
        <w:rPr>
          <w:rFonts w:ascii="Arial" w:cs="Arial" w:eastAsia="Arial" w:hAnsi="Arial"/>
          <w:sz w:val="16"/>
          <w:szCs w:val="16"/>
          <w:u w:val="single" w:color="auto"/>
          <w:color w:val="auto"/>
        </w:rPr>
        <w:t>Section 2.19(b)</w:t>
      </w:r>
      <w:r>
        <w:rPr>
          <w:rFonts w:ascii="Arial" w:cs="Arial" w:eastAsia="Arial" w:hAnsi="Arial"/>
          <w:sz w:val="16"/>
          <w:szCs w:val="16"/>
          <w:color w:val="auto"/>
        </w:rPr>
        <w:t>) upon such determination (and the Administrative Agent shall deliver written notice of such determination to the Borrower, each Issuing Bank and each Lender and each Swingline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566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3" w:name="page154"/>
    <w:bookmarkEnd w:id="153"/>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Borrower with respect to (a) principal of and interest on the Loans and (b) accrued and unpaid fees under the Loan Documents.</w:t>
      </w:r>
    </w:p>
    <w:p>
      <w:pPr>
        <w:spacing w:after="0" w:line="170" w:lineRule="exact"/>
        <w:rPr>
          <w:sz w:val="20"/>
          <w:szCs w:val="20"/>
          <w:color w:val="auto"/>
        </w:rPr>
      </w:pPr>
    </w:p>
    <w:p>
      <w:pPr>
        <w:jc w:val="both"/>
        <w:ind w:firstLine="15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“Disposition” or “Dispose” shall not include the disposition of Portfolio Investments originated by the Borrower and immediately transferred to a Financing Subsidiary pursuant to a transaction not prohibited hereunder.</w:t>
      </w:r>
    </w:p>
    <w:p>
      <w:pPr>
        <w:spacing w:after="0" w:line="188" w:lineRule="exact"/>
        <w:rPr>
          <w:sz w:val="20"/>
          <w:szCs w:val="20"/>
          <w:color w:val="auto"/>
        </w:rPr>
      </w:pPr>
    </w:p>
    <w:p>
      <w:pPr>
        <w:jc w:val="both"/>
        <w:ind w:firstLine="152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Commitment</w:t>
      </w:r>
      <w:r>
        <w:rPr>
          <w:rFonts w:ascii="Arial" w:cs="Arial" w:eastAsia="Arial" w:hAnsi="Arial"/>
          <w:sz w:val="17"/>
          <w:szCs w:val="17"/>
          <w:color w:val="auto"/>
        </w:rPr>
        <w:t xml:space="preserve">” means, with respect to each Dollar Lender during such Dollar Lender’s Availability Period,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from time to time pursuant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(b) reduced or increased from time to time pursuant to assignments by or to such Lender pursuant to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The amount of each Lender’s Dollar Commitment as of the Fifth Amendment Effective Date is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or in the Assignment and Assumption pursuant to which such Lender shall have assumed its Dollar Commitment, as applicable. The aggregate amount of the Lenders’ Dollar Commitments as of the Fifth Amendment Effective Date is $90,000,000.</w:t>
      </w:r>
    </w:p>
    <w:p>
      <w:pPr>
        <w:spacing w:after="0" w:line="178"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87"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LC Exposure</w:t>
      </w:r>
      <w:r>
        <w:rPr>
          <w:rFonts w:ascii="Arial" w:cs="Arial" w:eastAsia="Arial" w:hAnsi="Arial"/>
          <w:sz w:val="18"/>
          <w:szCs w:val="18"/>
          <w:color w:val="auto"/>
        </w:rPr>
        <w:t xml:space="preserve">” means, at any time, the sum of (a) the aggregate undrawn amount of all outstanding Dollar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87"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Lender</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Letters of Credit</w:t>
      </w:r>
      <w:r>
        <w:rPr>
          <w:rFonts w:ascii="Arial" w:cs="Arial" w:eastAsia="Arial" w:hAnsi="Arial"/>
          <w:sz w:val="18"/>
          <w:szCs w:val="18"/>
          <w:color w:val="auto"/>
        </w:rPr>
        <w:t>” means Letters of Credit that utilize the Dollar Commitments.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Loan</w:t>
      </w:r>
      <w:r>
        <w:rPr>
          <w:rFonts w:ascii="Arial" w:cs="Arial" w:eastAsia="Arial" w:hAnsi="Arial"/>
          <w:sz w:val="18"/>
          <w:szCs w:val="18"/>
          <w:color w:val="auto"/>
        </w:rPr>
        <w:t>” means a Loan denominated in Dollars.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means the date on which the conditions specified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9.02</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66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54" w:name="page155"/>
    <w:bookmarkEnd w:id="154"/>
    <w:p>
      <w:pPr>
        <w:jc w:val="both"/>
        <w:ind w:firstLine="152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6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jc w:val="both"/>
        <w:ind w:firstLine="15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78"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a single currency of the Participating Member States.</w:t>
      </w:r>
    </w:p>
    <w:p>
      <w:pPr>
        <w:spacing w:after="0" w:line="225"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constituting such Borrowing, are bearing interest at a rate determined by reference to the Adjusted LIBO Rate.</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jc w:val="both"/>
        <w:ind w:firstLine="152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Arial" w:cs="Arial" w:eastAsia="Arial" w:hAnsi="Arial"/>
          <w:sz w:val="17"/>
          <w:szCs w:val="17"/>
          <w:u w:val="single" w:color="auto"/>
          <w:color w:val="auto"/>
        </w:rPr>
        <w:t>Section 2.16(f)</w:t>
      </w:r>
      <w:r>
        <w:rPr>
          <w:rFonts w:ascii="Arial" w:cs="Arial" w:eastAsia="Arial" w:hAnsi="Arial"/>
          <w:sz w:val="17"/>
          <w:szCs w:val="17"/>
          <w:color w:val="auto"/>
        </w:rPr>
        <w:t>, (d) any U.S. federal, state or local backup withholding Taxes imposed on payments made under any Loan Document, and (e) any Taxes that are imposed under FATCA.</w:t>
      </w:r>
    </w:p>
    <w:p>
      <w:pPr>
        <w:spacing w:after="0" w:line="18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to this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5" w:name="page156"/>
    <w:bookmarkEnd w:id="155"/>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Availability Period</w:t>
      </w:r>
      <w:r>
        <w:rPr>
          <w:rFonts w:ascii="Arial" w:cs="Arial" w:eastAsia="Arial" w:hAnsi="Arial"/>
          <w:sz w:val="18"/>
          <w:szCs w:val="18"/>
          <w:color w:val="auto"/>
        </w:rPr>
        <w:t>” means, with respect to any Extending Lender, the period from and including the Effective Date to but excluding the earlier of the Extended Commitment Termination Date and the date of termination of the Commitments.</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Commitment Termination Date</w:t>
      </w:r>
      <w:r>
        <w:rPr>
          <w:rFonts w:ascii="Arial" w:cs="Arial" w:eastAsia="Arial" w:hAnsi="Arial"/>
          <w:sz w:val="18"/>
          <w:szCs w:val="18"/>
          <w:color w:val="auto"/>
        </w:rPr>
        <w:t>” means, with respect to each Extending Lender, December 22, 2020.</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Final Maturity Date</w:t>
      </w:r>
      <w:r>
        <w:rPr>
          <w:rFonts w:ascii="Arial" w:cs="Arial" w:eastAsia="Arial" w:hAnsi="Arial"/>
          <w:sz w:val="18"/>
          <w:szCs w:val="18"/>
          <w:color w:val="auto"/>
        </w:rPr>
        <w:t>” means, with respect to each Extending Lender, December 22, 2021.</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Loans</w:t>
      </w:r>
      <w:r>
        <w:rPr>
          <w:rFonts w:ascii="Arial" w:cs="Arial" w:eastAsia="Arial" w:hAnsi="Arial"/>
          <w:sz w:val="18"/>
          <w:szCs w:val="18"/>
          <w:color w:val="auto"/>
        </w:rPr>
        <w:t>” means Loans or Borrowings of any Extending Lender maturing on the Extended Final Maturity Date.</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xml:space="preserve">” means each Lender designated as an “Extending Lender” on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External Manager</w:t>
      </w:r>
      <w:r>
        <w:rPr>
          <w:rFonts w:ascii="Arial" w:cs="Arial" w:eastAsia="Arial" w:hAnsi="Arial"/>
          <w:sz w:val="18"/>
          <w:szCs w:val="18"/>
          <w:color w:val="auto"/>
        </w:rPr>
        <w:t>” means TSL Advisers, LLC.</w:t>
      </w:r>
    </w:p>
    <w:p>
      <w:pPr>
        <w:spacing w:after="0" w:line="225" w:lineRule="exact"/>
        <w:rPr>
          <w:sz w:val="20"/>
          <w:szCs w:val="20"/>
          <w:color w:val="auto"/>
        </w:rPr>
      </w:pPr>
    </w:p>
    <w:p>
      <w:pPr>
        <w:jc w:val="both"/>
        <w:ind w:firstLine="15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Extraordinary Receipts</w:t>
      </w:r>
      <w:r>
        <w:rPr>
          <w:rFonts w:ascii="Arial" w:cs="Arial" w:eastAsia="Arial" w:hAnsi="Arial"/>
          <w:sz w:val="17"/>
          <w:szCs w:val="17"/>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Extraordinary Receipts shall not include any (x) amounts that the Borrower receives from the Administrative Agent or any Lender pursuant to </w:t>
      </w:r>
      <w:r>
        <w:rPr>
          <w:rFonts w:ascii="Arial" w:cs="Arial" w:eastAsia="Arial" w:hAnsi="Arial"/>
          <w:sz w:val="17"/>
          <w:szCs w:val="17"/>
          <w:u w:val="single" w:color="auto"/>
          <w:color w:val="auto"/>
        </w:rPr>
        <w:t>Section 2.16(f)</w:t>
      </w:r>
      <w:r>
        <w:rPr>
          <w:rFonts w:ascii="Arial" w:cs="Arial" w:eastAsia="Arial" w:hAnsi="Arial"/>
          <w:sz w:val="17"/>
          <w:szCs w:val="17"/>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78"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87" w:lineRule="exact"/>
        <w:rPr>
          <w:sz w:val="20"/>
          <w:szCs w:val="20"/>
          <w:color w:val="auto"/>
        </w:rPr>
      </w:pPr>
    </w:p>
    <w:p>
      <w:pPr>
        <w:jc w:val="both"/>
        <w:ind w:firstLine="15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Fifth Amendment Effective Date</w:t>
      </w:r>
      <w:r>
        <w:rPr>
          <w:rFonts w:ascii="Arial" w:cs="Arial" w:eastAsia="Arial" w:hAnsi="Arial"/>
          <w:sz w:val="18"/>
          <w:szCs w:val="18"/>
          <w:color w:val="auto"/>
        </w:rPr>
        <w:t>” means December 22, 2016.</w:t>
      </w:r>
    </w:p>
    <w:p>
      <w:pPr>
        <w:spacing w:after="0" w:line="225"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(i) in the case of any Extending Lender (with respect to such Extending Lender’s Extended Loans), the Extended Final Maturity Date or (ii) in the case of any Non-Extending Lender (with respect to such Non-Extending Lender’s Non-Extended Loans), the Non-Extended Final Maturity Date, as applicable.</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Subsidiary</w:t>
      </w:r>
      <w:r>
        <w:rPr>
          <w:rFonts w:ascii="Arial" w:cs="Arial" w:eastAsia="Arial" w:hAnsi="Arial"/>
          <w:sz w:val="18"/>
          <w:szCs w:val="18"/>
          <w:color w:val="auto"/>
        </w:rPr>
        <w:t>” means an SPE Subsidiary or an SBIC Subsidiary.</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at any time any Currency other than Dollars.</w:t>
      </w:r>
    </w:p>
    <w:p>
      <w:pPr>
        <w:spacing w:after="0" w:line="225"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Equivalent</w:t>
      </w:r>
      <w:r>
        <w:rPr>
          <w:rFonts w:ascii="Arial" w:cs="Arial" w:eastAsia="Arial" w:hAnsi="Arial"/>
          <w:sz w:val="18"/>
          <w:szCs w:val="18"/>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under Section 7701(a)(30) of the Code.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6" w:name="page157"/>
    <w:bookmarkEnd w:id="156"/>
    <w:p>
      <w:pPr>
        <w:jc w:val="both"/>
        <w:ind w:firstLine="15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88" w:lineRule="exact"/>
        <w:rPr>
          <w:sz w:val="20"/>
          <w:szCs w:val="20"/>
          <w:color w:val="auto"/>
        </w:rPr>
      </w:pPr>
    </w:p>
    <w:p>
      <w:pPr>
        <w:jc w:val="both"/>
        <w:ind w:firstLine="15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jc w:val="both"/>
        <w:ind w:firstLine="152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166" w:lineRule="exact"/>
        <w:rPr>
          <w:sz w:val="20"/>
          <w:szCs w:val="20"/>
          <w:color w:val="auto"/>
        </w:rPr>
      </w:pPr>
    </w:p>
    <w:p>
      <w:pPr>
        <w:jc w:val="both"/>
        <w:ind w:firstLine="152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83"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modified and supplemented and in effect from time to time.</w:t>
      </w:r>
    </w:p>
    <w:p>
      <w:pPr>
        <w:spacing w:after="0" w:line="187" w:lineRule="exact"/>
        <w:rPr>
          <w:sz w:val="20"/>
          <w:szCs w:val="20"/>
          <w:color w:val="auto"/>
        </w:rPr>
      </w:pPr>
    </w:p>
    <w:p>
      <w:pPr>
        <w:jc w:val="both"/>
        <w:ind w:firstLine="152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Assumption Agreement</w:t>
      </w:r>
      <w:r>
        <w:rPr>
          <w:rFonts w:ascii="Arial" w:cs="Arial" w:eastAsia="Arial" w:hAnsi="Arial"/>
          <w:sz w:val="16"/>
          <w:szCs w:val="16"/>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16"/>
          <w:szCs w:val="16"/>
          <w:u w:val="single" w:color="auto"/>
          <w:color w:val="auto"/>
        </w:rPr>
        <w:t>Section 5.08</w:t>
      </w:r>
      <w:r>
        <w:rPr>
          <w:rFonts w:ascii="Arial" w:cs="Arial" w:eastAsia="Arial" w:hAnsi="Arial"/>
          <w:sz w:val="16"/>
          <w:szCs w:val="16"/>
          <w:color w:val="auto"/>
        </w:rPr>
        <w:t>).</w:t>
      </w:r>
    </w:p>
    <w:p>
      <w:pPr>
        <w:spacing w:after="0" w:line="147"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protection agreement, foreign currency exchange protection agreement, commodity price protection agreement or other interest or currency exchange rate or commodity price hedging arrangement.</w:t>
      </w:r>
    </w:p>
    <w:p>
      <w:pPr>
        <w:spacing w:after="0" w:line="170" w:lineRule="exact"/>
        <w:rPr>
          <w:sz w:val="20"/>
          <w:szCs w:val="20"/>
          <w:color w:val="auto"/>
        </w:rPr>
      </w:pPr>
    </w:p>
    <w:p>
      <w:pPr>
        <w:jc w:val="both"/>
        <w:ind w:firstLine="152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Subsidiaries</w:t>
      </w:r>
      <w:r>
        <w:rPr>
          <w:rFonts w:ascii="Arial" w:cs="Arial" w:eastAsia="Arial" w:hAnsi="Arial"/>
          <w:sz w:val="18"/>
          <w:szCs w:val="18"/>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w:t>
      </w:r>
      <w:r>
        <w:rPr>
          <w:rFonts w:ascii="Arial" w:cs="Arial" w:eastAsia="Arial" w:hAnsi="Arial"/>
          <w:sz w:val="18"/>
          <w:szCs w:val="18"/>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8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7" w:name="page158"/>
    <w:bookmarkEnd w:id="157"/>
    <w:p>
      <w:pPr>
        <w:jc w:val="both"/>
        <w:ind w:firstLine="152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w:t>
      </w:r>
    </w:p>
    <w:p>
      <w:pPr>
        <w:spacing w:after="0" w:line="5" w:lineRule="exact"/>
        <w:rPr>
          <w:sz w:val="20"/>
          <w:szCs w:val="20"/>
          <w:color w:val="auto"/>
        </w:rPr>
      </w:pPr>
    </w:p>
    <w:p>
      <w:pPr>
        <w:jc w:val="both"/>
        <w:ind w:firstLine="8"/>
        <w:spacing w:after="0" w:line="281" w:lineRule="auto"/>
        <w:tabs>
          <w:tab w:leader="none" w:pos="2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w:t>
      </w:r>
    </w:p>
    <w:p>
      <w:pPr>
        <w:spacing w:after="0" w:line="3" w:lineRule="exact"/>
        <w:rPr>
          <w:rFonts w:ascii="Arial" w:cs="Arial" w:eastAsia="Arial" w:hAnsi="Arial"/>
          <w:sz w:val="16"/>
          <w:szCs w:val="16"/>
          <w:color w:val="auto"/>
        </w:rPr>
      </w:pPr>
    </w:p>
    <w:p>
      <w:pPr>
        <w:jc w:val="both"/>
        <w:ind w:firstLine="8"/>
        <w:spacing w:after="0" w:line="255" w:lineRule="auto"/>
        <w:tabs>
          <w:tab w:leader="none" w:pos="2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90" w:lineRule="exact"/>
        <w:rPr>
          <w:sz w:val="20"/>
          <w:szCs w:val="20"/>
          <w:color w:val="auto"/>
        </w:rPr>
      </w:pPr>
    </w:p>
    <w:p>
      <w:pPr>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 imposed on or with respect to any payment made by or on account of any obligation of the Borrower under this Agreement.</w:t>
      </w:r>
    </w:p>
    <w:p>
      <w:pPr>
        <w:spacing w:after="0" w:line="170" w:lineRule="exact"/>
        <w:rPr>
          <w:sz w:val="20"/>
          <w:szCs w:val="20"/>
          <w:color w:val="auto"/>
        </w:rPr>
      </w:pPr>
    </w:p>
    <w:p>
      <w:pPr>
        <w:ind w:firstLine="152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w:t>
      </w:r>
      <w:r>
        <w:rPr>
          <w:rFonts w:ascii="Arial" w:cs="Arial" w:eastAsia="Arial" w:hAnsi="Arial"/>
          <w:sz w:val="16"/>
          <w:szCs w:val="16"/>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w:t>
      </w:r>
    </w:p>
    <w:p>
      <w:pPr>
        <w:ind w:right="20" w:firstLine="8"/>
        <w:spacing w:after="0" w:line="261" w:lineRule="auto"/>
        <w:tabs>
          <w:tab w:leader="none" w:pos="2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is not connected with the Borrower or of its Subsidiaries or Affiliates (including its investment advisor or any Affiliate thereof) as an officer, employee, promoter, underwriter, trustee, partner, director or Person performing similar functions.</w:t>
      </w:r>
    </w:p>
    <w:p>
      <w:pPr>
        <w:spacing w:after="0" w:line="184"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Classification Group</w:t>
      </w:r>
      <w:r>
        <w:rPr>
          <w:rFonts w:ascii="Arial" w:cs="Arial" w:eastAsia="Arial" w:hAnsi="Arial"/>
          <w:sz w:val="18"/>
          <w:szCs w:val="18"/>
          <w:color w:val="auto"/>
        </w:rPr>
        <w:t xml:space="preserve">” means (a) any of the classification groups set forth in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Borrower to convert or continue a Syndicated Borrowing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211"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87" w:lineRule="exact"/>
        <w:rPr>
          <w:sz w:val="20"/>
          <w:szCs w:val="20"/>
          <w:color w:val="auto"/>
        </w:rPr>
      </w:pPr>
    </w:p>
    <w:p>
      <w:pPr>
        <w:jc w:val="both"/>
        <w:ind w:firstLine="152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for any Eurocurrency Loan or Borrowing, the period commencing on the date of such Loan or Borrowing and ending on the numerically corresponding day in the calendar month that is one, two, three or six months thereafter or, with respect to such portion of any Eurocurrency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8" w:name="page159"/>
    <w:bookmarkEnd w:id="158"/>
    <w:p>
      <w:pPr>
        <w:jc w:val="both"/>
        <w:ind w:firstLine="15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from time to time.</w:t>
      </w:r>
    </w:p>
    <w:p>
      <w:pPr>
        <w:spacing w:after="0" w:line="225" w:lineRule="exact"/>
        <w:rPr>
          <w:sz w:val="20"/>
          <w:szCs w:val="20"/>
          <w:color w:val="auto"/>
        </w:rPr>
      </w:pPr>
    </w:p>
    <w:p>
      <w:pPr>
        <w:jc w:val="both"/>
        <w:ind w:firstLine="152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Policies</w:t>
      </w:r>
      <w:r>
        <w:rPr>
          <w:rFonts w:ascii="Arial" w:cs="Arial" w:eastAsia="Arial" w:hAnsi="Arial"/>
          <w:sz w:val="17"/>
          <w:szCs w:val="17"/>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4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SunTrust, JPMorgan Chase Bank, N.A., and any other Issuing Bank designated pursuant to </w:t>
      </w:r>
      <w:r>
        <w:rPr>
          <w:rFonts w:ascii="Arial" w:cs="Arial" w:eastAsia="Arial" w:hAnsi="Arial"/>
          <w:sz w:val="18"/>
          <w:szCs w:val="18"/>
          <w:u w:val="single" w:color="auto"/>
          <w:color w:val="auto"/>
        </w:rPr>
        <w:t>Section 2.05(l)</w:t>
      </w:r>
      <w:r>
        <w:rPr>
          <w:rFonts w:ascii="Arial" w:cs="Arial" w:eastAsia="Arial" w:hAnsi="Arial"/>
          <w:sz w:val="18"/>
          <w:szCs w:val="18"/>
          <w:color w:val="auto"/>
        </w:rPr>
        <w:t xml:space="preserve">, in their capacity as the issuers of Letters of Credit hereunder, and their respective successors in such capacity as provided in </w:t>
      </w:r>
      <w:r>
        <w:rPr>
          <w:rFonts w:ascii="Arial" w:cs="Arial" w:eastAsia="Arial" w:hAnsi="Arial"/>
          <w:sz w:val="18"/>
          <w:szCs w:val="18"/>
          <w:u w:val="single" w:color="auto"/>
          <w:color w:val="auto"/>
        </w:rPr>
        <w:t>Section 2.05(j)</w:t>
      </w:r>
      <w:r>
        <w:rPr>
          <w:rFonts w:ascii="Arial" w:cs="Arial" w:eastAsia="Arial" w:hAnsi="Arial"/>
          <w:sz w:val="18"/>
          <w:szCs w:val="18"/>
          <w:color w:val="auto"/>
        </w:rPr>
        <w:t>. In the case of any Letter of Credit to be issued in an Agreed Foreign Currency, SunTrust and JPMorgan Chase Bank, N.A., respectively, may designate any of their respective affiliates as the “Issuing Bank” for purposes of such Letter of Credit.</w:t>
      </w:r>
    </w:p>
    <w:p>
      <w:pPr>
        <w:spacing w:after="0" w:line="1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any Issuing Bank pursuant to a Letter of Credit.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Dollar LC Exposure and the Multicurrency LC Exposure.</w:t>
      </w:r>
    </w:p>
    <w:p>
      <w:pPr>
        <w:spacing w:after="0" w:line="225"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collectively, the Dollar Lenders and the Multicurrency Lenders. Unless the context otherwise requires, the term “Lenders” includes each Swingline Lender.</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2.05(k)</w:t>
      </w:r>
      <w:r>
        <w:rPr>
          <w:rFonts w:ascii="Arial" w:cs="Arial" w:eastAsia="Arial" w:hAnsi="Arial"/>
          <w:sz w:val="18"/>
          <w:szCs w:val="18"/>
          <w:color w:val="auto"/>
        </w:rPr>
        <w:t>.</w:t>
      </w:r>
    </w:p>
    <w:p>
      <w:pPr>
        <w:spacing w:after="0" w:line="225"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Documents</w:t>
      </w:r>
      <w:r>
        <w:rPr>
          <w:rFonts w:ascii="Arial" w:cs="Arial" w:eastAsia="Arial" w:hAnsi="Arial"/>
          <w:sz w:val="18"/>
          <w:szCs w:val="18"/>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87"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Quoted Currency</w:t>
      </w:r>
      <w:r>
        <w:rPr>
          <w:rFonts w:ascii="Arial" w:cs="Arial" w:eastAsia="Arial" w:hAnsi="Arial"/>
          <w:sz w:val="18"/>
          <w:szCs w:val="18"/>
          <w:color w:val="auto"/>
        </w:rPr>
        <w:t>” means each of the following currencies: Dollars; Euro; English Pounds Sterling; Japanese Yen; and Swiss Franc; in each case as long as there is a published LIBO rate with respect thereto.</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for any Interest Period:</w:t>
      </w:r>
    </w:p>
    <w:p>
      <w:pPr>
        <w:spacing w:after="0" w:line="225" w:lineRule="exact"/>
        <w:rPr>
          <w:sz w:val="20"/>
          <w:szCs w:val="20"/>
          <w:color w:val="auto"/>
        </w:rPr>
      </w:pPr>
    </w:p>
    <w:p>
      <w:pPr>
        <w:jc w:val="both"/>
        <w:ind w:firstLine="1529"/>
        <w:spacing w:after="0" w:line="269" w:lineRule="auto"/>
        <w:tabs>
          <w:tab w:leader="none" w:pos="179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the case of Eurocurrency Borrowings denominated in a LIBO Quoted Currency, the ICE Benchmark Administration Limited London interbank offered rate per annum for deposits in the relevant Currency for a period equal to the Interest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Business Days prior to the first day of the Interest Period (or, solely with respect to Eurocurrency Borrowings in Pounds Sterling, on the first day of the Interest Period); provided that if the Administrative Agent determines that the relevant foregoing sources are unavailable for the relevant Interest Period, LIBO Rate shall mean for any LIBO Quoted Currency,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 (2) business days’ preceding the first day of such Interest Period (or, solely with respect to Eurocurrency Borrowings denominated in Pounds Sterling, on the first day of such Interest Period) in the London interbank market for the relevant Currency as of 11:00 a.m. for delivery on the first day of such Interest Period, for the number of days comprised therein and in an amount comparable to the amount of the Administrative Agent’s portion of the relevant Eurocurrency Borrowing;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14</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59" w:name="page160"/>
    <w:bookmarkEnd w:id="159"/>
    <w:p>
      <w:pPr>
        <w:ind w:left="1780" w:hanging="251"/>
        <w:spacing w:after="0"/>
        <w:tabs>
          <w:tab w:leader="none" w:pos="1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Canadian Dollars, the CDOR Rate per annum;</w:t>
      </w:r>
    </w:p>
    <w:p>
      <w:pPr>
        <w:spacing w:after="0" w:line="225" w:lineRule="exact"/>
        <w:rPr>
          <w:rFonts w:ascii="Arial" w:cs="Arial" w:eastAsia="Arial" w:hAnsi="Arial"/>
          <w:sz w:val="18"/>
          <w:szCs w:val="18"/>
          <w:color w:val="auto"/>
        </w:rPr>
      </w:pPr>
    </w:p>
    <w:p>
      <w:pPr>
        <w:jc w:val="both"/>
        <w:ind w:firstLine="1529"/>
        <w:spacing w:after="0" w:line="257" w:lineRule="auto"/>
        <w:tabs>
          <w:tab w:leader="none" w:pos="180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Business Days prior to the first day of the Interest Period (or if such day is not a Business Day, then on the immediately preceding Business Day) with a term equivalent to such Interest Period;</w:t>
      </w:r>
    </w:p>
    <w:p>
      <w:pPr>
        <w:spacing w:after="0" w:line="188" w:lineRule="exact"/>
        <w:rPr>
          <w:rFonts w:ascii="Arial" w:cs="Arial" w:eastAsia="Arial" w:hAnsi="Arial"/>
          <w:sz w:val="18"/>
          <w:szCs w:val="18"/>
          <w:color w:val="auto"/>
        </w:rPr>
      </w:pPr>
    </w:p>
    <w:p>
      <w:pPr>
        <w:jc w:val="both"/>
        <w:ind w:firstLine="1529"/>
        <w:spacing w:after="0" w:line="257" w:lineRule="auto"/>
        <w:tabs>
          <w:tab w:leader="none" w:pos="178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New Zealand Dollars, the rate per annum equal to the Bank Bill Reference Bid Rate or a successor thereto approved by the Administrative Agent (“BKBM”) as published by Reuters (or such other page or commercially available source providing BKBM (Bid) quotations as may be designated by the Administrative Agent from to time time) at or about 10:45 a.m. (Auckland, New Zealand time) on the day that is two Business Days prior to the first day of the Interest Period (or if such day is not a Business Day, then on the immediately preceding Business Day) with a term equivalent to such Interest Period;</w:t>
      </w:r>
    </w:p>
    <w:p>
      <w:pPr>
        <w:spacing w:after="0" w:line="188" w:lineRule="exact"/>
        <w:rPr>
          <w:rFonts w:ascii="Arial" w:cs="Arial" w:eastAsia="Arial" w:hAnsi="Arial"/>
          <w:sz w:val="18"/>
          <w:szCs w:val="18"/>
          <w:color w:val="auto"/>
        </w:rPr>
      </w:pPr>
    </w:p>
    <w:p>
      <w:pPr>
        <w:jc w:val="both"/>
        <w:ind w:firstLine="1529"/>
        <w:spacing w:after="0" w:line="257" w:lineRule="auto"/>
        <w:tabs>
          <w:tab w:leader="none" w:pos="179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Swedish Krona, the rate per annum equal to the Stockholm Interbank Offered Rate or a successor thereto approved by the Administrative Agent (“STIBOR”) as published by Reuters (or such other page or commercially available source providing STIBOR quotations as may be designated by the Administrative Agent from time to time) at or about 11:00 a.m. (Stockholm, Sweden time) on the day that is two Business Days prior to the first day of the Interest Period (or if such day is not a Business Day, then on the immediately preceding Business Day) with a term equivalent to such Interest Period; and</w:t>
      </w:r>
    </w:p>
    <w:p>
      <w:pPr>
        <w:spacing w:after="0" w:line="188" w:lineRule="exact"/>
        <w:rPr>
          <w:rFonts w:ascii="Arial" w:cs="Arial" w:eastAsia="Arial" w:hAnsi="Arial"/>
          <w:sz w:val="18"/>
          <w:szCs w:val="18"/>
          <w:color w:val="auto"/>
        </w:rPr>
      </w:pPr>
    </w:p>
    <w:p>
      <w:pPr>
        <w:ind w:firstLine="1529"/>
        <w:spacing w:after="0" w:line="277" w:lineRule="auto"/>
        <w:tabs>
          <w:tab w:leader="none" w:pos="17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all Non-LIBO Quoted Currencies (other than Canadian Dollars, Australian Dollars, New Zealand Dollars or Swedish Krona), the calculation of the applicable reference rate shall be determined in accordance with market practice;</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if such rate is less than zero, such rate shall be deemed to be zero for purposes of this Agreement.</w:t>
      </w:r>
    </w:p>
    <w:p>
      <w:pPr>
        <w:spacing w:after="0" w:line="225" w:lineRule="exact"/>
        <w:rPr>
          <w:sz w:val="20"/>
          <w:szCs w:val="20"/>
          <w:color w:val="auto"/>
        </w:rPr>
      </w:pPr>
    </w:p>
    <w:p>
      <w:pPr>
        <w:jc w:val="both"/>
        <w:ind w:firstLine="152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58"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Letter of Credit Documents, the Security Documents and the First Amendment to this Agreement dated as of June 3, 2014, the Second Amendment to this Agreement dated as of June 27, 2014, the Third Amendment to this Agreement dated as of October 17, 2014, the Fourth Amendment to this Agreement dated as of October 2, 2015 and the Fifth Amendment to this Agreement dated as of December 22, 2016.</w:t>
      </w:r>
    </w:p>
    <w:p>
      <w:pPr>
        <w:spacing w:after="0" w:line="1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within the meaning of Regulations T, U and X.</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3.04(b)</w:t>
      </w:r>
      <w:r>
        <w:rPr>
          <w:rFonts w:ascii="Arial" w:cs="Arial" w:eastAsia="Arial" w:hAnsi="Arial"/>
          <w:sz w:val="18"/>
          <w:szCs w:val="18"/>
          <w:color w:val="auto"/>
        </w:rPr>
        <w:t>.</w:t>
      </w:r>
    </w:p>
    <w:p>
      <w:pPr>
        <w:spacing w:after="0" w:line="225" w:lineRule="exact"/>
        <w:rPr>
          <w:sz w:val="20"/>
          <w:szCs w:val="20"/>
          <w:color w:val="auto"/>
        </w:rPr>
      </w:pPr>
    </w:p>
    <w:p>
      <w:pPr>
        <w:jc w:val="both"/>
        <w:ind w:firstLine="152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71"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 Indebtedness (other than the Loans, Letters of Credit and Hedging Agreements), of any one or more of the Borrower and its Subsidiaries in an aggregate principal amount exceeding $25,000,000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$25,000,000.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0" w:name="page161"/>
    <w:bookmarkEnd w:id="160"/>
    <w:p>
      <w:pPr>
        <w:jc w:val="both"/>
        <w:ind w:right="20" w:firstLine="152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Collateral Amount</w:t>
      </w:r>
      <w:r>
        <w:rPr>
          <w:rFonts w:ascii="Arial" w:cs="Arial" w:eastAsia="Arial" w:hAnsi="Arial"/>
          <w:sz w:val="17"/>
          <w:szCs w:val="17"/>
          <w:color w:val="auto"/>
        </w:rPr>
        <w:t>” means, at any time, with respect to Cash Collateral consisting of Cash or deposit account balances, an amount equal to 100% of the Fronting Exposure of each Issuing Bank with respect to Letters of Credit issued and outstanding at such time.</w:t>
      </w:r>
    </w:p>
    <w:p>
      <w:pPr>
        <w:spacing w:after="0" w:line="14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thereto.</w:t>
      </w:r>
    </w:p>
    <w:p>
      <w:pPr>
        <w:spacing w:after="0" w:line="225" w:lineRule="exact"/>
        <w:rPr>
          <w:sz w:val="20"/>
          <w:szCs w:val="20"/>
          <w:color w:val="auto"/>
        </w:rPr>
      </w:pPr>
    </w:p>
    <w:p>
      <w:pPr>
        <w:jc w:val="both"/>
        <w:ind w:firstLine="152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Commitment</w:t>
      </w:r>
      <w:r>
        <w:rPr>
          <w:rFonts w:ascii="Arial" w:cs="Arial" w:eastAsia="Arial" w:hAnsi="Arial"/>
          <w:sz w:val="17"/>
          <w:szCs w:val="17"/>
          <w:color w:val="auto"/>
        </w:rPr>
        <w:t xml:space="preserve">” means, with respect to each Multicurrency Lender during such Multicurrency Lender’s Availability Period,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from time to time pursuant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(b) reduced or increased from time to time pursuant to assignments by or to such Lender pursuant to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The amount of each Lender’s Multicurrency Commitment as of the Fifth Amendment Effective Date is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or in the Assignment and Assumption pursuant to which such Lender shall have assumed its Multicurrency commitment, as applicable. The aggregate amount of the Lenders’ Multicurrency Commitments as of the Fifth Amendment Effective Date is $855,000,000.</w:t>
      </w:r>
    </w:p>
    <w:p>
      <w:pPr>
        <w:spacing w:after="0" w:line="179"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Exposure</w:t>
      </w:r>
      <w:r>
        <w:rPr>
          <w:rFonts w:ascii="Arial" w:cs="Arial" w:eastAsia="Arial" w:hAnsi="Arial"/>
          <w:sz w:val="18"/>
          <w:szCs w:val="18"/>
          <w:color w:val="auto"/>
        </w:rPr>
        <w:t xml:space="preserve">” means, at any time, the sum of (a) the aggregate undrawn amount of all outstanding Multicurrency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87" w:lineRule="exact"/>
        <w:rPr>
          <w:sz w:val="20"/>
          <w:szCs w:val="20"/>
          <w:color w:val="auto"/>
        </w:rPr>
      </w:pPr>
    </w:p>
    <w:p>
      <w:pPr>
        <w:jc w:val="both"/>
        <w:ind w:firstLine="152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Lender</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4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means Letters of Credit that utilize the Multicurrency Commitments.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w:t>
      </w:r>
      <w:r>
        <w:rPr>
          <w:rFonts w:ascii="Arial" w:cs="Arial" w:eastAsia="Arial" w:hAnsi="Arial"/>
          <w:sz w:val="18"/>
          <w:szCs w:val="18"/>
          <w:color w:val="auto"/>
        </w:rPr>
        <w:t>” means a Loan denominated in Dollars or an Agreed Foreign Currency.</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National Currency</w:t>
      </w:r>
      <w:r>
        <w:rPr>
          <w:rFonts w:ascii="Arial" w:cs="Arial" w:eastAsia="Arial" w:hAnsi="Arial"/>
          <w:sz w:val="18"/>
          <w:szCs w:val="18"/>
          <w:color w:val="auto"/>
        </w:rPr>
        <w:t>” means the currency, other than the Euro, of a Participating Member State.</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225" w:lineRule="exact"/>
        <w:rPr>
          <w:sz w:val="20"/>
          <w:szCs w:val="20"/>
          <w:color w:val="auto"/>
        </w:rPr>
      </w:pPr>
    </w:p>
    <w:p>
      <w:pPr>
        <w:jc w:val="both"/>
        <w:ind w:firstLine="1529"/>
        <w:spacing w:after="0" w:line="287" w:lineRule="auto"/>
        <w:tabs>
          <w:tab w:leader="none" w:pos="177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72" w:lineRule="exact"/>
        <w:rPr>
          <w:rFonts w:ascii="Arial" w:cs="Arial" w:eastAsia="Arial" w:hAnsi="Arial"/>
          <w:sz w:val="16"/>
          <w:szCs w:val="16"/>
          <w:color w:val="auto"/>
        </w:rPr>
      </w:pPr>
    </w:p>
    <w:p>
      <w:pPr>
        <w:jc w:val="both"/>
        <w:ind w:firstLine="1529"/>
        <w:spacing w:after="0" w:line="255" w:lineRule="auto"/>
        <w:tabs>
          <w:tab w:leader="none" w:pos="18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8"/>
          <w:szCs w:val="18"/>
          <w:u w:val="single" w:color="auto"/>
          <w:color w:val="auto"/>
        </w:rPr>
        <w:t>Section 2.10(d)</w:t>
      </w:r>
      <w:r>
        <w:rPr>
          <w:rFonts w:ascii="Arial" w:cs="Arial" w:eastAsia="Arial" w:hAnsi="Arial"/>
          <w:sz w:val="18"/>
          <w:szCs w:val="18"/>
          <w:color w:val="auto"/>
        </w:rPr>
        <w:t>), 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16</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61" w:name="page162"/>
    <w:bookmarkEnd w:id="161"/>
    <w:p>
      <w:pPr>
        <w:jc w:val="both"/>
        <w:spacing w:after="0" w:line="312" w:lineRule="auto"/>
        <w:rPr>
          <w:sz w:val="20"/>
          <w:szCs w:val="20"/>
          <w:color w:val="auto"/>
        </w:rPr>
      </w:pPr>
      <w:r>
        <w:rPr>
          <w:rFonts w:ascii="Arial" w:cs="Arial" w:eastAsia="Arial" w:hAnsi="Arial"/>
          <w:sz w:val="16"/>
          <w:szCs w:val="16"/>
          <w:color w:val="auto"/>
        </w:rPr>
        <w:t xml:space="preserve">amount equal to (i) the sum of the cash and Cash Equivalents received in connection with such transaction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(1) reasonable out-of-pocket fees, costs and expenses, incurred by the Borrower or such Subsidiary in connection therewith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any reasonable costs, fees, commissions, premiums, expenses, or underwriting discounts or commissions incurred by the Borrower or any of its Subsidiaries in connection with such sale or issuance.</w:t>
      </w:r>
    </w:p>
    <w:p>
      <w:pPr>
        <w:spacing w:after="0" w:line="14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 Lender that is not a Defaulting Lender at such time.</w:t>
      </w:r>
    </w:p>
    <w:p>
      <w:pPr>
        <w:spacing w:after="0" w:line="225"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Non-Extended Availability Period</w:t>
      </w:r>
      <w:r>
        <w:rPr>
          <w:rFonts w:ascii="Arial" w:cs="Arial" w:eastAsia="Arial" w:hAnsi="Arial"/>
          <w:sz w:val="18"/>
          <w:szCs w:val="18"/>
          <w:color w:val="auto"/>
        </w:rPr>
        <w:t>” means, with respect to any Non-Extending Lender, the period from and including the Effective Date to but excluding the earlier of the Non-Extended Commitment Termination Date and the date of termination of the Commitments.</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Non-Extended Commitment Termination Date</w:t>
      </w:r>
      <w:r>
        <w:rPr>
          <w:rFonts w:ascii="Arial" w:cs="Arial" w:eastAsia="Arial" w:hAnsi="Arial"/>
          <w:sz w:val="18"/>
          <w:szCs w:val="18"/>
          <w:color w:val="auto"/>
        </w:rPr>
        <w:t>” means, with respect to each Non-Extending Lender, October 2, 2019.</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Non-Extended Final Maturity Date</w:t>
      </w:r>
      <w:r>
        <w:rPr>
          <w:rFonts w:ascii="Arial" w:cs="Arial" w:eastAsia="Arial" w:hAnsi="Arial"/>
          <w:sz w:val="18"/>
          <w:szCs w:val="18"/>
          <w:color w:val="auto"/>
        </w:rPr>
        <w:t>” means, with respect to each Non-Extending Lender, October 2, 2020.</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Non-Extended Loans</w:t>
      </w:r>
      <w:r>
        <w:rPr>
          <w:rFonts w:ascii="Arial" w:cs="Arial" w:eastAsia="Arial" w:hAnsi="Arial"/>
          <w:sz w:val="16"/>
          <w:szCs w:val="16"/>
          <w:color w:val="auto"/>
        </w:rPr>
        <w:t>” means Loans or Borrowings of any Non-Extending Lender maturing on the Non-Extended Final Maturity Date.</w:t>
      </w:r>
    </w:p>
    <w:p>
      <w:pPr>
        <w:spacing w:after="0" w:line="24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xml:space="preserve">” means each Lender designated as a “Non-Extending Lender” on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Non-LIBO Quoted Currency</w:t>
      </w:r>
      <w:r>
        <w:rPr>
          <w:rFonts w:ascii="Arial" w:cs="Arial" w:eastAsia="Arial" w:hAnsi="Arial"/>
          <w:sz w:val="18"/>
          <w:szCs w:val="18"/>
          <w:color w:val="auto"/>
        </w:rPr>
        <w:t>” means any currency other than a LIBO Quoted Currency.</w:t>
      </w:r>
    </w:p>
    <w:p>
      <w:pPr>
        <w:spacing w:after="0" w:line="225"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means material non-public information (within the meaning of United States federal, state or other applicable securities laws) with respect to Borrower or its Affiliates or their Securities.</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collectively, the Borrower and the Subsidiary Guarantors.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Effective Date</w:t>
      </w:r>
      <w:r>
        <w:rPr>
          <w:rFonts w:ascii="Arial" w:cs="Arial" w:eastAsia="Arial" w:hAnsi="Arial"/>
          <w:sz w:val="18"/>
          <w:szCs w:val="18"/>
          <w:color w:val="auto"/>
        </w:rPr>
        <w:t>” means July 3, 2013.</w:t>
      </w:r>
    </w:p>
    <w:p>
      <w:pPr>
        <w:spacing w:after="0" w:line="225"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Covered Indebtedness</w:t>
      </w:r>
      <w:r>
        <w:rPr>
          <w:rFonts w:ascii="Arial" w:cs="Arial" w:eastAsia="Arial" w:hAnsi="Arial"/>
          <w:sz w:val="18"/>
          <w:szCs w:val="18"/>
          <w:color w:val="auto"/>
        </w:rPr>
        <w:t xml:space="preserve">” 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Arial" w:cs="Arial" w:eastAsia="Arial" w:hAnsi="Arial"/>
          <w:sz w:val="18"/>
          <w:szCs w:val="18"/>
          <w:u w:val="single" w:color="auto"/>
          <w:color w:val="auto"/>
        </w:rPr>
        <w:t>Section 6.02(e)</w:t>
      </w:r>
      <w:r>
        <w:rPr>
          <w:rFonts w:ascii="Arial" w:cs="Arial" w:eastAsia="Arial" w:hAnsi="Arial"/>
          <w:sz w:val="18"/>
          <w:szCs w:val="18"/>
          <w:color w:val="auto"/>
        </w:rPr>
        <w:t>.</w:t>
      </w:r>
    </w:p>
    <w:p>
      <w:pPr>
        <w:spacing w:after="0" w:line="181" w:lineRule="exact"/>
        <w:rPr>
          <w:sz w:val="20"/>
          <w:szCs w:val="20"/>
          <w:color w:val="auto"/>
        </w:rPr>
      </w:pPr>
    </w:p>
    <w:p>
      <w:pPr>
        <w:jc w:val="both"/>
        <w:ind w:firstLine="152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Permitted Indebtedness</w:t>
      </w:r>
      <w:r>
        <w:rPr>
          <w:rFonts w:ascii="Arial" w:cs="Arial" w:eastAsia="Arial" w:hAnsi="Arial"/>
          <w:sz w:val="16"/>
          <w:szCs w:val="16"/>
          <w:color w:val="auto"/>
        </w:rPr>
        <w:t>” means (a) accrued expenses and current trade accounts payable incurred in the ordinary course of the Borrower’s business which are not overdue for a period of more than 90 days or which are being contested in good faith by appropriate proceedings,</w:t>
      </w:r>
    </w:p>
    <w:p>
      <w:pPr>
        <w:jc w:val="both"/>
        <w:ind w:firstLine="8"/>
        <w:spacing w:after="0" w:line="281" w:lineRule="auto"/>
        <w:tabs>
          <w:tab w:leader="none" w:pos="26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w:t>
      </w:r>
    </w:p>
    <w:p>
      <w:pPr>
        <w:spacing w:after="0" w:line="2" w:lineRule="exact"/>
        <w:rPr>
          <w:rFonts w:ascii="Arial" w:cs="Arial" w:eastAsia="Arial" w:hAnsi="Arial"/>
          <w:sz w:val="16"/>
          <w:szCs w:val="16"/>
          <w:color w:val="auto"/>
        </w:rPr>
      </w:pPr>
    </w:p>
    <w:p>
      <w:pPr>
        <w:ind w:firstLine="8"/>
        <w:spacing w:after="0" w:line="261" w:lineRule="auto"/>
        <w:tabs>
          <w:tab w:leader="none" w:pos="25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18"/>
          <w:szCs w:val="18"/>
          <w:u w:val="single" w:color="auto"/>
          <w:color w:val="auto"/>
        </w:rPr>
        <w:t>clause (l)</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84" w:lineRule="exact"/>
        <w:rPr>
          <w:sz w:val="20"/>
          <w:szCs w:val="20"/>
          <w:color w:val="auto"/>
        </w:rPr>
      </w:pPr>
    </w:p>
    <w:p>
      <w:pPr>
        <w:jc w:val="both"/>
        <w:ind w:firstLine="152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hereof (unless such assignment is made pursuant to </w:t>
      </w:r>
      <w:r>
        <w:rPr>
          <w:rFonts w:ascii="Arial" w:cs="Arial" w:eastAsia="Arial" w:hAnsi="Arial"/>
          <w:sz w:val="17"/>
          <w:szCs w:val="17"/>
          <w:u w:val="single" w:color="auto"/>
          <w:color w:val="auto"/>
        </w:rPr>
        <w:t>Section 2.18(b)</w:t>
      </w:r>
      <w:r>
        <w:rPr>
          <w:rFonts w:ascii="Arial" w:cs="Arial" w:eastAsia="Arial" w:hAnsi="Arial"/>
          <w:sz w:val="17"/>
          <w:szCs w:val="17"/>
          <w:color w:val="auto"/>
        </w:rPr>
        <w:t>)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7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17</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2" w:name="page163"/>
    <w:bookmarkEnd w:id="162"/>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Community that adopts or has adopted the Euro as its lawful currency in accordance with the legislation of the European Union relating to the European Monetary Union.</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Equity Interests</w:t>
      </w:r>
      <w:r>
        <w:rPr>
          <w:rFonts w:ascii="Arial" w:cs="Arial" w:eastAsia="Arial" w:hAnsi="Arial"/>
          <w:sz w:val="18"/>
          <w:szCs w:val="18"/>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81" w:lineRule="exact"/>
        <w:rPr>
          <w:sz w:val="20"/>
          <w:szCs w:val="20"/>
          <w:color w:val="auto"/>
        </w:rPr>
      </w:pPr>
    </w:p>
    <w:p>
      <w:pPr>
        <w:jc w:val="both"/>
        <w:ind w:firstLine="152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w:t>
      </w:r>
    </w:p>
    <w:p>
      <w:pPr>
        <w:jc w:val="both"/>
        <w:ind w:firstLine="8"/>
        <w:spacing w:after="0" w:line="266" w:lineRule="auto"/>
        <w:tabs>
          <w:tab w:leader="none" w:pos="22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Arial" w:cs="Arial" w:eastAsia="Arial" w:hAnsi="Arial"/>
          <w:sz w:val="17"/>
          <w:szCs w:val="17"/>
          <w:u w:val="single" w:color="auto"/>
          <w:color w:val="auto"/>
        </w:rPr>
        <w:t>clause (l)</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spacing w:after="0" w:line="190" w:lineRule="exact"/>
        <w:rPr>
          <w:sz w:val="20"/>
          <w:szCs w:val="20"/>
          <w:color w:val="auto"/>
        </w:rPr>
      </w:pPr>
    </w:p>
    <w:p>
      <w:pPr>
        <w:jc w:val="both"/>
        <w:ind w:firstLine="15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Policy Amendment</w:t>
      </w:r>
      <w:r>
        <w:rPr>
          <w:rFonts w:ascii="Arial" w:cs="Arial" w:eastAsia="Arial" w:hAnsi="Arial"/>
          <w:sz w:val="18"/>
          <w:szCs w:val="18"/>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spacing w:after="0" w:line="188"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SBIC Guarantee</w:t>
      </w:r>
      <w:r>
        <w:rPr>
          <w:rFonts w:ascii="Arial" w:cs="Arial" w:eastAsia="Arial" w:hAnsi="Arial"/>
          <w:sz w:val="18"/>
          <w:szCs w:val="18"/>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Arial" w:cs="Arial" w:eastAsia="Arial" w:hAnsi="Arial"/>
          <w:sz w:val="18"/>
          <w:szCs w:val="18"/>
          <w:u w:val="single" w:color="auto"/>
          <w:color w:val="auto"/>
        </w:rPr>
        <w:t>clause (s)</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 it shall be an Event of Default hereunder if any such event or condition giving rise to such recourse occurs).</w:t>
      </w:r>
    </w:p>
    <w:p>
      <w:pPr>
        <w:spacing w:after="0" w:line="187"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3" w:name="page164"/>
    <w:bookmarkEnd w:id="163"/>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means has the meaning set forth in </w:t>
      </w:r>
      <w:r>
        <w:rPr>
          <w:rFonts w:ascii="Arial" w:cs="Arial" w:eastAsia="Arial" w:hAnsi="Arial"/>
          <w:sz w:val="18"/>
          <w:szCs w:val="18"/>
          <w:u w:val="single" w:color="auto"/>
          <w:color w:val="auto"/>
        </w:rPr>
        <w:t>Section 5.01(i)</w:t>
      </w:r>
      <w:r>
        <w:rPr>
          <w:rFonts w:ascii="Arial" w:cs="Arial" w:eastAsia="Arial" w:hAnsi="Arial"/>
          <w:sz w:val="18"/>
          <w:szCs w:val="18"/>
          <w:color w:val="auto"/>
        </w:rPr>
        <w:t>.</w:t>
      </w:r>
    </w:p>
    <w:p>
      <w:pPr>
        <w:spacing w:after="0" w:line="225" w:lineRule="exact"/>
        <w:rPr>
          <w:sz w:val="20"/>
          <w:szCs w:val="20"/>
          <w:color w:val="auto"/>
        </w:rPr>
      </w:pPr>
    </w:p>
    <w:p>
      <w:pPr>
        <w:jc w:val="both"/>
        <w:ind w:firstLine="152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Portfolio Investment</w:t>
      </w:r>
      <w:r>
        <w:rPr>
          <w:rFonts w:ascii="Arial" w:cs="Arial" w:eastAsia="Arial" w:hAnsi="Arial"/>
          <w:sz w:val="16"/>
          <w:szCs w:val="16"/>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(d) any Investment, which if debt, is an obligation (other than a revolving loan or delayed draw term loan) pursuant to which any future advances or payments to the Obligor may be required to be made by the Borrower; (e) any Investment which is made to a bankrupt entity (other than a debtor-in-possession financing and current pay obligations); and (f) any Investment, Cash or account in which a Financing Subsidiary has an interest.</w:t>
      </w:r>
    </w:p>
    <w:p>
      <w:pPr>
        <w:spacing w:after="0" w:line="16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the rate which is quoted in the print edition of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Money Rates Section.</w:t>
      </w:r>
    </w:p>
    <w:p>
      <w:pPr>
        <w:spacing w:after="0" w:line="225"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Center</w:t>
      </w:r>
      <w:r>
        <w:rPr>
          <w:rFonts w:ascii="Arial" w:cs="Arial" w:eastAsia="Arial" w:hAnsi="Arial"/>
          <w:sz w:val="18"/>
          <w:szCs w:val="18"/>
          <w:color w:val="auto"/>
        </w:rPr>
        <w:t>” means, in the case of any Currency, the principal financial center where such Currency is cleared and settled, as determined by the Administrative Agent.</w:t>
      </w:r>
    </w:p>
    <w:p>
      <w:pPr>
        <w:spacing w:after="0" w:line="170"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means Lenders that do not wish to receive Non-Public Information with respect to the Borrower or any of its Subsidiaries or their Securities.</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Quarterly Dates</w:t>
      </w:r>
      <w:r>
        <w:rPr>
          <w:rFonts w:ascii="Arial" w:cs="Arial" w:eastAsia="Arial" w:hAnsi="Arial"/>
          <w:sz w:val="16"/>
          <w:szCs w:val="16"/>
          <w:color w:val="auto"/>
        </w:rPr>
        <w:t>” means the last Business Day of March, June, September and December in each year, commencing on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Quoted Investments</w:t>
      </w:r>
      <w:r>
        <w:rPr>
          <w:rFonts w:ascii="Arial" w:cs="Arial" w:eastAsia="Arial" w:hAnsi="Arial"/>
          <w:sz w:val="17"/>
          <w:szCs w:val="17"/>
          <w:color w:val="auto"/>
        </w:rPr>
        <w:t xml:space="preserve">” means a Portfolio Investment with a value assigned by the Borrower pursuant to </w:t>
      </w:r>
      <w:r>
        <w:rPr>
          <w:rFonts w:ascii="Arial" w:cs="Arial" w:eastAsia="Arial" w:hAnsi="Arial"/>
          <w:sz w:val="17"/>
          <w:szCs w:val="17"/>
          <w:u w:val="single" w:color="auto"/>
          <w:color w:val="auto"/>
        </w:rPr>
        <w:t>Section 5.12(b)(ii)(A)</w:t>
      </w:r>
      <w:r>
        <w:rPr>
          <w:rFonts w:ascii="Arial" w:cs="Arial" w:eastAsia="Arial" w:hAnsi="Arial"/>
          <w:sz w:val="17"/>
          <w:szCs w:val="17"/>
          <w:color w:val="auto"/>
        </w:rPr>
        <w:t>.</w:t>
      </w:r>
    </w:p>
    <w:p>
      <w:pPr>
        <w:spacing w:after="0" w:line="23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the Registration Statement filed by the Borrower with the Securities and Exchange Commission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14, 2011.</w:t>
      </w:r>
    </w:p>
    <w:p>
      <w:pPr>
        <w:spacing w:after="0" w:line="211"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Regulations D, T, U and X</w:t>
      </w:r>
      <w:r>
        <w:rPr>
          <w:rFonts w:ascii="Arial" w:cs="Arial" w:eastAsia="Arial" w:hAnsi="Arial"/>
          <w:sz w:val="18"/>
          <w:szCs w:val="18"/>
          <w:color w:val="auto"/>
        </w:rPr>
        <w:t>” means, respectively, Regulations D, T, U and X of the Board of Governors of the Federal Reserve System (or any successor), as the same may be modified and supplemented and in effect from time to time.</w:t>
      </w:r>
    </w:p>
    <w:p>
      <w:pPr>
        <w:spacing w:after="0" w:line="170"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directors, officers, employees, agents and advisors of such Person and such Person’s Affiliates.</w:t>
      </w:r>
    </w:p>
    <w:p>
      <w:pPr>
        <w:spacing w:after="0" w:line="166" w:lineRule="exact"/>
        <w:rPr>
          <w:sz w:val="20"/>
          <w:szCs w:val="20"/>
          <w:color w:val="auto"/>
        </w:rPr>
      </w:pPr>
    </w:p>
    <w:p>
      <w:pPr>
        <w:jc w:val="both"/>
        <w:ind w:firstLine="1521"/>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Relevant Available Funds</w:t>
      </w:r>
      <w:r>
        <w:rPr>
          <w:rFonts w:ascii="Arial" w:cs="Arial" w:eastAsia="Arial" w:hAnsi="Arial"/>
          <w:sz w:val="18"/>
          <w:szCs w:val="18"/>
          <w:color w:val="auto"/>
        </w:rPr>
        <w:t>” means the sum (without duplication) of (a) the aggregate undrawn capital commitments of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equity holders to the Borrower,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available to be drawn under any committed facilities, including, for the avoidance of doubt, this Agreement, for which all applicable conditions to availability could be satisfied at such time.</w:t>
      </w:r>
    </w:p>
    <w:p>
      <w:pPr>
        <w:spacing w:after="0" w:line="180" w:lineRule="exact"/>
        <w:rPr>
          <w:sz w:val="20"/>
          <w:szCs w:val="20"/>
          <w:color w:val="auto"/>
        </w:rPr>
      </w:pPr>
    </w:p>
    <w:p>
      <w:pPr>
        <w:jc w:val="both"/>
        <w:ind w:firstLine="152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19</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64" w:name="page165"/>
    <w:bookmarkEnd w:id="164"/>
    <w:p>
      <w:pPr>
        <w:jc w:val="both"/>
        <w:ind w:firstLine="152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 shall constitute a Restricted Payment hereunder).</w:t>
      </w:r>
    </w:p>
    <w:p>
      <w:pPr>
        <w:spacing w:after="0" w:line="193" w:lineRule="exact"/>
        <w:rPr>
          <w:sz w:val="20"/>
          <w:szCs w:val="20"/>
          <w:color w:val="auto"/>
        </w:rPr>
      </w:pPr>
    </w:p>
    <w:p>
      <w:pPr>
        <w:jc w:val="both"/>
        <w:ind w:firstLine="152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 of Capital</w:t>
      </w:r>
      <w:r>
        <w:rPr>
          <w:rFonts w:ascii="Arial" w:cs="Arial" w:eastAsia="Arial" w:hAnsi="Arial"/>
          <w:sz w:val="16"/>
          <w:szCs w:val="16"/>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net of any fees, costs, expenses and taxes payable with respect thereto).</w:t>
      </w:r>
    </w:p>
    <w:p>
      <w:pPr>
        <w:spacing w:after="0" w:line="166"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Dollar Credit Exposure and Revolving Multicurrency Credit Exposure at such time.</w:t>
      </w:r>
    </w:p>
    <w:p>
      <w:pPr>
        <w:spacing w:after="0" w:line="170" w:lineRule="exact"/>
        <w:rPr>
          <w:sz w:val="20"/>
          <w:szCs w:val="20"/>
          <w:color w:val="auto"/>
        </w:rPr>
      </w:pPr>
    </w:p>
    <w:p>
      <w:pPr>
        <w:jc w:val="both"/>
        <w:ind w:firstLine="152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Dollar Credit Exposure</w:t>
      </w:r>
      <w:r>
        <w:rPr>
          <w:rFonts w:ascii="Arial" w:cs="Arial" w:eastAsia="Arial" w:hAnsi="Arial"/>
          <w:sz w:val="17"/>
          <w:szCs w:val="17"/>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47" w:lineRule="exact"/>
        <w:rPr>
          <w:sz w:val="20"/>
          <w:szCs w:val="20"/>
          <w:color w:val="auto"/>
        </w:rPr>
      </w:pPr>
    </w:p>
    <w:p>
      <w:pPr>
        <w:jc w:val="both"/>
        <w:ind w:firstLine="152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Multicurrency Credit Exposure</w:t>
      </w:r>
      <w:r>
        <w:rPr>
          <w:rFonts w:ascii="Arial" w:cs="Arial" w:eastAsia="Arial" w:hAnsi="Arial"/>
          <w:sz w:val="16"/>
          <w:szCs w:val="16"/>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24"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means, as of any date of determination, the result, expressed as a percentage, of the Revolving Credit Exposure on such date divided by the aggregate outstanding Covered Debt Amount on such date.</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RIC</w:t>
      </w:r>
      <w:r>
        <w:rPr>
          <w:rFonts w:ascii="Arial" w:cs="Arial" w:eastAsia="Arial" w:hAnsi="Arial"/>
          <w:sz w:val="18"/>
          <w:szCs w:val="18"/>
          <w:color w:val="auto"/>
        </w:rPr>
        <w:t>” means a person qualifying for treatment as a “regulated investment company” under the Code.</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Ratings Services, a division of The McGraw Hill Companies, Inc., a New York corporation, or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successor thereto.</w:t>
      </w:r>
    </w:p>
    <w:p>
      <w:pPr>
        <w:spacing w:after="0" w:line="211"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which is the subject or target of any Sanctions that broadly prohibit dealings with such country or territory (currently Cuba, Iran, North Korea, Sudan and Syria).</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w:t>
      </w:r>
      <w:r>
        <w:rPr>
          <w:rFonts w:ascii="Arial" w:cs="Arial" w:eastAsia="Arial" w:hAnsi="Arial"/>
          <w:sz w:val="18"/>
          <w:szCs w:val="18"/>
          <w:color w:val="auto"/>
        </w:rPr>
        <w:t>” means the United States Small Business Administration.</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SBIC Equity Commitment</w:t>
      </w:r>
      <w:r>
        <w:rPr>
          <w:rFonts w:ascii="Arial" w:cs="Arial" w:eastAsia="Arial" w:hAnsi="Arial"/>
          <w:sz w:val="17"/>
          <w:szCs w:val="17"/>
          <w:color w:val="auto"/>
        </w:rPr>
        <w:t>” means a commitment by the Borrower to make one or more capital contributions to an SBIC Subsidiary.</w:t>
      </w:r>
    </w:p>
    <w:p>
      <w:pPr>
        <w:spacing w:after="0" w:line="237" w:lineRule="exact"/>
        <w:rPr>
          <w:sz w:val="20"/>
          <w:szCs w:val="20"/>
          <w:color w:val="auto"/>
        </w:rPr>
      </w:pPr>
    </w:p>
    <w:p>
      <w:pPr>
        <w:jc w:val="both"/>
        <w:ind w:firstLine="152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SBIC Subsidiary</w:t>
      </w:r>
      <w:r>
        <w:rPr>
          <w:rFonts w:ascii="Arial" w:cs="Arial" w:eastAsia="Arial" w:hAnsi="Arial"/>
          <w:sz w:val="17"/>
          <w:szCs w:val="17"/>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5" w:name="page166"/>
    <w:bookmarkEnd w:id="165"/>
    <w:p>
      <w:pPr>
        <w:jc w:val="both"/>
        <w:spacing w:after="0" w:line="259" w:lineRule="auto"/>
        <w:rPr>
          <w:sz w:val="20"/>
          <w:szCs w:val="20"/>
          <w:color w:val="auto"/>
        </w:rPr>
      </w:pPr>
      <w:r>
        <w:rPr>
          <w:rFonts w:ascii="Arial" w:cs="Arial" w:eastAsia="Arial" w:hAnsi="Arial"/>
          <w:sz w:val="18"/>
          <w:szCs w:val="18"/>
          <w:color w:val="auto"/>
        </w:rPr>
        <w:t>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87" w:lineRule="exact"/>
        <w:rPr>
          <w:sz w:val="20"/>
          <w:szCs w:val="20"/>
          <w:color w:val="auto"/>
        </w:rPr>
      </w:pPr>
    </w:p>
    <w:p>
      <w:pPr>
        <w:jc w:val="both"/>
        <w:ind w:right="20" w:firstLine="152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Debt Amount</w:t>
      </w:r>
      <w:r>
        <w:rPr>
          <w:rFonts w:ascii="Arial" w:cs="Arial" w:eastAsia="Arial" w:hAnsi="Arial"/>
          <w:sz w:val="17"/>
          <w:szCs w:val="17"/>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147" w:lineRule="exact"/>
        <w:rPr>
          <w:sz w:val="20"/>
          <w:szCs w:val="20"/>
          <w:color w:val="auto"/>
        </w:rPr>
      </w:pPr>
    </w:p>
    <w:p>
      <w:pPr>
        <w:jc w:val="both"/>
        <w:ind w:firstLine="15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Longer-Term Indebtedness</w:t>
      </w:r>
      <w:r>
        <w:rPr>
          <w:rFonts w:ascii="Arial" w:cs="Arial" w:eastAsia="Arial" w:hAnsi="Arial"/>
          <w:sz w:val="17"/>
          <w:szCs w:val="17"/>
          <w:color w:val="auto"/>
        </w:rPr>
        <w:t xml:space="preserve">” means, as at any date, Indebtedness (other than Indebtedness hereunder) of an Obligor (which may be Guaranteed by Subsidiary Guarantors) that (a) has no scheduled amortization prior to, and a final maturity date not earlier than, six months after the Extended Final Maturity Date (it being understood that none of: (w) the conversion features under convertible notes; (x) the triggering and/or settlement thereof; or (y) any cash payment made in respect thereof , shall constitute “amortization” for purposes of this </w:t>
      </w:r>
      <w:r>
        <w:rPr>
          <w:rFonts w:ascii="Arial" w:cs="Arial" w:eastAsia="Arial" w:hAnsi="Arial"/>
          <w:sz w:val="17"/>
          <w:szCs w:val="17"/>
          <w:u w:val="single" w:color="auto"/>
          <w:color w:val="auto"/>
        </w:rPr>
        <w:t>clause (a)</w:t>
      </w:r>
      <w:r>
        <w:rPr>
          <w:rFonts w:ascii="Arial" w:cs="Arial" w:eastAsia="Arial" w:hAnsi="Arial"/>
          <w:sz w:val="17"/>
          <w:szCs w:val="17"/>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178" w:lineRule="exact"/>
        <w:rPr>
          <w:sz w:val="20"/>
          <w:szCs w:val="20"/>
          <w:color w:val="auto"/>
        </w:rPr>
      </w:pPr>
    </w:p>
    <w:p>
      <w:pPr>
        <w:jc w:val="both"/>
        <w:ind w:firstLine="152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Shorter-Term Indebtedness</w:t>
      </w:r>
      <w:r>
        <w:rPr>
          <w:rFonts w:ascii="Arial" w:cs="Arial" w:eastAsia="Arial" w:hAnsi="Arial"/>
          <w:sz w:val="17"/>
          <w:szCs w:val="17"/>
          <w:color w:val="auto"/>
        </w:rPr>
        <w:t xml:space="preserve">”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Arial" w:cs="Arial" w:eastAsia="Arial" w:hAnsi="Arial"/>
          <w:sz w:val="17"/>
          <w:szCs w:val="17"/>
          <w:u w:val="single" w:color="auto"/>
          <w:color w:val="auto"/>
        </w:rPr>
        <w:t>Section 6.11(a)</w:t>
      </w:r>
      <w:r>
        <w:rPr>
          <w:rFonts w:ascii="Arial" w:cs="Arial" w:eastAsia="Arial" w:hAnsi="Arial"/>
          <w:sz w:val="17"/>
          <w:szCs w:val="17"/>
          <w:color w:val="auto"/>
        </w:rPr>
        <w:t>.</w:t>
      </w:r>
    </w:p>
    <w:p>
      <w:pPr>
        <w:spacing w:after="0" w:line="178" w:lineRule="exact"/>
        <w:rPr>
          <w:sz w:val="20"/>
          <w:szCs w:val="20"/>
          <w:color w:val="auto"/>
        </w:rPr>
      </w:pPr>
    </w:p>
    <w:p>
      <w:pPr>
        <w:jc w:val="both"/>
        <w:ind w:firstLine="15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88"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at any date, the amount determined on a consolidated basis, without duplication, in accordance with GAAP, of shareholders equity for the Borrower and its Subsidiaries at such date.</w:t>
      </w:r>
    </w:p>
    <w:p>
      <w:pPr>
        <w:spacing w:after="0" w:line="170"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 Subsidiary</w:t>
      </w:r>
      <w:r>
        <w:rPr>
          <w:rFonts w:ascii="Arial" w:cs="Arial" w:eastAsia="Arial" w:hAnsi="Arial"/>
          <w:sz w:val="18"/>
          <w:szCs w:val="18"/>
          <w:color w:val="auto"/>
        </w:rPr>
        <w:t>” means a direct or indirect Subsidiary of the Borrower to which any Obligor sells, conveys or otherwise transfers (whether directly or indirectly) Portfolio Investments, which engages in no material activities other than in connection with the purchase or financing of such assets and which is designated by the Borrower (as provided below) as an SPE Subsidiary:</w:t>
      </w:r>
    </w:p>
    <w:p>
      <w:pPr>
        <w:spacing w:after="0" w:line="181" w:lineRule="exact"/>
        <w:rPr>
          <w:sz w:val="20"/>
          <w:szCs w:val="20"/>
          <w:color w:val="auto"/>
        </w:rPr>
      </w:pPr>
    </w:p>
    <w:p>
      <w:pPr>
        <w:jc w:val="both"/>
        <w:ind w:firstLine="1529"/>
        <w:spacing w:after="0" w:line="259" w:lineRule="auto"/>
        <w:tabs>
          <w:tab w:leader="none" w:pos="177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86" w:lineRule="exact"/>
        <w:rPr>
          <w:rFonts w:ascii="Arial" w:cs="Arial" w:eastAsia="Arial" w:hAnsi="Arial"/>
          <w:sz w:val="18"/>
          <w:szCs w:val="18"/>
          <w:color w:val="auto"/>
        </w:rPr>
      </w:pPr>
    </w:p>
    <w:p>
      <w:pPr>
        <w:jc w:val="both"/>
        <w:ind w:firstLine="1529"/>
        <w:spacing w:after="0" w:line="264" w:lineRule="auto"/>
        <w:tabs>
          <w:tab w:leader="none" w:pos="178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 which no Obligor has any material contract, agreement, arrangement or understanding other than on terms no less favorable to such Obligor than those that might be obtained at the time from Persons that are not Affiliates of any Obligor, other than fees payable in the ordinary course of business in connection with servicing receivables, and</w:t>
      </w:r>
    </w:p>
    <w:p>
      <w:pPr>
        <w:spacing w:after="0" w:line="181" w:lineRule="exact"/>
        <w:rPr>
          <w:rFonts w:ascii="Arial" w:cs="Arial" w:eastAsia="Arial" w:hAnsi="Arial"/>
          <w:sz w:val="18"/>
          <w:szCs w:val="18"/>
          <w:color w:val="auto"/>
        </w:rPr>
      </w:pPr>
    </w:p>
    <w:p>
      <w:pPr>
        <w:ind w:firstLine="1529"/>
        <w:spacing w:after="0" w:line="277" w:lineRule="auto"/>
        <w:tabs>
          <w:tab w:leader="none" w:pos="179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which no Obligor has any obligation to maintain or preserve such entity’s financial condition or cause such entity to achieve certain levels of operating results.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6" w:name="page167"/>
    <w:bookmarkEnd w:id="166"/>
    <w:p>
      <w:pPr>
        <w:jc w:val="both"/>
        <w:ind w:firstLine="1521"/>
        <w:spacing w:after="0" w:line="259" w:lineRule="auto"/>
        <w:rPr>
          <w:sz w:val="20"/>
          <w:szCs w:val="20"/>
          <w:color w:val="auto"/>
        </w:rPr>
      </w:pPr>
      <w:r>
        <w:rPr>
          <w:rFonts w:ascii="Arial" w:cs="Arial" w:eastAsia="Arial" w:hAnsi="Arial"/>
          <w:sz w:val="18"/>
          <w:szCs w:val="18"/>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87" w:lineRule="exact"/>
        <w:rPr>
          <w:sz w:val="20"/>
          <w:szCs w:val="20"/>
          <w:color w:val="auto"/>
        </w:rPr>
      </w:pPr>
    </w:p>
    <w:p>
      <w:pPr>
        <w:jc w:val="both"/>
        <w:ind w:firstLine="15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Equity Interest</w:t>
      </w:r>
      <w:r>
        <w:rPr>
          <w:rFonts w:ascii="Arial" w:cs="Arial" w:eastAsia="Arial" w:hAnsi="Arial"/>
          <w:sz w:val="18"/>
          <w:szCs w:val="18"/>
          <w:color w:val="auto"/>
        </w:rPr>
        <w:t xml:space="preserve">” means any Equity Interest that is subject to a Lien in favor of creditors of the issuer of such Equity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88" w:lineRule="exact"/>
        <w:rPr>
          <w:sz w:val="20"/>
          <w:szCs w:val="20"/>
          <w:color w:val="auto"/>
        </w:rPr>
      </w:pPr>
    </w:p>
    <w:p>
      <w:pPr>
        <w:jc w:val="both"/>
        <w:ind w:firstLine="152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Unsecured Indebtedness</w:t>
      </w:r>
      <w:r>
        <w:rPr>
          <w:rFonts w:ascii="Arial" w:cs="Arial" w:eastAsia="Arial" w:hAnsi="Arial"/>
          <w:sz w:val="16"/>
          <w:szCs w:val="16"/>
          <w:color w:val="auto"/>
        </w:rPr>
        <w:t xml:space="preserve">” means Indebtedness of an Obligor issued after the Fifth Amendment Effective Date (which may be Guaranteed by Subsidiary Guarantors) that (a) has no amortization prior to, and a final maturity date not earlier than, five years from the date such Indebtedness is issued (it being understood that none of: (w) the conversion features under convertible notes; (x) the triggering and/or settlement thereof or (y) any cash payment made in respect thereof, shall constitute “amortization”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 (b) is incurred pursuant to documentation containing (i) covenants and events of default that are not materially more burdensome on the Borrower than those set forth in the Loan Documents or</w:t>
      </w:r>
    </w:p>
    <w:p>
      <w:pPr>
        <w:spacing w:after="0" w:line="2" w:lineRule="exact"/>
        <w:rPr>
          <w:sz w:val="20"/>
          <w:szCs w:val="20"/>
          <w:color w:val="auto"/>
        </w:rPr>
      </w:pPr>
    </w:p>
    <w:p>
      <w:pPr>
        <w:ind w:firstLine="8"/>
        <w:spacing w:after="0" w:line="261" w:lineRule="auto"/>
        <w:tabs>
          <w:tab w:leader="none" w:pos="33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terms substantially comparable to market terms for substantially similar debt of other similarly situated borrowers as determined by the Borrower in its reasonable judgment and (c) is not secured by any assets of any Obligor.</w:t>
      </w:r>
    </w:p>
    <w:p>
      <w:pPr>
        <w:spacing w:after="0" w:line="184" w:lineRule="exact"/>
        <w:rPr>
          <w:sz w:val="20"/>
          <w:szCs w:val="20"/>
          <w:color w:val="auto"/>
        </w:rPr>
      </w:pPr>
    </w:p>
    <w:p>
      <w:pPr>
        <w:jc w:val="both"/>
        <w:ind w:firstLine="15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8" w:lineRule="exact"/>
        <w:rPr>
          <w:sz w:val="20"/>
          <w:szCs w:val="20"/>
          <w:color w:val="auto"/>
        </w:rPr>
      </w:pPr>
    </w:p>
    <w:p>
      <w:pPr>
        <w:jc w:val="both"/>
        <w:ind w:firstLine="152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xml:space="preserve">” means, for the Interest Period for any Eurocurrency Borrowing, a fraction (expressed as a decimal), the numerator of which is the number one and the denominator of which is the number one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79" w:lineRule="exact"/>
        <w:rPr>
          <w:sz w:val="20"/>
          <w:szCs w:val="20"/>
          <w:color w:val="auto"/>
        </w:rPr>
      </w:pPr>
    </w:p>
    <w:p>
      <w:pPr>
        <w:jc w:val="both"/>
        <w:ind w:firstLine="15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u w:val="single" w:color="auto"/>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82"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any Subsidiary that is a Guarantor under the Guarantee and Security Agreement. It is understood and agreed that no Financing Subsidiary, Immaterial Subsidiary or Foreign Subsidiary shall be a Subsidiary Guarantor.</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SunTrust</w:t>
      </w:r>
      <w:r>
        <w:rPr>
          <w:rFonts w:ascii="Arial" w:cs="Arial" w:eastAsia="Arial" w:hAnsi="Arial"/>
          <w:sz w:val="18"/>
          <w:szCs w:val="18"/>
          <w:color w:val="auto"/>
        </w:rPr>
        <w:t>” means SunTrust Bank.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22</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7" w:name="page168"/>
    <w:bookmarkEnd w:id="167"/>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87"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xml:space="preserve">” means any of SunTrust or JPMorgan Chase Bank, N.A., in its capacity as lender of Swingline Loans hereunder, and its successors in such capacity as provided in </w:t>
      </w:r>
      <w:r>
        <w:rPr>
          <w:rFonts w:ascii="Arial" w:cs="Arial" w:eastAsia="Arial" w:hAnsi="Arial"/>
          <w:sz w:val="18"/>
          <w:szCs w:val="18"/>
          <w:u w:val="single" w:color="auto"/>
          <w:color w:val="auto"/>
        </w:rPr>
        <w:t>Section 2.04(d)</w:t>
      </w:r>
      <w:r>
        <w:rPr>
          <w:rFonts w:ascii="Arial" w:cs="Arial" w:eastAsia="Arial" w:hAnsi="Arial"/>
          <w:sz w:val="18"/>
          <w:szCs w:val="18"/>
          <w:color w:val="auto"/>
        </w:rPr>
        <w:t>.</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Syndicated</w:t>
      </w:r>
      <w:r>
        <w:rPr>
          <w:rFonts w:ascii="Arial" w:cs="Arial" w:eastAsia="Arial" w:hAnsi="Arial"/>
          <w:sz w:val="18"/>
          <w:szCs w:val="18"/>
          <w:color w:val="auto"/>
        </w:rPr>
        <w:t xml:space="preserve">”, when used in reference to any Loan or Borrowing, refers to whether such Loan, or the Loans constituting such Borrowing, are made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81"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earliest to occur of (i) the Extended Final Maturity Date, (ii) the date of the termination of the Commitments in full pursuant to </w:t>
      </w:r>
      <w:r>
        <w:rPr>
          <w:rFonts w:ascii="Arial" w:cs="Arial" w:eastAsia="Arial" w:hAnsi="Arial"/>
          <w:sz w:val="18"/>
          <w:szCs w:val="18"/>
          <w:u w:val="single" w:color="auto"/>
          <w:color w:val="auto"/>
        </w:rPr>
        <w:t>Section 2.08(c)</w:t>
      </w:r>
      <w:r>
        <w:rPr>
          <w:rFonts w:ascii="Arial" w:cs="Arial" w:eastAsia="Arial" w:hAnsi="Arial"/>
          <w:sz w:val="18"/>
          <w:szCs w:val="18"/>
          <w:color w:val="auto"/>
        </w:rPr>
        <w:t xml:space="preserve">, or (iii) the date on which the Commitments are terminated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5.12(b)(ii)(E)(x)</w:t>
      </w:r>
      <w:r>
        <w:rPr>
          <w:rFonts w:ascii="Arial" w:cs="Arial" w:eastAsia="Arial" w:hAnsi="Arial"/>
          <w:sz w:val="18"/>
          <w:szCs w:val="18"/>
          <w:color w:val="auto"/>
        </w:rPr>
        <w: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Quarter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5.12(b)(ii)(B)</w:t>
      </w:r>
      <w:r>
        <w:rPr>
          <w:rFonts w:ascii="Arial" w:cs="Arial" w:eastAsia="Arial" w:hAnsi="Arial"/>
          <w:sz w:val="18"/>
          <w:szCs w:val="18"/>
          <w:color w:val="auto"/>
        </w:rPr>
        <w:t>.</w:t>
      </w:r>
    </w:p>
    <w:p>
      <w:pPr>
        <w:spacing w:after="0" w:line="225"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 of this Agreement and the other Loan Documents, the borrowing of Loans, the use of the proceeds thereof and the issuance of Letters of Credit hereunder.</w:t>
      </w:r>
    </w:p>
    <w:p>
      <w:pPr>
        <w:spacing w:after="0" w:line="170"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70"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means the Uniform Commercial Code as in effect from time to time in the State of New York.</w:t>
      </w:r>
    </w:p>
    <w:p>
      <w:pPr>
        <w:spacing w:after="0" w:line="225" w:lineRule="exact"/>
        <w:rPr>
          <w:sz w:val="20"/>
          <w:szCs w:val="20"/>
          <w:color w:val="auto"/>
        </w:rPr>
      </w:pPr>
    </w:p>
    <w:p>
      <w:pPr>
        <w:jc w:val="both"/>
        <w:ind w:firstLine="152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Longer-Term Indebtedness</w:t>
      </w:r>
      <w:r>
        <w:rPr>
          <w:rFonts w:ascii="Arial" w:cs="Arial" w:eastAsia="Arial" w:hAnsi="Arial"/>
          <w:sz w:val="18"/>
          <w:szCs w:val="18"/>
          <w:color w:val="auto"/>
        </w:rPr>
        <w:t xml:space="preserve">” means any Indebtedness of an Obligor (which may be Guaranteed by Subsidiary Guarantors) that (a) has no amortization prior to, and a final maturity date not earlier than, six months after the Extended Final Maturity Date (it being understood that none of : (w) the conversion features under convertible notes; (x) the triggering and/or settlement thereof or (y) any cash payment made in respect thereof, shall constitute “amortization” for purposes of this </w:t>
      </w:r>
      <w:r>
        <w:rPr>
          <w:rFonts w:ascii="Arial" w:cs="Arial" w:eastAsia="Arial" w:hAnsi="Arial"/>
          <w:sz w:val="18"/>
          <w:szCs w:val="18"/>
          <w:u w:val="single" w:color="auto"/>
          <w:color w:val="auto"/>
        </w:rPr>
        <w:t>clause (a)</w:t>
      </w:r>
      <w:r>
        <w:rPr>
          <w:rFonts w:ascii="Arial" w:cs="Arial" w:eastAsia="Arial" w:hAnsi="Arial"/>
          <w:sz w:val="18"/>
          <w:szCs w:val="18"/>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93"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Shorter-Term Indebtedness</w:t>
      </w:r>
      <w:r>
        <w:rPr>
          <w:rFonts w:ascii="Arial" w:cs="Arial" w:eastAsia="Arial" w:hAnsi="Arial"/>
          <w:sz w:val="18"/>
          <w:szCs w:val="18"/>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18"/>
          <w:szCs w:val="18"/>
          <w:u w:val="single" w:color="auto"/>
          <w:color w:val="auto"/>
        </w:rPr>
        <w:t>Section 6.11(a)</w:t>
      </w:r>
      <w:r>
        <w:rPr>
          <w:rFonts w:ascii="Arial" w:cs="Arial" w:eastAsia="Arial" w:hAnsi="Arial"/>
          <w:sz w:val="18"/>
          <w:szCs w:val="18"/>
          <w:color w:val="auto"/>
        </w:rPr>
        <w:t>.</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Unquoted Investments</w:t>
      </w:r>
      <w:r>
        <w:rPr>
          <w:rFonts w:ascii="Arial" w:cs="Arial" w:eastAsia="Arial" w:hAnsi="Arial"/>
          <w:sz w:val="17"/>
          <w:szCs w:val="17"/>
          <w:color w:val="auto"/>
        </w:rPr>
        <w:t xml:space="preserve">” means a Portfolio Investment with a value assigned by the Borrower pursuant to </w:t>
      </w:r>
      <w:r>
        <w:rPr>
          <w:rFonts w:ascii="Arial" w:cs="Arial" w:eastAsia="Arial" w:hAnsi="Arial"/>
          <w:sz w:val="17"/>
          <w:szCs w:val="17"/>
          <w:u w:val="single" w:color="auto"/>
          <w:color w:val="auto"/>
        </w:rPr>
        <w:t>Section 5.12(b)(ii)(B)</w:t>
      </w:r>
      <w:r>
        <w:rPr>
          <w:rFonts w:ascii="Arial" w:cs="Arial" w:eastAsia="Arial" w:hAnsi="Arial"/>
          <w:sz w:val="17"/>
          <w:szCs w:val="17"/>
          <w:color w:val="auto"/>
        </w:rPr>
        <w:t>.</w:t>
      </w:r>
    </w:p>
    <w:p>
      <w:pPr>
        <w:spacing w:after="0" w:line="237"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23</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68" w:name="page169"/>
    <w:bookmarkEnd w:id="168"/>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jc w:val="both"/>
        <w:ind w:firstLine="1521"/>
        <w:spacing w:after="0" w:line="25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188" w:lineRule="exact"/>
        <w:rPr>
          <w:sz w:val="20"/>
          <w:szCs w:val="20"/>
          <w:color w:val="auto"/>
        </w:rPr>
      </w:pPr>
    </w:p>
    <w:p>
      <w:pPr>
        <w:jc w:val="both"/>
        <w:ind w:firstLine="1521"/>
        <w:spacing w:after="0" w:line="288"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69" w:lineRule="exact"/>
        <w:rPr>
          <w:sz w:val="20"/>
          <w:szCs w:val="20"/>
          <w:color w:val="auto"/>
        </w:rPr>
      </w:pPr>
    </w:p>
    <w:p>
      <w:pPr>
        <w:jc w:val="both"/>
        <w:ind w:firstLine="1521"/>
        <w:spacing w:after="0" w:line="268"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Accounting Terms; GAAP</w:t>
      </w:r>
      <w:r>
        <w:rPr>
          <w:rFonts w:ascii="Arial" w:cs="Arial" w:eastAsia="Arial" w:hAnsi="Arial"/>
          <w:sz w:val="17"/>
          <w:szCs w:val="17"/>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would be treated as operating leases for purposes of GAAP on the date hereof shall continue to be accounted for as operating leases for purposes of all financial definitions and calculations hereunder regardless of any change to GAAP following the date hereof that would otherwise require such leases to be treated as Capital Lease Obligations.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8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Currencies; Currency Equivalents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93" w:lineRule="auto"/>
        <w:tabs>
          <w:tab w:leader="none" w:pos="1766"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Currencies Generally</w:t>
      </w:r>
      <w:r>
        <w:rPr>
          <w:rFonts w:ascii="Arial" w:cs="Arial" w:eastAsia="Arial" w:hAnsi="Arial"/>
          <w:sz w:val="16"/>
          <w:szCs w:val="16"/>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and the last sentence of </w:t>
      </w:r>
      <w:r>
        <w:rPr>
          <w:rFonts w:ascii="Arial" w:cs="Arial" w:eastAsia="Arial" w:hAnsi="Arial"/>
          <w:sz w:val="16"/>
          <w:szCs w:val="16"/>
          <w:u w:val="single" w:color="auto"/>
          <w:color w:val="auto"/>
        </w:rPr>
        <w:t>Section 2.17(a)</w:t>
      </w:r>
      <w:r>
        <w:rPr>
          <w:rFonts w:ascii="Arial" w:cs="Arial" w:eastAsia="Arial" w:hAnsi="Arial"/>
          <w:sz w:val="16"/>
          <w:szCs w:val="16"/>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w:t>
      </w:r>
    </w:p>
    <w:p>
      <w:pPr>
        <w:spacing w:after="0" w:line="200" w:lineRule="exact"/>
        <w:rPr>
          <w:sz w:val="20"/>
          <w:szCs w:val="20"/>
          <w:color w:val="auto"/>
        </w:rPr>
      </w:pPr>
    </w:p>
    <w:p>
      <w:pPr>
        <w:spacing w:after="0" w:line="397"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69" w:name="page170"/>
    <w:bookmarkEnd w:id="169"/>
    <w:p>
      <w:pPr>
        <w:jc w:val="both"/>
        <w:spacing w:after="0" w:line="271" w:lineRule="auto"/>
        <w:rPr>
          <w:sz w:val="20"/>
          <w:szCs w:val="20"/>
          <w:color w:val="auto"/>
        </w:rPr>
      </w:pPr>
      <w:r>
        <w:rPr>
          <w:rFonts w:ascii="Arial" w:cs="Arial" w:eastAsia="Arial" w:hAnsi="Arial"/>
          <w:sz w:val="17"/>
          <w:szCs w:val="17"/>
          <w:color w:val="auto"/>
        </w:rPr>
        <w:t>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w:t>
      </w:r>
    </w:p>
    <w:p>
      <w:pPr>
        <w:spacing w:after="0" w:line="179" w:lineRule="exact"/>
        <w:rPr>
          <w:sz w:val="20"/>
          <w:szCs w:val="20"/>
          <w:color w:val="auto"/>
        </w:rPr>
      </w:pPr>
    </w:p>
    <w:p>
      <w:pPr>
        <w:jc w:val="both"/>
        <w:ind w:firstLine="1529"/>
        <w:spacing w:after="0" w:line="288" w:lineRule="auto"/>
        <w:tabs>
          <w:tab w:leader="none" w:pos="1776"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Special Provisions Relating to Euro</w:t>
      </w:r>
      <w:r>
        <w:rPr>
          <w:rFonts w:ascii="Arial" w:cs="Arial" w:eastAsia="Arial" w:hAnsi="Arial"/>
          <w:sz w:val="16"/>
          <w:szCs w:val="16"/>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Borrowing denominated in such currency that is outstanding immediately prior to such date, such replacement shall take effect at the end of the Interest Period therefor.</w:t>
      </w:r>
    </w:p>
    <w:p>
      <w:pPr>
        <w:spacing w:after="0" w:line="169" w:lineRule="exact"/>
        <w:rPr>
          <w:sz w:val="20"/>
          <w:szCs w:val="20"/>
          <w:color w:val="auto"/>
        </w:rPr>
      </w:pPr>
    </w:p>
    <w:p>
      <w:pPr>
        <w:jc w:val="both"/>
        <w:ind w:firstLine="1521"/>
        <w:spacing w:after="0" w:line="255" w:lineRule="auto"/>
        <w:rPr>
          <w:sz w:val="20"/>
          <w:szCs w:val="20"/>
          <w:color w:val="auto"/>
        </w:rPr>
      </w:pPr>
      <w:r>
        <w:rPr>
          <w:rFonts w:ascii="Arial" w:cs="Arial" w:eastAsia="Arial" w:hAnsi="Arial"/>
          <w:sz w:val="18"/>
          <w:szCs w:val="18"/>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Commitments</w:t>
      </w:r>
      <w:r>
        <w:rPr>
          <w:rFonts w:ascii="Arial" w:cs="Arial" w:eastAsia="Arial" w:hAnsi="Arial"/>
          <w:sz w:val="18"/>
          <w:szCs w:val="18"/>
          <w:color w:val="auto"/>
        </w:rPr>
        <w:t>. Subject to the terms and conditions set forth herein:</w:t>
      </w:r>
    </w:p>
    <w:p>
      <w:pPr>
        <w:spacing w:after="0" w:line="225" w:lineRule="exact"/>
        <w:rPr>
          <w:sz w:val="20"/>
          <w:szCs w:val="20"/>
          <w:color w:val="auto"/>
        </w:rPr>
      </w:pPr>
    </w:p>
    <w:p>
      <w:pPr>
        <w:jc w:val="both"/>
        <w:ind w:firstLine="1529"/>
        <w:spacing w:after="0" w:line="279" w:lineRule="auto"/>
        <w:tabs>
          <w:tab w:leader="none" w:pos="178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spacing w:after="0" w:line="171" w:lineRule="exact"/>
        <w:rPr>
          <w:rFonts w:ascii="Arial" w:cs="Arial" w:eastAsia="Arial" w:hAnsi="Arial"/>
          <w:sz w:val="17"/>
          <w:szCs w:val="17"/>
          <w:color w:val="auto"/>
        </w:rPr>
      </w:pPr>
    </w:p>
    <w:p>
      <w:pPr>
        <w:jc w:val="both"/>
        <w:ind w:firstLine="1529"/>
        <w:spacing w:after="0" w:line="257" w:lineRule="auto"/>
        <w:tabs>
          <w:tab w:leader="none" w:pos="1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Within the foregoing limits and subject to the terms and conditions set forth herein, the Borrower may borrow, prepay and reborrow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Syndicated Loans.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25</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0" w:name="page171"/>
    <w:bookmarkEnd w:id="170"/>
    <w:p>
      <w:pPr>
        <w:ind w:left="152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57" w:lineRule="auto"/>
        <w:tabs>
          <w:tab w:leader="none" w:pos="1779"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Obligations of Lenders</w:t>
      </w:r>
      <w:r>
        <w:rPr>
          <w:rFonts w:ascii="Arial" w:cs="Arial" w:eastAsia="Arial" w:hAnsi="Arial"/>
          <w:sz w:val="18"/>
          <w:szCs w:val="18"/>
          <w:color w:val="auto"/>
        </w:rPr>
        <w:t xml:space="preserve">. Each Syndicated Loan shall be made as part of a Borrowing consisting of Loans of the same Class of Commitments (other than with respect to any Syndicated Loan requested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w:t>
      </w:r>
    </w:p>
    <w:p>
      <w:pPr>
        <w:spacing w:after="0" w:line="188" w:lineRule="exact"/>
        <w:rPr>
          <w:rFonts w:ascii="Arial" w:cs="Arial" w:eastAsia="Arial" w:hAnsi="Arial"/>
          <w:sz w:val="18"/>
          <w:szCs w:val="18"/>
          <w:color w:val="auto"/>
        </w:rPr>
      </w:pPr>
    </w:p>
    <w:p>
      <w:pPr>
        <w:jc w:val="both"/>
        <w:ind w:firstLine="1529"/>
        <w:spacing w:after="0" w:line="257" w:lineRule="auto"/>
        <w:tabs>
          <w:tab w:leader="none" w:pos="1789"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Type of Loans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88" w:lineRule="exact"/>
        <w:rPr>
          <w:rFonts w:ascii="Arial" w:cs="Arial" w:eastAsia="Arial" w:hAnsi="Arial"/>
          <w:sz w:val="18"/>
          <w:szCs w:val="18"/>
          <w:color w:val="auto"/>
        </w:rPr>
      </w:pPr>
    </w:p>
    <w:p>
      <w:pPr>
        <w:jc w:val="both"/>
        <w:ind w:firstLine="1529"/>
        <w:spacing w:after="0" w:line="257" w:lineRule="auto"/>
        <w:tabs>
          <w:tab w:leader="none" w:pos="180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18"/>
          <w:szCs w:val="18"/>
          <w:u w:val="single" w:color="auto"/>
          <w:color w:val="auto"/>
        </w:rPr>
        <w:t>Section 2.05(f)</w:t>
      </w:r>
      <w:r>
        <w:rPr>
          <w:rFonts w:ascii="Arial" w:cs="Arial" w:eastAsia="Arial" w:hAnsi="Arial"/>
          <w:sz w:val="18"/>
          <w:szCs w:val="18"/>
          <w:color w:val="auto"/>
        </w:rPr>
        <w:t>. Borrowings of more than one Class, Currency and Type may be outstanding at the same time.</w:t>
      </w:r>
    </w:p>
    <w:p>
      <w:pPr>
        <w:spacing w:after="0" w:line="188" w:lineRule="exact"/>
        <w:rPr>
          <w:rFonts w:ascii="Arial" w:cs="Arial" w:eastAsia="Arial" w:hAnsi="Arial"/>
          <w:sz w:val="18"/>
          <w:szCs w:val="18"/>
          <w:color w:val="auto"/>
        </w:rPr>
      </w:pPr>
    </w:p>
    <w:p>
      <w:pPr>
        <w:jc w:val="both"/>
        <w:ind w:firstLine="1529"/>
        <w:spacing w:after="0" w:line="264" w:lineRule="auto"/>
        <w:tabs>
          <w:tab w:leader="none" w:pos="177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Limitations on Interest Periods</w:t>
      </w:r>
      <w:r>
        <w:rPr>
          <w:rFonts w:ascii="Arial" w:cs="Arial" w:eastAsia="Arial" w:hAnsi="Arial"/>
          <w:sz w:val="18"/>
          <w:szCs w:val="18"/>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 with respect to such Borrowing.</w:t>
      </w:r>
    </w:p>
    <w:p>
      <w:pPr>
        <w:spacing w:after="0" w:line="181" w:lineRule="exact"/>
        <w:rPr>
          <w:rFonts w:ascii="Arial" w:cs="Arial" w:eastAsia="Arial" w:hAnsi="Arial"/>
          <w:sz w:val="18"/>
          <w:szCs w:val="18"/>
          <w:color w:val="auto"/>
        </w:rPr>
      </w:pPr>
    </w:p>
    <w:p>
      <w:pPr>
        <w:jc w:val="both"/>
        <w:ind w:firstLine="1529"/>
        <w:spacing w:after="0" w:line="257" w:lineRule="auto"/>
        <w:tabs>
          <w:tab w:leader="none" w:pos="176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Treatment of Classes</w:t>
      </w:r>
      <w:r>
        <w:rPr>
          <w:rFonts w:ascii="Arial" w:cs="Arial" w:eastAsia="Arial" w:hAnsi="Arial"/>
          <w:sz w:val="18"/>
          <w:szCs w:val="18"/>
          <w:color w:val="auto"/>
        </w:rPr>
        <w:t>. Notwithstanding anything to the contrary contained herein, with respect to each Syndicated Loan, Swingline Loan or Letter of Credit designated in Dollars (including any Loan requested pursuant to Section 2.20),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Syndicated Borrowings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55" w:lineRule="auto"/>
        <w:tabs>
          <w:tab w:leader="none" w:pos="1766"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Notice by the Borrower</w:t>
      </w:r>
      <w:r>
        <w:rPr>
          <w:rFonts w:ascii="Arial" w:cs="Arial" w:eastAsia="Arial" w:hAnsi="Arial"/>
          <w:sz w:val="18"/>
          <w:szCs w:val="18"/>
          <w:color w:val="auto"/>
        </w:rPr>
        <w:t>. To request a Syndicated Borrowing, the Borrower shall notify the Administrative Agent of such request by telephone (i) in the case of a Eurocurrency Borrowing denominated in Dollars, not later than 11:00 a.m., Atlanta, Georgia time, three Business Days before the date of the proposed Borrowing, (ii) in the case of a Eurocurrency Borrowing denominated in a Foreign Currency, not later than 11:00 a.m., Atlanta, Georgia time, four Business Days before the date of the proposed Borrowing or (iii) in the case of a Syndicated ABR Borrowing, not later than 11:00 a.m., Atlanta, Georgia time, one Business Day before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89" w:lineRule="exact"/>
        <w:rPr>
          <w:rFonts w:ascii="Arial" w:cs="Arial" w:eastAsia="Arial" w:hAnsi="Arial"/>
          <w:sz w:val="18"/>
          <w:szCs w:val="18"/>
          <w:color w:val="auto"/>
        </w:rPr>
      </w:pPr>
    </w:p>
    <w:p>
      <w:pPr>
        <w:ind w:right="20" w:firstLine="1529"/>
        <w:spacing w:after="0" w:line="277" w:lineRule="auto"/>
        <w:tabs>
          <w:tab w:leader="none" w:pos="1816"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Content of Borrowing Requests</w:t>
      </w:r>
      <w:r>
        <w:rPr>
          <w:rFonts w:ascii="Arial" w:cs="Arial" w:eastAsia="Arial" w:hAnsi="Arial"/>
          <w:sz w:val="18"/>
          <w:szCs w:val="18"/>
          <w:color w:val="auto"/>
        </w:rPr>
        <w:t xml:space="preserve">. Each telephonic and written Borrowing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700" w:hanging="221"/>
        <w:spacing w:after="0"/>
        <w:tabs>
          <w:tab w:leader="none" w:pos="17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whether such Borrowing is to be made under the Dollar Commitments or the Multicurrency Commitments;</w:t>
      </w:r>
    </w:p>
    <w:p>
      <w:pPr>
        <w:spacing w:after="0" w:line="225" w:lineRule="exact"/>
        <w:rPr>
          <w:rFonts w:ascii="Arial" w:cs="Arial" w:eastAsia="Arial" w:hAnsi="Arial"/>
          <w:sz w:val="18"/>
          <w:szCs w:val="18"/>
          <w:color w:val="auto"/>
        </w:rPr>
      </w:pPr>
    </w:p>
    <w:p>
      <w:pPr>
        <w:ind w:left="1740" w:hanging="261"/>
        <w:spacing w:after="0"/>
        <w:tabs>
          <w:tab w:leader="none" w:pos="17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aggregate amount and Currency of the requested Borrowing;</w:t>
      </w:r>
    </w:p>
    <w:p>
      <w:pPr>
        <w:spacing w:after="0" w:line="225" w:lineRule="exact"/>
        <w:rPr>
          <w:rFonts w:ascii="Arial" w:cs="Arial" w:eastAsia="Arial" w:hAnsi="Arial"/>
          <w:sz w:val="18"/>
          <w:szCs w:val="18"/>
          <w:color w:val="auto"/>
        </w:rPr>
      </w:pPr>
    </w:p>
    <w:p>
      <w:pPr>
        <w:ind w:left="1800" w:hanging="321"/>
        <w:spacing w:after="0"/>
        <w:tabs>
          <w:tab w:leader="none" w:pos="18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760" w:right="20" w:firstLine="719"/>
        <w:spacing w:after="0" w:line="277" w:lineRule="auto"/>
        <w:tabs>
          <w:tab w:leader="none" w:pos="18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a Syndicated Borrowing denominated in Dollars, whether such Borrowing is to be an ABR Borrowing or a Eurocurrency Borrowing;</w:t>
      </w:r>
    </w:p>
    <w:p>
      <w:pPr>
        <w:spacing w:after="0" w:line="170" w:lineRule="exact"/>
        <w:rPr>
          <w:rFonts w:ascii="Arial" w:cs="Arial" w:eastAsia="Arial" w:hAnsi="Arial"/>
          <w:sz w:val="18"/>
          <w:szCs w:val="18"/>
          <w:color w:val="auto"/>
        </w:rPr>
      </w:pPr>
    </w:p>
    <w:p>
      <w:pPr>
        <w:ind w:left="760" w:firstLine="719"/>
        <w:spacing w:after="0" w:line="277" w:lineRule="auto"/>
        <w:tabs>
          <w:tab w:leader="none" w:pos="173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in the case of a Eurocurrency Borrowing, the Interest Period therefor,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26</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1" w:name="page172"/>
    <w:bookmarkEnd w:id="171"/>
    <w:p>
      <w:pPr>
        <w:ind w:left="1480"/>
        <w:spacing w:after="0"/>
        <w:rPr>
          <w:sz w:val="20"/>
          <w:szCs w:val="20"/>
          <w:color w:val="auto"/>
        </w:rPr>
      </w:pPr>
      <w:r>
        <w:rPr>
          <w:rFonts w:ascii="Arial" w:cs="Arial" w:eastAsia="Arial" w:hAnsi="Arial"/>
          <w:sz w:val="18"/>
          <w:szCs w:val="18"/>
          <w:color w:val="auto"/>
        </w:rPr>
        <w:t>(vi) the location and number of the Borrower’s account to which funds are to be disbursed.</w:t>
      </w:r>
    </w:p>
    <w:p>
      <w:pPr>
        <w:spacing w:after="0" w:line="225" w:lineRule="exact"/>
        <w:rPr>
          <w:sz w:val="20"/>
          <w:szCs w:val="20"/>
          <w:color w:val="auto"/>
        </w:rPr>
      </w:pPr>
    </w:p>
    <w:p>
      <w:pPr>
        <w:jc w:val="both"/>
        <w:ind w:firstLine="1529"/>
        <w:spacing w:after="0" w:line="264" w:lineRule="auto"/>
        <w:tabs>
          <w:tab w:leader="none" w:pos="1779"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81" w:lineRule="exact"/>
        <w:rPr>
          <w:rFonts w:ascii="Arial" w:cs="Arial" w:eastAsia="Arial" w:hAnsi="Arial"/>
          <w:sz w:val="18"/>
          <w:szCs w:val="18"/>
          <w:color w:val="auto"/>
        </w:rPr>
      </w:pPr>
    </w:p>
    <w:p>
      <w:pPr>
        <w:jc w:val="both"/>
        <w:ind w:firstLine="1529"/>
        <w:spacing w:after="0" w:line="253" w:lineRule="auto"/>
        <w:tabs>
          <w:tab w:leader="none" w:pos="1776"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Failure to Elect</w:t>
      </w:r>
      <w:r>
        <w:rPr>
          <w:rFonts w:ascii="Arial" w:cs="Arial" w:eastAsia="Arial" w:hAnsi="Arial"/>
          <w:sz w:val="18"/>
          <w:szCs w:val="18"/>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9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86" w:lineRule="auto"/>
        <w:tabs>
          <w:tab w:leader="none" w:pos="1766"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Agreement to Make Swingline Loans</w:t>
      </w:r>
      <w:r>
        <w:rPr>
          <w:rFonts w:ascii="Arial" w:cs="Arial" w:eastAsia="Arial" w:hAnsi="Arial"/>
          <w:sz w:val="16"/>
          <w:szCs w:val="16"/>
          <w:color w:val="auto"/>
        </w:rPr>
        <w:t>. Subject to the terms and conditions set forth herein, each Swingline Lender severally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$100,000,000 or the aggregate principal amount of outstanding Swingline Loans of any Swingline Lender exceeding $50,000,000,</w:t>
      </w:r>
    </w:p>
    <w:p>
      <w:pPr>
        <w:spacing w:after="0" w:line="1" w:lineRule="exact"/>
        <w:rPr>
          <w:rFonts w:ascii="Arial" w:cs="Arial" w:eastAsia="Arial" w:hAnsi="Arial"/>
          <w:sz w:val="16"/>
          <w:szCs w:val="16"/>
          <w:color w:val="auto"/>
        </w:rPr>
      </w:pPr>
    </w:p>
    <w:p>
      <w:pPr>
        <w:jc w:val="both"/>
        <w:ind w:firstLine="8"/>
        <w:spacing w:after="0" w:line="281" w:lineRule="auto"/>
        <w:tabs>
          <w:tab w:leader="none" w:pos="26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sum of any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 Multicurrency Credit Exposures exceeding the aggregate Multicurrency Commitments at such time or</w:t>
      </w:r>
    </w:p>
    <w:p>
      <w:pPr>
        <w:spacing w:after="0" w:line="2" w:lineRule="exact"/>
        <w:rPr>
          <w:rFonts w:ascii="Arial" w:cs="Arial" w:eastAsia="Arial" w:hAnsi="Arial"/>
          <w:sz w:val="16"/>
          <w:szCs w:val="16"/>
          <w:color w:val="auto"/>
        </w:rPr>
      </w:pPr>
    </w:p>
    <w:p>
      <w:pPr>
        <w:jc w:val="both"/>
        <w:ind w:right="20" w:firstLine="8"/>
        <w:spacing w:after="0" w:line="255" w:lineRule="auto"/>
        <w:tabs>
          <w:tab w:leader="none" w:pos="26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total Covered Debt Amount exceeding the Borrowing Base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190" w:lineRule="exact"/>
        <w:rPr>
          <w:rFonts w:ascii="Arial" w:cs="Arial" w:eastAsia="Arial" w:hAnsi="Arial"/>
          <w:sz w:val="18"/>
          <w:szCs w:val="18"/>
          <w:color w:val="auto"/>
        </w:rPr>
      </w:pPr>
    </w:p>
    <w:p>
      <w:pPr>
        <w:jc w:val="both"/>
        <w:ind w:firstLine="1529"/>
        <w:spacing w:after="0" w:line="254" w:lineRule="auto"/>
        <w:tabs>
          <w:tab w:leader="none" w:pos="1789"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Notice of Swingline Loans by the Borrower</w:t>
      </w:r>
      <w:r>
        <w:rPr>
          <w:rFonts w:ascii="Arial" w:cs="Arial" w:eastAsia="Arial" w:hAnsi="Arial"/>
          <w:sz w:val="18"/>
          <w:szCs w:val="18"/>
          <w:color w:val="auto"/>
        </w:rPr>
        <w:t xml:space="preserve">. To request a Swingline Loan, the Borrower shall notify the Administrative Agent of such request by telephone (confirmed by telecopy) not later than 11:00 a.m., Atlanta, Georgia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available to the Borrower by means of a credit to the general deposit account of the Borrower with such Swingline Lender (or, in the case of a Swingline Loan made to finance the reimbursement of an LC Disbursement as provided in </w:t>
      </w:r>
      <w:r>
        <w:rPr>
          <w:rFonts w:ascii="Arial" w:cs="Arial" w:eastAsia="Arial" w:hAnsi="Arial"/>
          <w:sz w:val="18"/>
          <w:szCs w:val="18"/>
          <w:u w:val="single" w:color="auto"/>
          <w:color w:val="auto"/>
        </w:rPr>
        <w:t>Section 2.05(f)</w:t>
      </w:r>
      <w:r>
        <w:rPr>
          <w:rFonts w:ascii="Arial" w:cs="Arial" w:eastAsia="Arial" w:hAnsi="Arial"/>
          <w:sz w:val="18"/>
          <w:szCs w:val="18"/>
          <w:color w:val="auto"/>
        </w:rPr>
        <w:t>, by remittance to the applicable Issuing Bank) by 3:00 p.m., Atlanta, Georgia time, on the requested date of such Swingline Loan.</w:t>
      </w:r>
    </w:p>
    <w:p>
      <w:pPr>
        <w:spacing w:after="0" w:line="192" w:lineRule="exact"/>
        <w:rPr>
          <w:rFonts w:ascii="Arial" w:cs="Arial" w:eastAsia="Arial" w:hAnsi="Arial"/>
          <w:sz w:val="18"/>
          <w:szCs w:val="18"/>
          <w:color w:val="auto"/>
        </w:rPr>
      </w:pPr>
    </w:p>
    <w:p>
      <w:pPr>
        <w:jc w:val="both"/>
        <w:ind w:firstLine="1529"/>
        <w:spacing w:after="0" w:line="268" w:lineRule="auto"/>
        <w:tabs>
          <w:tab w:leader="none" w:pos="1779" w:val="left"/>
        </w:tabs>
        <w:numPr>
          <w:ilvl w:val="1"/>
          <w:numId w:val="130"/>
        </w:numPr>
        <w:rPr>
          <w:rFonts w:ascii="Arial" w:cs="Arial" w:eastAsia="Arial" w:hAnsi="Arial"/>
          <w:sz w:val="17"/>
          <w:szCs w:val="17"/>
          <w:color w:val="auto"/>
        </w:rPr>
      </w:pPr>
      <w:r>
        <w:rPr>
          <w:rFonts w:ascii="Arial" w:cs="Arial" w:eastAsia="Arial" w:hAnsi="Arial"/>
          <w:sz w:val="17"/>
          <w:szCs w:val="17"/>
          <w:u w:val="single" w:color="auto"/>
          <w:color w:val="auto"/>
        </w:rPr>
        <w:t>Participations by Lenders in Swingline Loans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any Swingline Lender may by written notice given to the Administrative Agent not later than 10:00 a.m., Atlanta, Georgia time 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of such Swingline Loan or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required to purchase a participation in a Swingline Loan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if (x)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2" w:name="page173"/>
    <w:bookmarkEnd w:id="172"/>
    <w:p>
      <w:pPr>
        <w:jc w:val="both"/>
        <w:ind w:firstLine="1521"/>
        <w:spacing w:after="0" w:line="268" w:lineRule="auto"/>
        <w:rPr>
          <w:sz w:val="20"/>
          <w:szCs w:val="20"/>
          <w:color w:val="auto"/>
        </w:rPr>
      </w:pPr>
      <w:r>
        <w:rPr>
          <w:rFonts w:ascii="Arial" w:cs="Arial" w:eastAsia="Arial" w:hAnsi="Arial"/>
          <w:sz w:val="17"/>
          <w:szCs w:val="17"/>
          <w:color w:val="auto"/>
        </w:rPr>
        <w:t xml:space="preserve">Subject to the foregoing and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each Lender acknowledges and agrees that its obligation to acquire participations in Swingline Loans pursuant to this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shall apply, </w:t>
      </w:r>
      <w:r>
        <w:rPr>
          <w:rFonts w:ascii="Arial" w:cs="Arial" w:eastAsia="Arial" w:hAnsi="Arial"/>
          <w:sz w:val="17"/>
          <w:szCs w:val="17"/>
          <w:u w:val="single" w:color="auto"/>
          <w:color w:val="auto"/>
        </w:rPr>
        <w:t>mutatis mutandis</w:t>
      </w:r>
      <w:r>
        <w:rPr>
          <w:rFonts w:ascii="Arial" w:cs="Arial" w:eastAsia="Arial" w:hAnsi="Arial"/>
          <w:sz w:val="17"/>
          <w:szCs w:val="17"/>
          <w:color w:val="auto"/>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spacing w:after="0" w:line="188" w:lineRule="exact"/>
        <w:rPr>
          <w:sz w:val="20"/>
          <w:szCs w:val="20"/>
          <w:color w:val="auto"/>
        </w:rPr>
      </w:pPr>
    </w:p>
    <w:p>
      <w:pPr>
        <w:jc w:val="both"/>
        <w:ind w:firstLine="1529"/>
        <w:spacing w:after="0" w:line="268" w:lineRule="auto"/>
        <w:tabs>
          <w:tab w:leader="none" w:pos="1803"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Resignation and Replacement of Swingline Lender</w:t>
      </w:r>
      <w:r>
        <w:rPr>
          <w:rFonts w:ascii="Arial" w:cs="Arial" w:eastAsia="Arial" w:hAnsi="Arial"/>
          <w:sz w:val="17"/>
          <w:szCs w:val="17"/>
          <w:color w:val="auto"/>
        </w:rPr>
        <w:t xml:space="preserve">. Any Swingline Lender may resign and be replaced at any time by written agreement among the Borrower, the Administrative Agent, the resigning Swingline Lender and a successor Swingline Lender. The Administrative Agent shall notify the Lenders of any such resignation and replacement of any Swingline Lender. In addition to the foregoing, if a Lender becomes, and during the period it remains, a Defaulting Lender, and if any Default has arisen from a failure of the Borrower to comply with </w:t>
      </w:r>
      <w:r>
        <w:rPr>
          <w:rFonts w:ascii="Arial" w:cs="Arial" w:eastAsia="Arial" w:hAnsi="Arial"/>
          <w:sz w:val="17"/>
          <w:szCs w:val="17"/>
          <w:u w:val="single" w:color="auto"/>
          <w:color w:val="auto"/>
        </w:rPr>
        <w:t>Section 2.19(a)</w:t>
      </w:r>
      <w:r>
        <w:rPr>
          <w:rFonts w:ascii="Arial" w:cs="Arial" w:eastAsia="Arial" w:hAnsi="Arial"/>
          <w:sz w:val="17"/>
          <w:szCs w:val="17"/>
          <w:color w:val="auto"/>
        </w:rPr>
        <w:t>, then each Swingline Lender may, upon prior written notice to the Borrower and the Administrative Agent, resign as a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one or more successor Swingline Lenders. The Administrative Agent shall notify the Lenders of any such appointment of a successor Swingline Lender. Upon the effectiveness of any resignation of any Swingline Lender, the Borrower shall repay in full all outstanding Swingline Loans made by such Swingline Lender together with all accrued interest thereon. From and after the effective date of the appointment of a successor Swingline Lender, (i) such successor Swingline Lender shall 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of the Swingline Lender hereunder, the replaced Swingline Lender shall have no obligation to make additional Swingline Loans.</w:t>
      </w:r>
    </w:p>
    <w:p>
      <w:pPr>
        <w:spacing w:after="0" w:line="18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70" w:lineRule="auto"/>
        <w:tabs>
          <w:tab w:leader="none" w:pos="1766"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in addition to the Loans provided for in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the Borrower may request each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Arial" w:cs="Arial" w:eastAsia="Arial" w:hAnsi="Arial"/>
          <w:sz w:val="17"/>
          <w:szCs w:val="17"/>
          <w:u w:val="single" w:color="auto"/>
          <w:color w:val="auto"/>
        </w:rPr>
        <w:t>Section 2.05</w:t>
      </w:r>
      <w:r>
        <w:rPr>
          <w:rFonts w:ascii="Arial" w:cs="Arial" w:eastAsia="Arial" w:hAnsi="Arial"/>
          <w:sz w:val="17"/>
          <w:szCs w:val="17"/>
          <w:color w:val="auto"/>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spacing w:after="0" w:line="181" w:lineRule="exact"/>
        <w:rPr>
          <w:rFonts w:ascii="Arial" w:cs="Arial" w:eastAsia="Arial" w:hAnsi="Arial"/>
          <w:sz w:val="17"/>
          <w:szCs w:val="17"/>
          <w:color w:val="auto"/>
        </w:rPr>
      </w:pPr>
    </w:p>
    <w:p>
      <w:pPr>
        <w:jc w:val="both"/>
        <w:ind w:firstLine="1529"/>
        <w:spacing w:after="0" w:line="287" w:lineRule="auto"/>
        <w:tabs>
          <w:tab w:leader="none" w:pos="1776"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or Extension</w:t>
      </w:r>
      <w:r>
        <w:rPr>
          <w:rFonts w:ascii="Arial" w:cs="Arial" w:eastAsia="Arial" w:hAnsi="Arial"/>
          <w:sz w:val="16"/>
          <w:szCs w:val="16"/>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28</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73" w:name="page174"/>
    <w:bookmarkEnd w:id="173"/>
    <w:p>
      <w:pPr>
        <w:jc w:val="both"/>
        <w:ind w:firstLine="1529"/>
        <w:spacing w:after="0" w:line="288" w:lineRule="auto"/>
        <w:tabs>
          <w:tab w:leader="none" w:pos="1766"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Limitations on Amounts</w:t>
      </w:r>
      <w:r>
        <w:rPr>
          <w:rFonts w:ascii="Arial" w:cs="Arial" w:eastAsia="Arial" w:hAnsi="Arial"/>
          <w:sz w:val="16"/>
          <w:szCs w:val="16"/>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 requested to issue such Letter of Credit (determined for these purposes without giving effect to the participations therein of the Lenders pursuant to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shall not exceed the amount set forth opposite the name of such Issuing Bank on </w:t>
      </w:r>
      <w:r>
        <w:rPr>
          <w:rFonts w:ascii="Arial" w:cs="Arial" w:eastAsia="Arial" w:hAnsi="Arial"/>
          <w:sz w:val="16"/>
          <w:szCs w:val="16"/>
          <w:u w:val="single" w:color="auto"/>
          <w:color w:val="auto"/>
        </w:rPr>
        <w:t>Schedule 2.05</w:t>
      </w:r>
      <w:r>
        <w:rPr>
          <w:rFonts w:ascii="Arial" w:cs="Arial" w:eastAsia="Arial" w:hAnsi="Arial"/>
          <w:sz w:val="16"/>
          <w:szCs w:val="16"/>
          <w:color w:val="auto"/>
        </w:rPr>
        <w:t xml:space="preserve"> (or such greater amount as such Issuing Bank may agree in its sole discretion);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(iv) with respect to each Issuing Bank that is a Swingline Lender, the sum of such Swingline Lender’s outstanding Multicurrency Loans, its LC Exposure, its outstanding Swingline Loans and (without duplication) its other Swingline Exposure shall not exceed its Multicurrency Commitment then in effect; and (v) the total Covered Debt Amount shall not exceed the Borrowing Base then in effect.</w:t>
      </w:r>
    </w:p>
    <w:p>
      <w:pPr>
        <w:spacing w:after="0" w:line="169" w:lineRule="exact"/>
        <w:rPr>
          <w:rFonts w:ascii="Arial" w:cs="Arial" w:eastAsia="Arial" w:hAnsi="Arial"/>
          <w:sz w:val="16"/>
          <w:szCs w:val="16"/>
          <w:color w:val="auto"/>
        </w:rPr>
      </w:pPr>
    </w:p>
    <w:p>
      <w:pPr>
        <w:jc w:val="both"/>
        <w:ind w:firstLine="1529"/>
        <w:spacing w:after="0" w:line="291" w:lineRule="auto"/>
        <w:tabs>
          <w:tab w:leader="none" w:pos="1776"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applicable Issuing Bank and the Administrative Agent.</w:t>
      </w:r>
    </w:p>
    <w:p>
      <w:pPr>
        <w:spacing w:after="0" w:line="167" w:lineRule="exact"/>
        <w:rPr>
          <w:rFonts w:ascii="Arial" w:cs="Arial" w:eastAsia="Arial" w:hAnsi="Arial"/>
          <w:sz w:val="16"/>
          <w:szCs w:val="16"/>
          <w:color w:val="auto"/>
        </w:rPr>
      </w:pPr>
    </w:p>
    <w:p>
      <w:pPr>
        <w:jc w:val="both"/>
        <w:ind w:firstLine="1529"/>
        <w:spacing w:after="0" w:line="268" w:lineRule="auto"/>
        <w:tabs>
          <w:tab w:leader="none" w:pos="1766"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by the issuance of a Letter of Credit of a Class of Commitment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required to purchase a participation in a Letter of Credit pursuant to this </w:t>
      </w:r>
      <w:r>
        <w:rPr>
          <w:rFonts w:ascii="Arial" w:cs="Arial" w:eastAsia="Arial" w:hAnsi="Arial"/>
          <w:sz w:val="17"/>
          <w:szCs w:val="17"/>
          <w:u w:val="single" w:color="auto"/>
          <w:color w:val="auto"/>
        </w:rPr>
        <w:t>Section 2.05(e)</w:t>
      </w:r>
      <w:r>
        <w:rPr>
          <w:rFonts w:ascii="Arial" w:cs="Arial" w:eastAsia="Arial" w:hAnsi="Arial"/>
          <w:sz w:val="17"/>
          <w:szCs w:val="17"/>
          <w:color w:val="auto"/>
        </w:rPr>
        <w:t xml:space="preserve"> if (x)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would not be satisfied in respect of a Borrowing at the time such Letter of Credit was issued and (y) the Administrative Agent or any Lender shall have so notified such Issuing Bank in writing at least two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 Administrative Agent or the Borrower, at least two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spacing w:after="0" w:line="185" w:lineRule="exact"/>
        <w:rPr>
          <w:sz w:val="20"/>
          <w:szCs w:val="20"/>
          <w:color w:val="auto"/>
        </w:rPr>
      </w:pPr>
    </w:p>
    <w:p>
      <w:pPr>
        <w:jc w:val="both"/>
        <w:ind w:firstLine="1521"/>
        <w:spacing w:after="0" w:line="287"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in consideration and in furtherance of the foregoing, each Lender of a Class of Commitment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74" w:name="page175"/>
    <w:bookmarkEnd w:id="174"/>
    <w:p>
      <w:pPr>
        <w:jc w:val="both"/>
        <w:ind w:firstLine="1529"/>
        <w:spacing w:after="0" w:line="271" w:lineRule="auto"/>
        <w:tabs>
          <w:tab w:leader="none" w:pos="1746"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an Issuing Bank shall make any LC Disbursement in respect of a Letter of Credit, the Borrower shall reimburse such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 (ii) the Business Day immediately following the day that the Borrower receives such notice, if such notice is not received prior to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LC Disbursement is not less than $1,000,000 and is denominated in Dollars, the Borrower may, subject to the conditions to borrowing set forth herein, request in accordance with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2.04</w:t>
      </w:r>
      <w:r>
        <w:rPr>
          <w:rFonts w:ascii="Arial" w:cs="Arial" w:eastAsia="Arial" w:hAnsi="Arial"/>
          <w:sz w:val="17"/>
          <w:szCs w:val="17"/>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79"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spacing w:after="0" w:line="181" w:lineRule="exact"/>
        <w:rPr>
          <w:sz w:val="20"/>
          <w:szCs w:val="20"/>
          <w:color w:val="auto"/>
        </w:rPr>
      </w:pPr>
    </w:p>
    <w:p>
      <w:pPr>
        <w:jc w:val="both"/>
        <w:ind w:firstLine="1529"/>
        <w:spacing w:after="0" w:line="272" w:lineRule="auto"/>
        <w:tabs>
          <w:tab w:leader="none" w:pos="1776"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xml:space="preserve">. The Borrower’s obligation to reimburse LC Disbursements as provided in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78" w:lineRule="exact"/>
        <w:rPr>
          <w:sz w:val="20"/>
          <w:szCs w:val="20"/>
          <w:color w:val="auto"/>
        </w:rPr>
      </w:pPr>
    </w:p>
    <w:p>
      <w:pPr>
        <w:jc w:val="both"/>
        <w:ind w:firstLine="1521"/>
        <w:spacing w:after="0" w:line="270" w:lineRule="auto"/>
        <w:rPr>
          <w:sz w:val="20"/>
          <w:szCs w:val="20"/>
          <w:color w:val="auto"/>
        </w:rPr>
      </w:pPr>
      <w:r>
        <w:rPr>
          <w:rFonts w:ascii="Arial" w:cs="Arial" w:eastAsia="Arial" w:hAnsi="Arial"/>
          <w:sz w:val="17"/>
          <w:szCs w:val="17"/>
          <w:color w:val="auto"/>
        </w:rPr>
        <w:t xml:space="preserve">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any Issuing Bank from liability to the Borrower to the extent of any direct damages (as opposed to consequential damages, claims in respect of which are hereby waived by the Borrower to the extent permitted by applicable law) suffered by the Borrower that are caused by such Issuing Bank’s fraud, gross negligence or willful misconduct when determining whether drafts and other documents presented under a Letter of Credit comply with the terms thereof. The parties hereto expressly agree that:</w:t>
      </w:r>
    </w:p>
    <w:p>
      <w:pPr>
        <w:spacing w:after="0" w:line="182" w:lineRule="exact"/>
        <w:rPr>
          <w:sz w:val="20"/>
          <w:szCs w:val="20"/>
          <w:color w:val="auto"/>
        </w:rPr>
      </w:pPr>
    </w:p>
    <w:p>
      <w:pPr>
        <w:jc w:val="both"/>
        <w:ind w:left="760" w:firstLine="719"/>
        <w:spacing w:after="0" w:line="286" w:lineRule="auto"/>
        <w:tabs>
          <w:tab w:leader="none" w:pos="169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65" w:lineRule="exact"/>
        <w:rPr>
          <w:rFonts w:ascii="Arial" w:cs="Arial" w:eastAsia="Arial" w:hAnsi="Arial"/>
          <w:sz w:val="17"/>
          <w:szCs w:val="17"/>
          <w:color w:val="auto"/>
        </w:rPr>
      </w:pPr>
    </w:p>
    <w:p>
      <w:pPr>
        <w:ind w:left="760" w:firstLine="719"/>
        <w:spacing w:after="0" w:line="277" w:lineRule="auto"/>
        <w:tabs>
          <w:tab w:leader="none" w:pos="17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Issuing Banks shall have the right, in their sole discretion, to decline to accept such documents and to make such payment if such documents are not in strict compliance with the terms of such Letter of Credit; and</w:t>
      </w:r>
    </w:p>
    <w:p>
      <w:pPr>
        <w:spacing w:after="0" w:line="170" w:lineRule="exact"/>
        <w:rPr>
          <w:rFonts w:ascii="Arial" w:cs="Arial" w:eastAsia="Arial" w:hAnsi="Arial"/>
          <w:sz w:val="18"/>
          <w:szCs w:val="18"/>
          <w:color w:val="auto"/>
        </w:rPr>
      </w:pPr>
    </w:p>
    <w:p>
      <w:pPr>
        <w:jc w:val="both"/>
        <w:ind w:left="760" w:firstLine="719"/>
        <w:spacing w:after="0" w:line="264" w:lineRule="auto"/>
        <w:tabs>
          <w:tab w:leader="none" w:pos="180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1" w:lineRule="exact"/>
        <w:rPr>
          <w:rFonts w:ascii="Arial" w:cs="Arial" w:eastAsia="Arial" w:hAnsi="Arial"/>
          <w:sz w:val="18"/>
          <w:szCs w:val="18"/>
          <w:color w:val="auto"/>
        </w:rPr>
      </w:pPr>
    </w:p>
    <w:p>
      <w:pPr>
        <w:jc w:val="both"/>
        <w:ind w:firstLine="1529"/>
        <w:spacing w:after="0" w:line="276" w:lineRule="auto"/>
        <w:tabs>
          <w:tab w:leader="none" w:pos="1789"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of such demand for payment and whether such Issuing Bank has made or will make an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delay in giving such notice shall not relieve the Borrower of its obligation to reimburse such Issuing Bank and the applicable Lenders with respect to any such LC Disbursement.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30</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75" w:name="page176"/>
    <w:bookmarkEnd w:id="175"/>
    <w:p>
      <w:pPr>
        <w:jc w:val="both"/>
        <w:ind w:firstLine="1529"/>
        <w:spacing w:after="0" w:line="272" w:lineRule="auto"/>
        <w:tabs>
          <w:tab w:leader="none" w:pos="1776"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LC Disbursement within two Business Days following the date when due pursuant to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then the provisions of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shall apply. Interest accrued pursuant to this paragraph shall be for account of the applicable Issuing Bank, except that interest accrued on and after the date of payment by any Lender pursuant to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to reimburse such Issuing Bank shall be for account of such Lender to the extent of such payment.</w:t>
      </w:r>
    </w:p>
    <w:p>
      <w:pPr>
        <w:spacing w:after="0" w:line="177" w:lineRule="exact"/>
        <w:rPr>
          <w:rFonts w:ascii="Arial" w:cs="Arial" w:eastAsia="Arial" w:hAnsi="Arial"/>
          <w:sz w:val="17"/>
          <w:szCs w:val="17"/>
          <w:color w:val="auto"/>
        </w:rPr>
      </w:pPr>
    </w:p>
    <w:p>
      <w:pPr>
        <w:jc w:val="both"/>
        <w:ind w:firstLine="1529"/>
        <w:spacing w:after="0" w:line="286" w:lineRule="auto"/>
        <w:tabs>
          <w:tab w:leader="none" w:pos="1736"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Resignation and/or Replacement of an Issuing Bank</w:t>
      </w:r>
      <w:r>
        <w:rPr>
          <w:rFonts w:ascii="Arial" w:cs="Arial" w:eastAsia="Arial" w:hAnsi="Arial"/>
          <w:sz w:val="16"/>
          <w:szCs w:val="16"/>
          <w:color w:val="auto"/>
        </w:rPr>
        <w:t xml:space="preserve">. An Issuing Bank may resign and be replaced at any time by written agreement among the Borrower, the Administrative Agent, the resigning Issuing Bank and the successor Issuing Bank. In addition, if any Issuing Bank, in its capacity as a Lender, assigns all of its Loans and Commitments in accordance with the terms of this Agreement, such Issuing Bank may, with the prior written consent of the Borrower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if an Event of Default has occurred and is continuing), resign as an Issuing Bank hereunder upon not less than three Business Days prior written notice to the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spacing w:after="0" w:line="168" w:lineRule="exact"/>
        <w:rPr>
          <w:rFonts w:ascii="Arial" w:cs="Arial" w:eastAsia="Arial" w:hAnsi="Arial"/>
          <w:sz w:val="16"/>
          <w:szCs w:val="16"/>
          <w:color w:val="auto"/>
        </w:rPr>
      </w:pPr>
    </w:p>
    <w:p>
      <w:pPr>
        <w:jc w:val="both"/>
        <w:ind w:firstLine="1529"/>
        <w:spacing w:after="0" w:line="253" w:lineRule="auto"/>
        <w:tabs>
          <w:tab w:leader="none" w:pos="1789"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xml:space="preserve">. If the Borrower shall be required to provide Cash Collateral for LC Exposure pursuant to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or the last paragraph of </w:t>
      </w:r>
      <w:r>
        <w:rPr>
          <w:rFonts w:ascii="Arial" w:cs="Arial" w:eastAsia="Arial" w:hAnsi="Arial"/>
          <w:sz w:val="18"/>
          <w:szCs w:val="18"/>
          <w:u w:val="single" w:color="auto"/>
          <w:color w:val="auto"/>
        </w:rPr>
        <w:t>Article VII</w:t>
      </w:r>
      <w:r>
        <w:rPr>
          <w:rFonts w:ascii="Arial" w:cs="Arial" w:eastAsia="Arial" w:hAnsi="Arial"/>
          <w:sz w:val="18"/>
          <w:szCs w:val="18"/>
          <w:color w:val="auto"/>
        </w:rPr>
        <w:t>, the Borrower shall immediately deposit into a segregated collateral account or accounts (herein, collectively, the “</w:t>
      </w:r>
      <w:r>
        <w:rPr>
          <w:rFonts w:ascii="Arial" w:cs="Arial" w:eastAsia="Arial" w:hAnsi="Arial"/>
          <w:sz w:val="18"/>
          <w:szCs w:val="18"/>
          <w:u w:val="single" w:color="auto"/>
          <w:color w:val="auto"/>
        </w:rPr>
        <w:t>Letter of Credit Collateral Account</w:t>
      </w:r>
      <w:r>
        <w:rPr>
          <w:rFonts w:ascii="Arial" w:cs="Arial" w:eastAsia="Arial" w:hAnsi="Arial"/>
          <w:sz w:val="18"/>
          <w:szCs w:val="18"/>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or the last paragraph of </w:t>
      </w:r>
      <w:r>
        <w:rPr>
          <w:rFonts w:ascii="Arial" w:cs="Arial" w:eastAsia="Arial" w:hAnsi="Arial"/>
          <w:sz w:val="18"/>
          <w:szCs w:val="18"/>
          <w:u w:val="single" w:color="auto"/>
          <w:color w:val="auto"/>
        </w:rPr>
        <w:t>Article VII</w:t>
      </w:r>
      <w:r>
        <w:rPr>
          <w:rFonts w:ascii="Arial" w:cs="Arial" w:eastAsia="Arial" w:hAnsi="Arial"/>
          <w:sz w:val="18"/>
          <w:szCs w:val="18"/>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97" w:lineRule="exact"/>
        <w:rPr>
          <w:rFonts w:ascii="Arial" w:cs="Arial" w:eastAsia="Arial" w:hAnsi="Arial"/>
          <w:sz w:val="18"/>
          <w:szCs w:val="18"/>
          <w:color w:val="auto"/>
        </w:rPr>
      </w:pPr>
    </w:p>
    <w:p>
      <w:pPr>
        <w:jc w:val="both"/>
        <w:ind w:firstLine="1529"/>
        <w:spacing w:after="0" w:line="255" w:lineRule="auto"/>
        <w:tabs>
          <w:tab w:leader="none" w:pos="176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Additional Issuing Banks</w:t>
      </w:r>
      <w:r>
        <w:rPr>
          <w:rFonts w:ascii="Arial" w:cs="Arial" w:eastAsia="Arial" w:hAnsi="Arial"/>
          <w:sz w:val="18"/>
          <w:szCs w:val="18"/>
          <w:color w:val="auto"/>
        </w:rPr>
        <w:t xml:space="preserve">. From time to time, the Borrower may, by notice to the Administrative Agent, designate additional Extending Lenders as an Issuing Bank, each of which agrees (in its sole discretion) to act in such capacity and is reasonably satisfactory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notice shall include an updated Schedule 2.05;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1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73" w:lineRule="auto"/>
        <w:tabs>
          <w:tab w:leader="none" w:pos="1766"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Funding by Lenders</w:t>
      </w:r>
      <w:r>
        <w:rPr>
          <w:rFonts w:ascii="Arial" w:cs="Arial" w:eastAsia="Arial" w:hAnsi="Arial"/>
          <w:sz w:val="17"/>
          <w:szCs w:val="17"/>
          <w:color w:val="auto"/>
        </w:rPr>
        <w:t xml:space="preserve">. Each Lender shall make each Loan to be made by it hereunder on the proposed date thereof by wire transfer of immediately available funds by 11:00 a.m., Atlanta, Georgia time, to the account of the Administrative Agent most recently designated by it for such purpose by notice to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Syndicated ABR Borrowings made to finance the reimbursement of an LC Disbursement as provided in </w:t>
      </w:r>
      <w:r>
        <w:rPr>
          <w:rFonts w:ascii="Arial" w:cs="Arial" w:eastAsia="Arial" w:hAnsi="Arial"/>
          <w:sz w:val="17"/>
          <w:szCs w:val="17"/>
          <w:u w:val="single" w:color="auto"/>
          <w:color w:val="auto"/>
        </w:rPr>
        <w:t>Section 2.05(f)</w:t>
      </w:r>
      <w:r>
        <w:rPr>
          <w:rFonts w:ascii="Arial" w:cs="Arial" w:eastAsia="Arial" w:hAnsi="Arial"/>
          <w:sz w:val="17"/>
          <w:szCs w:val="17"/>
          <w:color w:val="auto"/>
        </w:rPr>
        <w:t xml:space="preserve"> shall be remitted by the Administrative Agent to the applicable Issuing Bank.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6" w:name="page177"/>
    <w:bookmarkEnd w:id="176"/>
    <w:p>
      <w:pPr>
        <w:jc w:val="both"/>
        <w:ind w:firstLine="1529"/>
        <w:spacing w:after="0" w:line="269" w:lineRule="auto"/>
        <w:tabs>
          <w:tab w:leader="none" w:pos="1789"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Presumption by the Administrative Agent</w:t>
      </w:r>
      <w:r>
        <w:rPr>
          <w:rFonts w:ascii="Arial" w:cs="Arial" w:eastAsia="Arial" w:hAnsi="Arial"/>
          <w:sz w:val="17"/>
          <w:szCs w:val="17"/>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8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85" w:lineRule="auto"/>
        <w:tabs>
          <w:tab w:leader="none" w:pos="1766" w:val="left"/>
        </w:tabs>
        <w:numPr>
          <w:ilvl w:val="2"/>
          <w:numId w:val="140"/>
        </w:numPr>
        <w:rPr>
          <w:rFonts w:ascii="Arial" w:cs="Arial" w:eastAsia="Arial" w:hAnsi="Arial"/>
          <w:sz w:val="16"/>
          <w:szCs w:val="16"/>
          <w:color w:val="auto"/>
        </w:rPr>
      </w:pPr>
      <w:r>
        <w:rPr>
          <w:rFonts w:ascii="Arial" w:cs="Arial" w:eastAsia="Arial" w:hAnsi="Arial"/>
          <w:sz w:val="16"/>
          <w:szCs w:val="16"/>
          <w:u w:val="single" w:color="auto"/>
          <w:color w:val="auto"/>
        </w:rPr>
        <w:t>Elections by the Borrower for Syndicated Borrowings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2.03(d)</w:t>
      </w:r>
      <w:r>
        <w:rPr>
          <w:rFonts w:ascii="Arial" w:cs="Arial" w:eastAsia="Arial" w:hAnsi="Arial"/>
          <w:sz w:val="16"/>
          <w:szCs w:val="16"/>
          <w:color w:val="auto"/>
        </w:rPr>
        <w:t xml:space="preserve">, the 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 Syndicated Borrowing of a Class may only be continued or converted into a Syndicated Borrowing of the same Class,</w:t>
      </w:r>
    </w:p>
    <w:p>
      <w:pPr>
        <w:spacing w:after="0" w:line="2" w:lineRule="exact"/>
        <w:rPr>
          <w:rFonts w:ascii="Arial" w:cs="Arial" w:eastAsia="Arial" w:hAnsi="Arial"/>
          <w:sz w:val="16"/>
          <w:szCs w:val="16"/>
          <w:color w:val="auto"/>
        </w:rPr>
      </w:pPr>
    </w:p>
    <w:p>
      <w:pPr>
        <w:jc w:val="both"/>
        <w:ind w:firstLine="8"/>
        <w:spacing w:after="0" w:line="252" w:lineRule="auto"/>
        <w:tabs>
          <w:tab w:leader="none" w:pos="27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Syndicated Borrowing denominated in one Currency may not be continued as, or converted to, a Syndicated Borrowing in a different Currency, (iii) no Eurocurrency Borrowing denominated in a Foreign Currency may be continued if, after giving effect thereto, the aggregate Revolving Multicurrency Credit Exposures would exceed the aggregate Multicurrency Commitments, and (iv) 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193" w:lineRule="exact"/>
        <w:rPr>
          <w:rFonts w:ascii="Arial" w:cs="Arial" w:eastAsia="Arial" w:hAnsi="Arial"/>
          <w:sz w:val="18"/>
          <w:szCs w:val="18"/>
          <w:color w:val="auto"/>
        </w:rPr>
      </w:pPr>
    </w:p>
    <w:p>
      <w:pPr>
        <w:jc w:val="both"/>
        <w:ind w:firstLine="1529"/>
        <w:spacing w:after="0" w:line="276" w:lineRule="auto"/>
        <w:tabs>
          <w:tab w:leader="none" w:pos="1803" w:val="left"/>
        </w:tabs>
        <w:numPr>
          <w:ilvl w:val="2"/>
          <w:numId w:val="141"/>
        </w:numPr>
        <w:rPr>
          <w:rFonts w:ascii="Arial" w:cs="Arial" w:eastAsia="Arial" w:hAnsi="Arial"/>
          <w:sz w:val="17"/>
          <w:szCs w:val="17"/>
          <w:color w:val="auto"/>
        </w:rPr>
      </w:pPr>
      <w:r>
        <w:rPr>
          <w:rFonts w:ascii="Arial" w:cs="Arial" w:eastAsia="Arial" w:hAnsi="Arial"/>
          <w:sz w:val="17"/>
          <w:szCs w:val="17"/>
          <w:u w:val="single" w:color="auto"/>
          <w:color w:val="auto"/>
        </w:rPr>
        <w:t>Notice of Elections</w:t>
      </w:r>
      <w:r>
        <w:rPr>
          <w:rFonts w:ascii="Arial" w:cs="Arial" w:eastAsia="Arial" w:hAnsi="Arial"/>
          <w:sz w:val="17"/>
          <w:szCs w:val="17"/>
          <w:color w:val="auto"/>
        </w:rPr>
        <w:t xml:space="preserve">. To make an election pursuant to this Section, the Borrower shall notify the Administrative Agent of such election by telephone by the time that a Borrowing Request would be required under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72" w:lineRule="exact"/>
        <w:rPr>
          <w:rFonts w:ascii="Arial" w:cs="Arial" w:eastAsia="Arial" w:hAnsi="Arial"/>
          <w:sz w:val="17"/>
          <w:szCs w:val="17"/>
          <w:color w:val="auto"/>
        </w:rPr>
      </w:pPr>
    </w:p>
    <w:p>
      <w:pPr>
        <w:ind w:firstLine="1529"/>
        <w:spacing w:after="0" w:line="277" w:lineRule="auto"/>
        <w:tabs>
          <w:tab w:leader="none" w:pos="1766" w:val="left"/>
        </w:tabs>
        <w:numPr>
          <w:ilvl w:val="2"/>
          <w:numId w:val="141"/>
        </w:numPr>
        <w:rPr>
          <w:rFonts w:ascii="Arial" w:cs="Arial" w:eastAsia="Arial" w:hAnsi="Arial"/>
          <w:sz w:val="18"/>
          <w:szCs w:val="18"/>
          <w:color w:val="auto"/>
        </w:rPr>
      </w:pPr>
      <w:r>
        <w:rPr>
          <w:rFonts w:ascii="Arial" w:cs="Arial" w:eastAsia="Arial" w:hAnsi="Arial"/>
          <w:sz w:val="18"/>
          <w:szCs w:val="18"/>
          <w:u w:val="single" w:color="auto"/>
          <w:color w:val="auto"/>
        </w:rPr>
        <w:t>Content of Interest Election Requests</w:t>
      </w:r>
      <w:r>
        <w:rPr>
          <w:rFonts w:ascii="Arial" w:cs="Arial" w:eastAsia="Arial" w:hAnsi="Arial"/>
          <w:sz w:val="18"/>
          <w:szCs w:val="18"/>
          <w:color w:val="auto"/>
        </w:rPr>
        <w:t xml:space="preserve">. Each telephonic and written Interest Election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760" w:firstLine="719"/>
        <w:spacing w:after="0" w:line="286" w:lineRule="auto"/>
        <w:tabs>
          <w:tab w:leader="none" w:pos="1687" w:val="left"/>
        </w:tabs>
        <w:numPr>
          <w:ilvl w:val="1"/>
          <w:numId w:val="141"/>
        </w:numPr>
        <w:rPr>
          <w:rFonts w:ascii="Arial" w:cs="Arial" w:eastAsia="Arial" w:hAnsi="Arial"/>
          <w:sz w:val="17"/>
          <w:szCs w:val="17"/>
          <w:color w:val="auto"/>
        </w:rPr>
      </w:pPr>
      <w:r>
        <w:rPr>
          <w:rFonts w:ascii="Arial" w:cs="Arial" w:eastAsia="Arial" w:hAnsi="Arial"/>
          <w:sz w:val="17"/>
          <w:szCs w:val="17"/>
          <w:color w:val="auto"/>
        </w:rPr>
        <w:t xml:space="preserve">the Borrowing (including the Class of Commitment)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of this paragraph shall be specified for each resulting Borrowing);</w:t>
      </w:r>
    </w:p>
    <w:p>
      <w:pPr>
        <w:spacing w:after="0" w:line="165" w:lineRule="exact"/>
        <w:rPr>
          <w:rFonts w:ascii="Arial" w:cs="Arial" w:eastAsia="Arial" w:hAnsi="Arial"/>
          <w:sz w:val="17"/>
          <w:szCs w:val="17"/>
          <w:color w:val="auto"/>
        </w:rPr>
      </w:pPr>
    </w:p>
    <w:p>
      <w:pPr>
        <w:ind w:left="1740" w:hanging="261"/>
        <w:spacing w:after="0"/>
        <w:tabs>
          <w:tab w:leader="none" w:pos="17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25" w:lineRule="exact"/>
        <w:rPr>
          <w:rFonts w:ascii="Arial" w:cs="Arial" w:eastAsia="Arial" w:hAnsi="Arial"/>
          <w:sz w:val="18"/>
          <w:szCs w:val="18"/>
          <w:color w:val="auto"/>
        </w:rPr>
      </w:pPr>
    </w:p>
    <w:p>
      <w:pPr>
        <w:ind w:left="760" w:firstLine="719"/>
        <w:spacing w:after="0" w:line="277" w:lineRule="auto"/>
        <w:tabs>
          <w:tab w:leader="none" w:pos="179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whether, in the case of a Borrowing denominated in Dollars, the resulting Borrowing is to be an ABR Borrowing or a Eurocurrency Borrowing; and</w:t>
      </w:r>
    </w:p>
    <w:p>
      <w:pPr>
        <w:spacing w:after="0" w:line="170" w:lineRule="exact"/>
        <w:rPr>
          <w:rFonts w:ascii="Arial" w:cs="Arial" w:eastAsia="Arial" w:hAnsi="Arial"/>
          <w:sz w:val="18"/>
          <w:szCs w:val="18"/>
          <w:color w:val="auto"/>
        </w:rPr>
      </w:pPr>
    </w:p>
    <w:p>
      <w:pPr>
        <w:ind w:left="760" w:firstLine="719"/>
        <w:spacing w:after="0" w:line="277" w:lineRule="auto"/>
        <w:tabs>
          <w:tab w:leader="none" w:pos="178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if the resulting Borrowing is a Eurocurrency Borrowing, the Interest Period therefor after giving effect to such election,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32</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7" w:name="page178"/>
    <w:bookmarkEnd w:id="177"/>
    <w:p>
      <w:pPr>
        <w:ind w:firstLine="1529"/>
        <w:spacing w:after="0" w:line="277" w:lineRule="auto"/>
        <w:tabs>
          <w:tab w:leader="none" w:pos="1776"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an Interest Election Request, the Administrative Agent shall advise each applicable Lender of the details thereof and of such Lender’s portion of each resulting Borrowing.</w:t>
      </w:r>
    </w:p>
    <w:p>
      <w:pPr>
        <w:spacing w:after="0" w:line="170" w:lineRule="exact"/>
        <w:rPr>
          <w:rFonts w:ascii="Arial" w:cs="Arial" w:eastAsia="Arial" w:hAnsi="Arial"/>
          <w:sz w:val="18"/>
          <w:szCs w:val="18"/>
          <w:color w:val="auto"/>
        </w:rPr>
      </w:pPr>
    </w:p>
    <w:p>
      <w:pPr>
        <w:jc w:val="both"/>
        <w:ind w:firstLine="1529"/>
        <w:spacing w:after="0" w:line="271" w:lineRule="auto"/>
        <w:tabs>
          <w:tab w:leader="none" w:pos="1766"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Failure to Elect; Events of Default</w:t>
      </w:r>
      <w:r>
        <w:rPr>
          <w:rFonts w:ascii="Arial" w:cs="Arial" w:eastAsia="Arial" w:hAnsi="Arial"/>
          <w:sz w:val="17"/>
          <w:szCs w:val="17"/>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 (ii) any Eurocurrency Borrowing denominated in a Foreign Currency shall not have an Interest Period of more than one month’s duration.</w:t>
      </w:r>
    </w:p>
    <w:p>
      <w:pPr>
        <w:spacing w:after="0" w:line="17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Reduction or Increase of the Commitments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86" w:lineRule="auto"/>
        <w:tabs>
          <w:tab w:leader="none" w:pos="1766" w:val="left"/>
        </w:tabs>
        <w:numPr>
          <w:ilvl w:val="2"/>
          <w:numId w:val="143"/>
        </w:numPr>
        <w:rPr>
          <w:rFonts w:ascii="Arial" w:cs="Arial" w:eastAsia="Arial" w:hAnsi="Arial"/>
          <w:sz w:val="17"/>
          <w:szCs w:val="17"/>
          <w:color w:val="auto"/>
        </w:rPr>
      </w:pPr>
      <w:r>
        <w:rPr>
          <w:rFonts w:ascii="Arial" w:cs="Arial" w:eastAsia="Arial" w:hAnsi="Arial"/>
          <w:sz w:val="17"/>
          <w:szCs w:val="17"/>
          <w:u w:val="single" w:color="auto"/>
          <w:color w:val="auto"/>
        </w:rPr>
        <w:t>Scheduled Termination</w:t>
      </w:r>
      <w:r>
        <w:rPr>
          <w:rFonts w:ascii="Arial" w:cs="Arial" w:eastAsia="Arial" w:hAnsi="Arial"/>
          <w:sz w:val="17"/>
          <w:szCs w:val="17"/>
          <w:color w:val="auto"/>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w:t>
      </w:r>
    </w:p>
    <w:p>
      <w:pPr>
        <w:spacing w:after="0" w:line="165" w:lineRule="exact"/>
        <w:rPr>
          <w:rFonts w:ascii="Arial" w:cs="Arial" w:eastAsia="Arial" w:hAnsi="Arial"/>
          <w:sz w:val="17"/>
          <w:szCs w:val="17"/>
          <w:color w:val="auto"/>
        </w:rPr>
      </w:pPr>
    </w:p>
    <w:p>
      <w:pPr>
        <w:jc w:val="both"/>
        <w:ind w:firstLine="1529"/>
        <w:spacing w:after="0" w:line="284" w:lineRule="auto"/>
        <w:tabs>
          <w:tab w:leader="none" w:pos="1789" w:val="left"/>
        </w:tabs>
        <w:numPr>
          <w:ilvl w:val="2"/>
          <w:numId w:val="143"/>
        </w:numPr>
        <w:rPr>
          <w:rFonts w:ascii="Arial" w:cs="Arial" w:eastAsia="Arial" w:hAnsi="Arial"/>
          <w:sz w:val="16"/>
          <w:szCs w:val="16"/>
          <w:color w:val="auto"/>
        </w:rPr>
      </w:pPr>
      <w:r>
        <w:rPr>
          <w:rFonts w:ascii="Arial" w:cs="Arial" w:eastAsia="Arial" w:hAnsi="Arial"/>
          <w:sz w:val="16"/>
          <w:szCs w:val="16"/>
          <w:u w:val="single" w:color="auto"/>
          <w:color w:val="auto"/>
        </w:rPr>
        <w:t>Voluntary Termination or Reduction</w:t>
      </w:r>
      <w:r>
        <w:rPr>
          <w:rFonts w:ascii="Arial" w:cs="Arial" w:eastAsia="Arial" w:hAnsi="Arial"/>
          <w:sz w:val="16"/>
          <w:szCs w:val="16"/>
          <w:color w:val="auto"/>
        </w:rPr>
        <w:t xml:space="preserve">. The Borrower may at any time terminate, or from time to time reduce, the Commitments of either Class of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Commitments of a Class shall be in an amount that is $10,000,000 (or, if less, the entire amount of the Commitments of such Class) or a larger multiple of $5,000,000 in excess thereof and (ii) the Borrower shall not terminate or reduce the Commitments of either Class of Commitment if, after giving effect to any concurrent prepayment of the Syndicated Loans of such Class in accordance with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the total Revolving Credit Exposures of such Class would exceed the total Commitments of such Class. Any such reduction of the Commitments below the principal amount of the Swingline Loans permitted under </w:t>
      </w:r>
      <w:r>
        <w:rPr>
          <w:rFonts w:ascii="Arial" w:cs="Arial" w:eastAsia="Arial" w:hAnsi="Arial"/>
          <w:sz w:val="16"/>
          <w:szCs w:val="16"/>
          <w:u w:val="single" w:color="auto"/>
          <w:color w:val="auto"/>
        </w:rPr>
        <w:t>Section 2.04(a)(i)</w:t>
      </w:r>
      <w:r>
        <w:rPr>
          <w:rFonts w:ascii="Arial" w:cs="Arial" w:eastAsia="Arial" w:hAnsi="Arial"/>
          <w:sz w:val="16"/>
          <w:szCs w:val="16"/>
          <w:color w:val="auto"/>
        </w:rPr>
        <w:t xml:space="preserve"> and the Letters of Credit permitted under </w:t>
      </w:r>
      <w:r>
        <w:rPr>
          <w:rFonts w:ascii="Arial" w:cs="Arial" w:eastAsia="Arial" w:hAnsi="Arial"/>
          <w:sz w:val="16"/>
          <w:szCs w:val="16"/>
          <w:u w:val="single" w:color="auto"/>
          <w:color w:val="auto"/>
        </w:rPr>
        <w:t>Section 2.05(c)</w:t>
      </w:r>
    </w:p>
    <w:p>
      <w:pPr>
        <w:spacing w:after="0" w:line="4" w:lineRule="exact"/>
        <w:rPr>
          <w:rFonts w:ascii="Arial" w:cs="Arial" w:eastAsia="Arial" w:hAnsi="Arial"/>
          <w:sz w:val="16"/>
          <w:szCs w:val="16"/>
          <w:color w:val="auto"/>
        </w:rPr>
      </w:pPr>
    </w:p>
    <w:p>
      <w:pPr>
        <w:ind w:left="220" w:hanging="212"/>
        <w:spacing w:after="0"/>
        <w:tabs>
          <w:tab w:leader="none" w:pos="220" w:val="left"/>
        </w:tabs>
        <w:numPr>
          <w:ilvl w:val="0"/>
          <w:numId w:val="144"/>
        </w:numPr>
        <w:rPr>
          <w:rFonts w:ascii="Arial" w:cs="Arial" w:eastAsia="Arial" w:hAnsi="Arial"/>
          <w:sz w:val="18"/>
          <w:szCs w:val="18"/>
          <w:u w:val="single" w:color="auto"/>
          <w:color w:val="auto"/>
        </w:rPr>
      </w:pPr>
      <w:r>
        <w:rPr>
          <w:rFonts w:ascii="Arial" w:cs="Arial" w:eastAsia="Arial" w:hAnsi="Arial"/>
          <w:sz w:val="18"/>
          <w:szCs w:val="18"/>
          <w:color w:val="auto"/>
        </w:rPr>
        <w:t>shall result in a dollar-for-dollar reduction of such amounts as applicable.</w:t>
      </w:r>
    </w:p>
    <w:p>
      <w:pPr>
        <w:spacing w:after="0" w:line="210" w:lineRule="exact"/>
        <w:rPr>
          <w:rFonts w:ascii="Arial" w:cs="Arial" w:eastAsia="Arial" w:hAnsi="Arial"/>
          <w:sz w:val="18"/>
          <w:szCs w:val="18"/>
          <w:u w:val="single" w:color="auto"/>
          <w:color w:val="auto"/>
        </w:rPr>
      </w:pPr>
    </w:p>
    <w:p>
      <w:pPr>
        <w:jc w:val="both"/>
        <w:ind w:firstLine="1529"/>
        <w:spacing w:after="0" w:line="255" w:lineRule="auto"/>
        <w:tabs>
          <w:tab w:leader="none" w:pos="1766"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Notice of Voluntary Termination or Reduction</w:t>
      </w:r>
      <w:r>
        <w:rPr>
          <w:rFonts w:ascii="Arial" w:cs="Arial" w:eastAsia="Arial" w:hAnsi="Arial"/>
          <w:sz w:val="18"/>
          <w:szCs w:val="18"/>
          <w:color w:val="auto"/>
        </w:rPr>
        <w:t xml:space="preserve">. The Borrower shall notify the Administrative Agent of any election to terminate or reduce the Commitments under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89" w:lineRule="exact"/>
        <w:rPr>
          <w:rFonts w:ascii="Arial" w:cs="Arial" w:eastAsia="Arial" w:hAnsi="Arial"/>
          <w:sz w:val="18"/>
          <w:szCs w:val="18"/>
          <w:color w:val="auto"/>
        </w:rPr>
      </w:pPr>
    </w:p>
    <w:p>
      <w:pPr>
        <w:jc w:val="both"/>
        <w:ind w:right="20" w:firstLine="1529"/>
        <w:spacing w:after="0" w:line="264" w:lineRule="auto"/>
        <w:tabs>
          <w:tab w:leader="none" w:pos="1789"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Effect of Termination or Reduction</w:t>
      </w:r>
      <w:r>
        <w:rPr>
          <w:rFonts w:ascii="Arial" w:cs="Arial" w:eastAsia="Arial" w:hAnsi="Arial"/>
          <w:sz w:val="18"/>
          <w:szCs w:val="18"/>
          <w:color w:val="auto"/>
        </w:rPr>
        <w:t xml:space="preserve">. Any termination or reduction of the Commitments of a Class of Commitments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be permanent. Each reduction of the Commitments of a Class of Commitments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be made ratably among the Lenders of such Class in accordance with their respective Commitments.</w:t>
      </w:r>
    </w:p>
    <w:p>
      <w:pPr>
        <w:spacing w:after="0" w:line="181" w:lineRule="exact"/>
        <w:rPr>
          <w:rFonts w:ascii="Arial" w:cs="Arial" w:eastAsia="Arial" w:hAnsi="Arial"/>
          <w:sz w:val="18"/>
          <w:szCs w:val="18"/>
          <w:color w:val="auto"/>
        </w:rPr>
      </w:pPr>
    </w:p>
    <w:p>
      <w:pPr>
        <w:ind w:left="1780" w:hanging="251"/>
        <w:spacing w:after="0"/>
        <w:tabs>
          <w:tab w:leader="none" w:pos="1780"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Increase of the Commitments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719"/>
        <w:spacing w:after="0" w:line="255" w:lineRule="auto"/>
        <w:tabs>
          <w:tab w:leader="none" w:pos="1726"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Requests for Increase by Borrower</w:t>
      </w:r>
      <w:r>
        <w:rPr>
          <w:rFonts w:ascii="Arial" w:cs="Arial" w:eastAsia="Arial" w:hAnsi="Arial"/>
          <w:sz w:val="18"/>
          <w:szCs w:val="18"/>
          <w:color w:val="auto"/>
        </w:rPr>
        <w:t>. The Borrower may, at any time, request that the Commitments hereunder of a Class of Commitments be increased (each such proposed increase being a “</w:t>
      </w:r>
      <w:r>
        <w:rPr>
          <w:rFonts w:ascii="Arial" w:cs="Arial" w:eastAsia="Arial" w:hAnsi="Arial"/>
          <w:sz w:val="18"/>
          <w:szCs w:val="18"/>
          <w:u w:val="single" w:color="auto"/>
          <w:color w:val="auto"/>
        </w:rPr>
        <w:t>Commitment Increase</w:t>
      </w:r>
      <w:r>
        <w:rPr>
          <w:rFonts w:ascii="Arial" w:cs="Arial" w:eastAsia="Arial" w:hAnsi="Arial"/>
          <w:sz w:val="18"/>
          <w:szCs w:val="18"/>
          <w:color w:val="auto"/>
        </w:rPr>
        <w: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 Class of Non-Extended Loans be increased hereunder), upon notice to the Administrative Agent (who shall promptly notify the Lenders), which notice shall specify each existing Lender (each 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and/or each additional lender (each an “</w:t>
      </w:r>
      <w:r>
        <w:rPr>
          <w:rFonts w:ascii="Arial" w:cs="Arial" w:eastAsia="Arial" w:hAnsi="Arial"/>
          <w:sz w:val="18"/>
          <w:szCs w:val="18"/>
          <w:u w:val="single" w:color="auto"/>
          <w:color w:val="auto"/>
        </w:rPr>
        <w:t>Assuming Lender</w:t>
      </w:r>
      <w:r>
        <w:rPr>
          <w:rFonts w:ascii="Arial" w:cs="Arial" w:eastAsia="Arial" w:hAnsi="Arial"/>
          <w:sz w:val="18"/>
          <w:szCs w:val="18"/>
          <w:color w:val="auto"/>
        </w:rPr>
        <w:t>”) that shall have agreed to an additional Commitment and the date on which such increase is to be effective (the “</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xml:space="preserve">”), which shall be a Business Day at least three Business Days (or such lesser period as the Administrative Agent may reasonably agree) after delivery of such notice and 30 days prior to the Extended Commitment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9" w:lineRule="exact"/>
        <w:rPr>
          <w:rFonts w:ascii="Arial" w:cs="Arial" w:eastAsia="Arial" w:hAnsi="Arial"/>
          <w:sz w:val="18"/>
          <w:szCs w:val="18"/>
          <w:color w:val="auto"/>
        </w:rPr>
      </w:pPr>
    </w:p>
    <w:p>
      <w:pPr>
        <w:jc w:val="both"/>
        <w:ind w:left="1520" w:firstLine="669"/>
        <w:spacing w:after="0" w:line="264" w:lineRule="auto"/>
        <w:tabs>
          <w:tab w:leader="none" w:pos="2507" w:val="left"/>
        </w:tabs>
        <w:numPr>
          <w:ilvl w:val="3"/>
          <w:numId w:val="144"/>
        </w:numPr>
        <w:rPr>
          <w:rFonts w:ascii="Arial" w:cs="Arial" w:eastAsia="Arial" w:hAnsi="Arial"/>
          <w:sz w:val="18"/>
          <w:szCs w:val="18"/>
          <w:color w:val="auto"/>
        </w:rPr>
      </w:pPr>
      <w:r>
        <w:rPr>
          <w:rFonts w:ascii="Arial" w:cs="Arial" w:eastAsia="Arial" w:hAnsi="Arial"/>
          <w:sz w:val="18"/>
          <w:szCs w:val="18"/>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33</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78" w:name="page179"/>
    <w:bookmarkEnd w:id="178"/>
    <w:p>
      <w:pPr>
        <w:jc w:val="both"/>
        <w:ind w:left="1520" w:firstLine="669"/>
        <w:spacing w:after="0" w:line="264" w:lineRule="auto"/>
        <w:tabs>
          <w:tab w:leader="none" w:pos="251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to such Commitment Increase (including, if applicable, the substantially concurrent reduction of the Commitments of a Non-Extending Lender in accordance with </w:t>
      </w:r>
      <w:r>
        <w:rPr>
          <w:rFonts w:ascii="Arial" w:cs="Arial" w:eastAsia="Arial" w:hAnsi="Arial"/>
          <w:sz w:val="18"/>
          <w:szCs w:val="18"/>
          <w:u w:val="single" w:color="auto"/>
          <w:color w:val="auto"/>
        </w:rPr>
        <w:t>Section 2.08(f)</w:t>
      </w:r>
      <w:r>
        <w:rPr>
          <w:rFonts w:ascii="Arial" w:cs="Arial" w:eastAsia="Arial" w:hAnsi="Arial"/>
          <w:sz w:val="18"/>
          <w:szCs w:val="18"/>
          <w:color w:val="auto"/>
        </w:rPr>
        <w:t>), the total Commitments of all of the Lenders hereunder shall not exceed $1,250,000,000;</w:t>
      </w:r>
    </w:p>
    <w:p>
      <w:pPr>
        <w:spacing w:after="0" w:line="181" w:lineRule="exact"/>
        <w:rPr>
          <w:rFonts w:ascii="Arial" w:cs="Arial" w:eastAsia="Arial" w:hAnsi="Arial"/>
          <w:sz w:val="18"/>
          <w:szCs w:val="18"/>
          <w:color w:val="auto"/>
        </w:rPr>
      </w:pPr>
    </w:p>
    <w:p>
      <w:pPr>
        <w:ind w:left="1520" w:firstLine="669"/>
        <w:spacing w:after="0" w:line="277" w:lineRule="auto"/>
        <w:tabs>
          <w:tab w:leader="none" w:pos="247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each Assuming Lender shall be consented to by the Administrative Agent and each Issuing Bank (such consent not to be unreasonably withheld);</w:t>
      </w:r>
    </w:p>
    <w:p>
      <w:pPr>
        <w:spacing w:after="0" w:line="170" w:lineRule="exact"/>
        <w:rPr>
          <w:rFonts w:ascii="Arial" w:cs="Arial" w:eastAsia="Arial" w:hAnsi="Arial"/>
          <w:sz w:val="18"/>
          <w:szCs w:val="18"/>
          <w:color w:val="auto"/>
        </w:rPr>
      </w:pPr>
    </w:p>
    <w:p>
      <w:pPr>
        <w:ind w:left="1520" w:firstLine="669"/>
        <w:spacing w:after="0" w:line="277" w:lineRule="auto"/>
        <w:tabs>
          <w:tab w:leader="none" w:pos="249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such Commitment Increase Date or shall result from the proposed Commitment Increase; and</w:t>
      </w:r>
    </w:p>
    <w:p>
      <w:pPr>
        <w:spacing w:after="0" w:line="170" w:lineRule="exact"/>
        <w:rPr>
          <w:rFonts w:ascii="Arial" w:cs="Arial" w:eastAsia="Arial" w:hAnsi="Arial"/>
          <w:sz w:val="18"/>
          <w:szCs w:val="18"/>
          <w:color w:val="auto"/>
        </w:rPr>
      </w:pPr>
    </w:p>
    <w:p>
      <w:pPr>
        <w:jc w:val="both"/>
        <w:ind w:left="1520" w:firstLine="669"/>
        <w:spacing w:after="0" w:line="259" w:lineRule="auto"/>
        <w:tabs>
          <w:tab w:leader="none" w:pos="246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86" w:lineRule="exact"/>
        <w:rPr>
          <w:rFonts w:ascii="Arial" w:cs="Arial" w:eastAsia="Arial" w:hAnsi="Arial"/>
          <w:sz w:val="18"/>
          <w:szCs w:val="18"/>
          <w:color w:val="auto"/>
        </w:rPr>
      </w:pPr>
    </w:p>
    <w:p>
      <w:pPr>
        <w:jc w:val="both"/>
        <w:ind w:left="760" w:firstLine="719"/>
        <w:spacing w:after="0" w:line="264" w:lineRule="auto"/>
        <w:tabs>
          <w:tab w:leader="none" w:pos="1749"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Effectiveness of Commitment Increase by Borrower</w:t>
      </w:r>
      <w:r>
        <w:rPr>
          <w:rFonts w:ascii="Arial" w:cs="Arial" w:eastAsia="Arial" w:hAnsi="Arial"/>
          <w:sz w:val="18"/>
          <w:szCs w:val="18"/>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left="1520" w:right="120" w:firstLine="669"/>
        <w:spacing w:after="0" w:line="259" w:lineRule="auto"/>
        <w:tabs>
          <w:tab w:leader="none" w:pos="243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has been satisfied; and</w:t>
      </w:r>
    </w:p>
    <w:p>
      <w:pPr>
        <w:spacing w:after="0" w:line="186" w:lineRule="exact"/>
        <w:rPr>
          <w:rFonts w:ascii="Arial" w:cs="Arial" w:eastAsia="Arial" w:hAnsi="Arial"/>
          <w:sz w:val="18"/>
          <w:szCs w:val="18"/>
          <w:color w:val="auto"/>
        </w:rPr>
      </w:pPr>
    </w:p>
    <w:p>
      <w:pPr>
        <w:ind w:left="1520" w:right="120" w:firstLine="669"/>
        <w:spacing w:after="0" w:line="255" w:lineRule="auto"/>
        <w:tabs>
          <w:tab w:leader="none" w:pos="243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193" w:lineRule="exact"/>
        <w:rPr>
          <w:sz w:val="20"/>
          <w:szCs w:val="20"/>
          <w:color w:val="auto"/>
        </w:rPr>
      </w:pPr>
    </w:p>
    <w:p>
      <w:pPr>
        <w:ind w:left="760" w:right="460"/>
        <w:spacing w:after="0" w:line="342" w:lineRule="auto"/>
        <w:rPr>
          <w:sz w:val="20"/>
          <w:szCs w:val="20"/>
          <w:color w:val="auto"/>
        </w:rPr>
      </w:pPr>
      <w:r>
        <w:rPr>
          <w:rFonts w:ascii="Arial" w:cs="Arial" w:eastAsia="Arial" w:hAnsi="Arial"/>
          <w:sz w:val="16"/>
          <w:szCs w:val="16"/>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24" w:lineRule="exact"/>
        <w:rPr>
          <w:sz w:val="20"/>
          <w:szCs w:val="20"/>
          <w:color w:val="auto"/>
        </w:rPr>
      </w:pPr>
    </w:p>
    <w:p>
      <w:pPr>
        <w:jc w:val="both"/>
        <w:ind w:left="760" w:firstLine="719"/>
        <w:spacing w:after="0" w:line="259" w:lineRule="auto"/>
        <w:tabs>
          <w:tab w:leader="none" w:pos="1785"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Recordation into Register</w:t>
      </w:r>
      <w:r>
        <w:rPr>
          <w:rFonts w:ascii="Arial" w:cs="Arial" w:eastAsia="Arial" w:hAnsi="Arial"/>
          <w:sz w:val="18"/>
          <w:szCs w:val="18"/>
          <w:color w:val="auto"/>
        </w:rPr>
        <w:t xml:space="preserve">. Upon its receipt of an agreement referred to in </w:t>
      </w:r>
      <w:r>
        <w:rPr>
          <w:rFonts w:ascii="Arial" w:cs="Arial" w:eastAsia="Arial" w:hAnsi="Arial"/>
          <w:sz w:val="18"/>
          <w:szCs w:val="18"/>
          <w:u w:val="single" w:color="auto"/>
          <w:color w:val="auto"/>
        </w:rPr>
        <w:t>clause (ii)(y)</w:t>
      </w:r>
      <w:r>
        <w:rPr>
          <w:rFonts w:ascii="Arial" w:cs="Arial" w:eastAsia="Arial" w:hAnsi="Arial"/>
          <w:sz w:val="18"/>
          <w:szCs w:val="18"/>
          <w:color w:val="auto"/>
        </w:rPr>
        <w:t xml:space="preserve"> above executed by an Assuming Lender or any Increasing Lender, together with the certificate referred to in </w:t>
      </w:r>
      <w:r>
        <w:rPr>
          <w:rFonts w:ascii="Arial" w:cs="Arial" w:eastAsia="Arial" w:hAnsi="Arial"/>
          <w:sz w:val="18"/>
          <w:szCs w:val="18"/>
          <w:u w:val="single" w:color="auto"/>
          <w:color w:val="auto"/>
        </w:rPr>
        <w:t>clause (ii)(x)</w:t>
      </w:r>
      <w:r>
        <w:rPr>
          <w:rFonts w:ascii="Arial" w:cs="Arial" w:eastAsia="Arial" w:hAnsi="Arial"/>
          <w:sz w:val="18"/>
          <w:szCs w:val="18"/>
          <w:color w:val="auto"/>
        </w:rPr>
        <w:t xml:space="preserve"> above, the Administrative Agent shall, if such agreement has been completed, (x) accept such agreement, (y) record the information contained therein in the Register and (z) give prompt notice thereof to the Borrower.</w:t>
      </w:r>
    </w:p>
    <w:p>
      <w:pPr>
        <w:spacing w:after="0" w:line="186" w:lineRule="exact"/>
        <w:rPr>
          <w:rFonts w:ascii="Arial" w:cs="Arial" w:eastAsia="Arial" w:hAnsi="Arial"/>
          <w:sz w:val="18"/>
          <w:szCs w:val="18"/>
          <w:color w:val="auto"/>
        </w:rPr>
      </w:pPr>
    </w:p>
    <w:p>
      <w:pPr>
        <w:jc w:val="both"/>
        <w:ind w:left="760" w:firstLine="719"/>
        <w:spacing w:after="0" w:line="284" w:lineRule="auto"/>
        <w:tabs>
          <w:tab w:leader="none" w:pos="1775"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Adjustments of Borrowings upon Effectiveness of Increase</w:t>
      </w:r>
      <w:r>
        <w:rPr>
          <w:rFonts w:ascii="Arial" w:cs="Arial" w:eastAsia="Arial" w:hAnsi="Arial"/>
          <w:sz w:val="16"/>
          <w:szCs w:val="16"/>
          <w:color w:val="auto"/>
        </w:rPr>
        <w:t xml:space="preserve">. On the Commitment Increase Date, the Borrower shall (A) prepay the outstanding Loans (if any) of the affected Class of Commitments in full, (B) simultaneously borrow new Loans of such Class hereunder in an amount equal to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w:t>
      </w:r>
    </w:p>
    <w:p>
      <w:pPr>
        <w:spacing w:after="0" w:line="2" w:lineRule="exact"/>
        <w:rPr>
          <w:rFonts w:ascii="Arial" w:cs="Arial" w:eastAsia="Arial" w:hAnsi="Arial"/>
          <w:sz w:val="16"/>
          <w:szCs w:val="16"/>
          <w:color w:val="auto"/>
        </w:rPr>
      </w:pPr>
    </w:p>
    <w:p>
      <w:pPr>
        <w:jc w:val="both"/>
        <w:ind w:left="760" w:firstLine="9"/>
        <w:spacing w:after="0" w:line="277" w:lineRule="auto"/>
        <w:tabs>
          <w:tab w:leader="none" w:pos="105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pay to the Lenders of such Class the amounts, if any, payable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9" w:name="page180"/>
    <w:bookmarkEnd w:id="179"/>
    <w:p>
      <w:pPr>
        <w:ind w:left="1760" w:hanging="231"/>
        <w:spacing w:after="0"/>
        <w:tabs>
          <w:tab w:leader="none" w:pos="1760"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Reduction of Non-Extending Lenders’ Commitment</w:t>
      </w:r>
      <w:r>
        <w:rPr>
          <w:rFonts w:ascii="Arial" w:cs="Arial" w:eastAsia="Arial" w:hAnsi="Arial"/>
          <w:sz w:val="17"/>
          <w:szCs w:val="17"/>
          <w:color w:val="auto"/>
        </w:rPr>
        <w:t xml:space="preserve">. Notwithstanding anything to the contrary herein (including </w:t>
      </w:r>
      <w:r>
        <w:rPr>
          <w:rFonts w:ascii="Arial" w:cs="Arial" w:eastAsia="Arial" w:hAnsi="Arial"/>
          <w:sz w:val="17"/>
          <w:szCs w:val="17"/>
          <w:u w:val="single" w:color="auto"/>
          <w:color w:val="auto"/>
        </w:rPr>
        <w:t>Section 2.08(d)</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left="760" w:firstLine="719"/>
        <w:spacing w:after="0" w:line="259" w:lineRule="auto"/>
        <w:tabs>
          <w:tab w:leader="none" w:pos="171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Commitment of any Non-Extending Lender without reducing the Commitments of any other Lender of the same Class of Commitments as such Non-Extending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reduction of the Commitment of a Non-Extending Lender hereunder shall be in an amount that is $10,000,000 (or, if less, the entire Commitment of such Non-Extending Lender) or a larger multiple of $5,000,000 in excess thereof.</w:t>
      </w:r>
    </w:p>
    <w:p>
      <w:pPr>
        <w:spacing w:after="0" w:line="186" w:lineRule="exact"/>
        <w:rPr>
          <w:rFonts w:ascii="Arial" w:cs="Arial" w:eastAsia="Arial" w:hAnsi="Arial"/>
          <w:sz w:val="18"/>
          <w:szCs w:val="18"/>
          <w:color w:val="auto"/>
        </w:rPr>
      </w:pPr>
    </w:p>
    <w:p>
      <w:pPr>
        <w:jc w:val="both"/>
        <w:ind w:left="760" w:firstLine="719"/>
        <w:spacing w:after="0" w:line="259" w:lineRule="auto"/>
        <w:tabs>
          <w:tab w:leader="none" w:pos="174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Commitment of any Non-Extending Lender under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at least three Business Days prior to the effective date of such termination or reduction, specifying such election and the effective date thereof. Promptly following receipt of any notice, the Administrative Agent shall advise each Lender of the contents thereof. Each notice delivered by the Borrower pursuant to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shall be irrevocable.</w:t>
      </w:r>
    </w:p>
    <w:p>
      <w:pPr>
        <w:spacing w:after="0" w:line="186" w:lineRule="exact"/>
        <w:rPr>
          <w:rFonts w:ascii="Arial" w:cs="Arial" w:eastAsia="Arial" w:hAnsi="Arial"/>
          <w:sz w:val="18"/>
          <w:szCs w:val="18"/>
          <w:color w:val="auto"/>
        </w:rPr>
      </w:pPr>
    </w:p>
    <w:p>
      <w:pPr>
        <w:ind w:left="760" w:firstLine="719"/>
        <w:spacing w:after="0" w:line="308" w:lineRule="auto"/>
        <w:tabs>
          <w:tab w:leader="none" w:pos="1799"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Any termination or reduction of the Commitment of any Non-Extending Lender pursuant to this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shall be permanent and shall be made concurrently with all required reallocation prepayments and cash collateralizations required under </w:t>
      </w:r>
      <w:r>
        <w:rPr>
          <w:rFonts w:ascii="Arial" w:cs="Arial" w:eastAsia="Arial" w:hAnsi="Arial"/>
          <w:sz w:val="17"/>
          <w:szCs w:val="17"/>
          <w:u w:val="single" w:color="auto"/>
          <w:color w:val="auto"/>
        </w:rPr>
        <w:t>Section 2.20</w:t>
      </w:r>
      <w:r>
        <w:rPr>
          <w:rFonts w:ascii="Arial" w:cs="Arial" w:eastAsia="Arial" w:hAnsi="Arial"/>
          <w:sz w:val="17"/>
          <w:szCs w:val="17"/>
          <w:color w:val="auto"/>
        </w:rPr>
        <w:t>.</w:t>
      </w:r>
    </w:p>
    <w:p>
      <w:pPr>
        <w:spacing w:after="0" w:line="14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225" w:lineRule="exact"/>
        <w:rPr>
          <w:sz w:val="20"/>
          <w:szCs w:val="20"/>
          <w:color w:val="auto"/>
        </w:rPr>
      </w:pPr>
    </w:p>
    <w:p>
      <w:pPr>
        <w:ind w:firstLine="1529"/>
        <w:spacing w:after="0" w:line="277" w:lineRule="auto"/>
        <w:tabs>
          <w:tab w:leader="none" w:pos="1766"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The Borrower hereby unconditionally promises to pay the Loans of each Class of Final Maturity Date or Commitments, as applicable, as follows:</w:t>
      </w:r>
    </w:p>
    <w:p>
      <w:pPr>
        <w:spacing w:after="0" w:line="170" w:lineRule="exact"/>
        <w:rPr>
          <w:rFonts w:ascii="Arial" w:cs="Arial" w:eastAsia="Arial" w:hAnsi="Arial"/>
          <w:sz w:val="18"/>
          <w:szCs w:val="18"/>
          <w:color w:val="auto"/>
        </w:rPr>
      </w:pPr>
    </w:p>
    <w:p>
      <w:pPr>
        <w:ind w:left="760" w:right="20" w:firstLine="719"/>
        <w:spacing w:after="0" w:line="277" w:lineRule="auto"/>
        <w:tabs>
          <w:tab w:leader="none" w:pos="169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the Administrative Agent for account of the Lenders of such Class of Final Maturity Date the outstanding principal amount of the Syndicated Loans of the Lenders of such Class of Final Maturity Date on the applicable Final Maturity Date; and</w:t>
      </w:r>
    </w:p>
    <w:p>
      <w:pPr>
        <w:spacing w:after="0" w:line="170" w:lineRule="exact"/>
        <w:rPr>
          <w:rFonts w:ascii="Arial" w:cs="Arial" w:eastAsia="Arial" w:hAnsi="Arial"/>
          <w:sz w:val="18"/>
          <w:szCs w:val="18"/>
          <w:color w:val="auto"/>
        </w:rPr>
      </w:pPr>
    </w:p>
    <w:p>
      <w:pPr>
        <w:jc w:val="both"/>
        <w:ind w:left="760" w:firstLine="719"/>
        <w:spacing w:after="0" w:line="257" w:lineRule="auto"/>
        <w:tabs>
          <w:tab w:leader="none" w:pos="177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to the applicable Swingline Lender the then unpaid principal amount of each Swingline Loan of each Class of Commitment denominated in Dollars made by such Swingline Lender, on the earlier of the Extended Commitment Termination Date and the first date after such Swingline Loan is made that is the 15th or last day of a calendar month and is at least ten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Syndicated Borrowing of such Class of Commitment is made, the Borrower shall repay all Swingline Loans of such Class of Commitment then outstanding.</w:t>
      </w:r>
    </w:p>
    <w:p>
      <w:pPr>
        <w:spacing w:after="0" w:line="188" w:lineRule="exact"/>
        <w:rPr>
          <w:sz w:val="20"/>
          <w:szCs w:val="20"/>
          <w:color w:val="auto"/>
        </w:rPr>
      </w:pPr>
    </w:p>
    <w:p>
      <w:pPr>
        <w:jc w:val="both"/>
        <w:ind w:firstLine="1521"/>
        <w:spacing w:after="0" w:line="279" w:lineRule="auto"/>
        <w:rPr>
          <w:sz w:val="20"/>
          <w:szCs w:val="20"/>
          <w:color w:val="auto"/>
        </w:rPr>
      </w:pPr>
      <w:r>
        <w:rPr>
          <w:rFonts w:ascii="Arial" w:cs="Arial" w:eastAsia="Arial" w:hAnsi="Arial"/>
          <w:sz w:val="17"/>
          <w:szCs w:val="17"/>
          <w:color w:val="auto"/>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spacing w:after="0" w:line="171" w:lineRule="exact"/>
        <w:rPr>
          <w:sz w:val="20"/>
          <w:szCs w:val="20"/>
          <w:color w:val="auto"/>
        </w:rPr>
      </w:pPr>
    </w:p>
    <w:p>
      <w:pPr>
        <w:jc w:val="both"/>
        <w:ind w:firstLine="1529"/>
        <w:spacing w:after="0" w:line="289" w:lineRule="auto"/>
        <w:tabs>
          <w:tab w:leader="none" w:pos="1803"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xml:space="preserve">. Prior to any repayment or prepayment of any Borrowings to any Lenders of any Class of Commitment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prior to the scheduled date of such 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to Lenders of a Class of Commitments shall be applied ratably to the Loans included in such Borrowing and each payment of a Syndicated Borrowing to Lenders of a Class of Final Maturity Date shall be applied ratably to Non-Extending Lenders or Extending Lenders, as applicable, with Loans included in such Borrowing.</w:t>
      </w:r>
    </w:p>
    <w:p>
      <w:pPr>
        <w:spacing w:after="0" w:line="166" w:lineRule="exact"/>
        <w:rPr>
          <w:rFonts w:ascii="Arial" w:cs="Arial" w:eastAsia="Arial" w:hAnsi="Arial"/>
          <w:sz w:val="16"/>
          <w:szCs w:val="16"/>
          <w:color w:val="auto"/>
        </w:rPr>
      </w:pPr>
    </w:p>
    <w:p>
      <w:pPr>
        <w:jc w:val="both"/>
        <w:ind w:firstLine="1529"/>
        <w:spacing w:after="0" w:line="264" w:lineRule="auto"/>
        <w:tabs>
          <w:tab w:leader="none" w:pos="1793"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Maintenance of Records by Lenders</w:t>
      </w:r>
      <w:r>
        <w:rPr>
          <w:rFonts w:ascii="Arial" w:cs="Arial" w:eastAsia="Arial" w:hAnsi="Arial"/>
          <w:sz w:val="18"/>
          <w:szCs w:val="18"/>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35</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80" w:name="page181"/>
    <w:bookmarkEnd w:id="180"/>
    <w:p>
      <w:pPr>
        <w:ind w:left="1800" w:hanging="271"/>
        <w:spacing w:after="0"/>
        <w:tabs>
          <w:tab w:leader="none" w:pos="1800"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Maintenance of Records by the Administrative Agent</w:t>
      </w:r>
      <w:r>
        <w:rPr>
          <w:rFonts w:ascii="Arial" w:cs="Arial" w:eastAsia="Arial" w:hAnsi="Arial"/>
          <w:sz w:val="17"/>
          <w:szCs w:val="17"/>
          <w:color w:val="auto"/>
        </w:rPr>
        <w:t>.  The Administrative Agent shall maintain records in which it shall record</w:t>
      </w:r>
    </w:p>
    <w:p>
      <w:pPr>
        <w:spacing w:after="0" w:line="34" w:lineRule="exact"/>
        <w:rPr>
          <w:rFonts w:ascii="Arial" w:cs="Arial" w:eastAsia="Arial" w:hAnsi="Arial"/>
          <w:sz w:val="17"/>
          <w:szCs w:val="17"/>
          <w:color w:val="auto"/>
        </w:rPr>
      </w:pPr>
    </w:p>
    <w:p>
      <w:pPr>
        <w:jc w:val="both"/>
        <w:ind w:firstLine="8"/>
        <w:spacing w:after="0" w:line="254" w:lineRule="auto"/>
        <w:tabs>
          <w:tab w:leader="none" w:pos="2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amount and Currency of each Loan made hereunder, the Class and Type thereof and each Interest Period therefor, (ii) the amount and Currency of any principal or interest due and payable or to become due and payable from the Borrower to each Lender of such Class of Commitment or Final Maturity Date hereunder and (iii) the amount and Currency of any sum received by the Administrative Agent hereunder for account of the Lenders and each Lender’s share thereof.</w:t>
      </w:r>
    </w:p>
    <w:p>
      <w:pPr>
        <w:spacing w:after="0" w:line="189" w:lineRule="exact"/>
        <w:rPr>
          <w:rFonts w:ascii="Arial" w:cs="Arial" w:eastAsia="Arial" w:hAnsi="Arial"/>
          <w:sz w:val="18"/>
          <w:szCs w:val="18"/>
          <w:color w:val="auto"/>
        </w:rPr>
      </w:pPr>
    </w:p>
    <w:p>
      <w:pPr>
        <w:jc w:val="both"/>
        <w:ind w:firstLine="1529"/>
        <w:spacing w:after="0" w:line="259" w:lineRule="auto"/>
        <w:tabs>
          <w:tab w:leader="none" w:pos="1779"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Effect of Entries</w:t>
      </w:r>
      <w:r>
        <w:rPr>
          <w:rFonts w:ascii="Arial" w:cs="Arial" w:eastAsia="Arial" w:hAnsi="Arial"/>
          <w:sz w:val="18"/>
          <w:szCs w:val="18"/>
          <w:color w:val="auto"/>
        </w:rPr>
        <w:t xml:space="preserve">. The entries made in the records maintained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absent obvious error,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86" w:lineRule="exact"/>
        <w:rPr>
          <w:rFonts w:ascii="Arial" w:cs="Arial" w:eastAsia="Arial" w:hAnsi="Arial"/>
          <w:sz w:val="18"/>
          <w:szCs w:val="18"/>
          <w:color w:val="auto"/>
        </w:rPr>
      </w:pPr>
    </w:p>
    <w:p>
      <w:pPr>
        <w:jc w:val="both"/>
        <w:ind w:firstLine="1529"/>
        <w:spacing w:after="0" w:line="276" w:lineRule="auto"/>
        <w:tabs>
          <w:tab w:leader="none" w:pos="1746" w:val="left"/>
        </w:tabs>
        <w:numPr>
          <w:ilvl w:val="1"/>
          <w:numId w:val="156"/>
        </w:numPr>
        <w:rPr>
          <w:rFonts w:ascii="Arial" w:cs="Arial" w:eastAsia="Arial" w:hAnsi="Arial"/>
          <w:sz w:val="17"/>
          <w:szCs w:val="17"/>
          <w:color w:val="auto"/>
        </w:rPr>
      </w:pPr>
      <w:r>
        <w:rPr>
          <w:rFonts w:ascii="Arial" w:cs="Arial" w:eastAsia="Arial" w:hAnsi="Arial"/>
          <w:sz w:val="17"/>
          <w:szCs w:val="17"/>
          <w:u w:val="single" w:color="auto"/>
          <w:color w:val="auto"/>
        </w:rPr>
        <w:t>Promissory Notes</w:t>
      </w:r>
      <w:r>
        <w:rPr>
          <w:rFonts w:ascii="Arial" w:cs="Arial" w:eastAsia="Arial" w:hAnsi="Arial"/>
          <w:sz w:val="17"/>
          <w:szCs w:val="17"/>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7"/>
          <w:szCs w:val="17"/>
          <w:u w:val="single" w:color="auto"/>
          <w:color w:val="auto"/>
        </w:rPr>
        <w:t>Section 9.04</w:t>
      </w:r>
      <w:r>
        <w:rPr>
          <w:rFonts w:ascii="Arial" w:cs="Arial" w:eastAsia="Arial" w:hAnsi="Arial"/>
          <w:sz w:val="17"/>
          <w:szCs w:val="17"/>
          <w:color w:val="auto"/>
        </w:rPr>
        <w:t>) be represented by one or more promissory notes in such form payable to the payee named therein (or, if such promissory note is a registered note, to such payee and its registered assigns).</w:t>
      </w:r>
    </w:p>
    <w:p>
      <w:pPr>
        <w:spacing w:after="0" w:line="17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86" w:lineRule="auto"/>
        <w:tabs>
          <w:tab w:leader="none" w:pos="1766"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subject to the requirements of this Section. Any prepayment of a Borrowing made in accordance with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be applied ratably among the Lenders of a Class of Commitment unless such prepayment is made in connection with the reduction of Commitments in accordance with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in which case such prepayment shall be applied in accordance with </w:t>
      </w:r>
      <w:r>
        <w:rPr>
          <w:rFonts w:ascii="Arial" w:cs="Arial" w:eastAsia="Arial" w:hAnsi="Arial"/>
          <w:sz w:val="16"/>
          <w:szCs w:val="16"/>
          <w:u w:val="single" w:color="auto"/>
          <w:color w:val="auto"/>
        </w:rPr>
        <w:t>Section 2.08(d)</w:t>
      </w:r>
      <w:r>
        <w:rPr>
          <w:rFonts w:ascii="Arial" w:cs="Arial" w:eastAsia="Arial" w:hAnsi="Arial"/>
          <w:sz w:val="16"/>
          <w:szCs w:val="16"/>
          <w:color w:val="auto"/>
        </w:rPr>
        <w:t xml:space="preserve"> or</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(f)</w:t>
      </w:r>
      <w:r>
        <w:rPr>
          <w:rFonts w:ascii="Arial" w:cs="Arial" w:eastAsia="Arial" w:hAnsi="Arial"/>
          <w:sz w:val="18"/>
          <w:szCs w:val="18"/>
          <w:color w:val="auto"/>
        </w:rPr>
        <w:t>, as applicable.</w:t>
      </w:r>
    </w:p>
    <w:p>
      <w:pPr>
        <w:spacing w:after="0" w:line="210" w:lineRule="exact"/>
        <w:rPr>
          <w:rFonts w:ascii="Arial" w:cs="Arial" w:eastAsia="Arial" w:hAnsi="Arial"/>
          <w:sz w:val="16"/>
          <w:szCs w:val="16"/>
          <w:color w:val="auto"/>
        </w:rPr>
      </w:pPr>
    </w:p>
    <w:p>
      <w:pPr>
        <w:ind w:left="1780" w:hanging="251"/>
        <w:spacing w:after="0"/>
        <w:tabs>
          <w:tab w:leader="none" w:pos="1780"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Mandatory Prepayments due to Changes in Exchange Rates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719"/>
        <w:spacing w:after="0" w:line="291" w:lineRule="auto"/>
        <w:tabs>
          <w:tab w:leader="none" w:pos="1699"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Determination of Amount Outstanding</w:t>
      </w:r>
      <w:r>
        <w:rPr>
          <w:rFonts w:ascii="Arial" w:cs="Arial" w:eastAsia="Arial" w:hAnsi="Arial"/>
          <w:sz w:val="16"/>
          <w:szCs w:val="16"/>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167" w:lineRule="exact"/>
        <w:rPr>
          <w:rFonts w:ascii="Arial" w:cs="Arial" w:eastAsia="Arial" w:hAnsi="Arial"/>
          <w:sz w:val="16"/>
          <w:szCs w:val="16"/>
          <w:color w:val="auto"/>
        </w:rPr>
      </w:pPr>
    </w:p>
    <w:p>
      <w:pPr>
        <w:jc w:val="both"/>
        <w:ind w:left="760" w:firstLine="719"/>
        <w:spacing w:after="0" w:line="273" w:lineRule="auto"/>
        <w:tabs>
          <w:tab w:leader="none" w:pos="1735"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Prepayment</w:t>
      </w:r>
      <w:r>
        <w:rPr>
          <w:rFonts w:ascii="Arial" w:cs="Arial" w:eastAsia="Arial" w:hAnsi="Arial"/>
          <w:sz w:val="17"/>
          <w:szCs w:val="17"/>
          <w:color w:val="auto"/>
        </w:rPr>
        <w:t xml:space="preserve">. If on the date of such determination the aggregate Revolving Multicurrency Credit Exposure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Arial" w:cs="Arial" w:eastAsia="Arial" w:hAnsi="Arial"/>
          <w:sz w:val="17"/>
          <w:szCs w:val="17"/>
          <w:u w:val="single" w:color="auto"/>
          <w:color w:val="auto"/>
        </w:rPr>
        <w:t>Section 2.05(k)</w:t>
      </w:r>
      <w:r>
        <w:rPr>
          <w:rFonts w:ascii="Arial" w:cs="Arial" w:eastAsia="Arial" w:hAnsi="Arial"/>
          <w:sz w:val="17"/>
          <w:szCs w:val="17"/>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78"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Currency Valuation Notice</w:t>
      </w:r>
      <w:r>
        <w:rPr>
          <w:rFonts w:ascii="Arial" w:cs="Arial" w:eastAsia="Arial" w:hAnsi="Arial"/>
          <w:sz w:val="18"/>
          <w:szCs w:val="18"/>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87"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 xml:space="preserve">Any prepayment pursuant to this paragraph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Swingline Multicurrency Loans outstanding,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Syndicated Multicurrency Loans outstanding and </w:t>
      </w:r>
      <w:r>
        <w:rPr>
          <w:rFonts w:ascii="Arial" w:cs="Arial" w:eastAsia="Arial" w:hAnsi="Arial"/>
          <w:sz w:val="18"/>
          <w:szCs w:val="18"/>
          <w:u w:val="single" w:color="auto"/>
          <w:color w:val="auto"/>
        </w:rPr>
        <w:t>third</w:t>
      </w:r>
      <w:r>
        <w:rPr>
          <w:rFonts w:ascii="Arial" w:cs="Arial" w:eastAsia="Arial" w:hAnsi="Arial"/>
          <w:sz w:val="18"/>
          <w:szCs w:val="18"/>
          <w:color w:val="auto"/>
        </w:rPr>
        <w:t>, as cover for Multicurrency LC Exposure.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36</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1" w:name="page182"/>
    <w:bookmarkEnd w:id="181"/>
    <w:p>
      <w:pPr>
        <w:jc w:val="both"/>
        <w:ind w:firstLine="1529"/>
        <w:spacing w:after="0" w:line="288" w:lineRule="auto"/>
        <w:tabs>
          <w:tab w:leader="none" w:pos="1766"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Mandatory Prepayments due to Borrowing Base Deficiency</w:t>
      </w:r>
      <w:r>
        <w:rPr>
          <w:rFonts w:ascii="Arial" w:cs="Arial" w:eastAsia="Arial" w:hAnsi="Arial"/>
          <w:sz w:val="16"/>
          <w:szCs w:val="16"/>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Arial" w:cs="Arial" w:eastAsia="Arial" w:hAnsi="Arial"/>
          <w:sz w:val="16"/>
          <w:szCs w:val="16"/>
          <w:u w:val="single" w:color="auto"/>
          <w:color w:val="auto"/>
        </w:rPr>
        <w:t>Section 2.05(k)</w:t>
      </w:r>
      <w:r>
        <w:rPr>
          <w:rFonts w:ascii="Arial" w:cs="Arial" w:eastAsia="Arial" w:hAnsi="Arial"/>
          <w:sz w:val="16"/>
          <w:szCs w:val="16"/>
          <w:color w:val="auto"/>
        </w:rPr>
        <w:t xml:space="preserve">) or reduce Other Covered Indebtedness or any other Indebtedness that is included in the Covered Debt Amount at such time in such amounts as shall be necessary so that such Borrowing Base Deficiency is 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Lenders with a reasonably feasible plan acceptable to the Required Lenders in their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69" w:lineRule="exact"/>
        <w:rPr>
          <w:rFonts w:ascii="Arial" w:cs="Arial" w:eastAsia="Arial" w:hAnsi="Arial"/>
          <w:sz w:val="16"/>
          <w:szCs w:val="16"/>
          <w:color w:val="auto"/>
        </w:rPr>
      </w:pPr>
    </w:p>
    <w:p>
      <w:pPr>
        <w:jc w:val="both"/>
        <w:ind w:firstLine="1529"/>
        <w:spacing w:after="0" w:line="264" w:lineRule="auto"/>
        <w:tabs>
          <w:tab w:leader="none" w:pos="1803"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Mandatory Prepayments During Amortization Period</w:t>
      </w:r>
      <w:r>
        <w:rPr>
          <w:rFonts w:ascii="Arial" w:cs="Arial" w:eastAsia="Arial" w:hAnsi="Arial"/>
          <w:sz w:val="18"/>
          <w:szCs w:val="18"/>
          <w:color w:val="auto"/>
        </w:rPr>
        <w:t>. During the period commencing on the date immediately following the Commitment Termination Date with respect to any Loans of any Lender or Lenders and ending on the Final Maturity Date with respect to the Loans of such Lender or Lenders:</w:t>
      </w:r>
    </w:p>
    <w:p>
      <w:pPr>
        <w:spacing w:after="0" w:line="181" w:lineRule="exact"/>
        <w:rPr>
          <w:rFonts w:ascii="Arial" w:cs="Arial" w:eastAsia="Arial" w:hAnsi="Arial"/>
          <w:sz w:val="18"/>
          <w:szCs w:val="18"/>
          <w:color w:val="auto"/>
        </w:rPr>
      </w:pPr>
    </w:p>
    <w:p>
      <w:pPr>
        <w:jc w:val="both"/>
        <w:ind w:left="760" w:firstLine="719"/>
        <w:spacing w:after="0" w:line="288" w:lineRule="auto"/>
        <w:tabs>
          <w:tab w:leader="none" w:pos="1699"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Asset Disposition</w:t>
      </w:r>
      <w:r>
        <w:rPr>
          <w:rFonts w:ascii="Arial" w:cs="Arial" w:eastAsia="Arial" w:hAnsi="Arial"/>
          <w:sz w:val="16"/>
          <w:szCs w:val="16"/>
          <w:color w:val="auto"/>
        </w:rPr>
        <w:t xml:space="preserve">. If the Borrower or any of its Subsidiaries (other than a Financing Subsidiary) Disposes of any property which results in the receipt by such Person of Net Cash Proceeds in excess of $2,000,000 in the aggregate since the applicable Commitment Termination Date, the Borrower shall prepay an aggregate principal amount of such Loans owed to such Lender or Lenders equal to 100% of such Net Cash Proceeds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Loans to be prepaid are Eurocurrency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Administrative Agent may direct the application of such deposits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at any time and if the Administrative Agent does so, no amounts will be payable by the Borrower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left="760" w:firstLine="719"/>
        <w:spacing w:after="0" w:line="302" w:lineRule="auto"/>
        <w:tabs>
          <w:tab w:leader="none" w:pos="1735"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Equity Issuance</w:t>
      </w:r>
      <w:r>
        <w:rPr>
          <w:rFonts w:ascii="Arial" w:cs="Arial" w:eastAsia="Arial" w:hAnsi="Arial"/>
          <w:sz w:val="16"/>
          <w:szCs w:val="16"/>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left="760" w:firstLine="719"/>
        <w:spacing w:after="0" w:line="302" w:lineRule="auto"/>
        <w:tabs>
          <w:tab w:leader="none" w:pos="1785"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left="760" w:firstLine="719"/>
        <w:spacing w:after="0" w:line="255" w:lineRule="auto"/>
        <w:tabs>
          <w:tab w:leader="none" w:pos="1775"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Extraordinary Receipt</w:t>
      </w:r>
      <w:r>
        <w:rPr>
          <w:rFonts w:ascii="Arial" w:cs="Arial" w:eastAsia="Arial" w:hAnsi="Arial"/>
          <w:sz w:val="18"/>
          <w:szCs w:val="18"/>
          <w:color w:val="auto"/>
        </w:rPr>
        <w:t xml:space="preserve">. Upon any Extraordinary Receipt (which, when taken with all other Extraordinary Receipts received after the applicable Commitment Termination Date, exceeds $5,000,000 in the aggregate) received by or paid to or for the account of the Borrower or any of its Subsidiaries (other than a Financing Subsidiary), and not otherwise included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2.09(b)</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760" w:firstLine="719"/>
        <w:spacing w:after="0" w:line="259" w:lineRule="auto"/>
        <w:tabs>
          <w:tab w:leader="none" w:pos="1738"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Return of Capital</w:t>
      </w:r>
      <w:r>
        <w:rPr>
          <w:rFonts w:ascii="Arial" w:cs="Arial" w:eastAsia="Arial" w:hAnsi="Arial"/>
          <w:sz w:val="18"/>
          <w:szCs w:val="18"/>
          <w:color w:val="auto"/>
        </w:rPr>
        <w:t xml:space="preserve">. If any Obligor shall receive any Return of Capital, the Borrower shall prepay an aggregate principal amount of such Loans owed to such Lender or Lenders equal to 90% of such Return of Capital (excluding amounts payable by the Borrower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no later than the fifth Business Day following the receipt of such Return of Capital (such prepayments to be applied as set forth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2" w:name="page183"/>
    <w:bookmarkEnd w:id="182"/>
    <w:p>
      <w:pPr>
        <w:jc w:val="both"/>
        <w:ind w:firstLine="1521"/>
        <w:spacing w:after="0" w:line="293" w:lineRule="auto"/>
        <w:rPr>
          <w:sz w:val="20"/>
          <w:szCs w:val="20"/>
          <w:color w:val="auto"/>
        </w:rPr>
      </w:pPr>
      <w:r>
        <w:rPr>
          <w:rFonts w:ascii="Arial" w:cs="Arial" w:eastAsia="Arial" w:hAnsi="Arial"/>
          <w:sz w:val="16"/>
          <w:szCs w:val="16"/>
          <w:color w:val="auto"/>
        </w:rPr>
        <w:t xml:space="preserve">Notwithstanding the foregoing, Net Cash Proceeds required to be applied to the prepayment of the Loans pursuant to this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shall (A) (I) from the period commencing on the Non-Extended Commitment Termination Date and ending on the Extended Commitment Termination Date, be applied ratably among the Non-Extending Lenders and (II) from the Extended Commitment Termination Date to the Extended Final Maturity Date, be applied in accordance with the Guarantee and Security Agreement and (B) exclude the amount necessary for the Borrower to make all required distributions (which shall be no less than the amount estimated in good faith by Borrower under </w:t>
      </w:r>
      <w:r>
        <w:rPr>
          <w:rFonts w:ascii="Arial" w:cs="Arial" w:eastAsia="Arial" w:hAnsi="Arial"/>
          <w:sz w:val="16"/>
          <w:szCs w:val="16"/>
          <w:u w:val="single" w:color="auto"/>
          <w:color w:val="auto"/>
        </w:rPr>
        <w:t>Section 6.05(b)</w:t>
      </w:r>
      <w:r>
        <w:rPr>
          <w:rFonts w:ascii="Arial" w:cs="Arial" w:eastAsia="Arial" w:hAnsi="Arial"/>
          <w:sz w:val="16"/>
          <w:szCs w:val="16"/>
          <w:color w:val="auto"/>
        </w:rPr>
        <w:t xml:space="preserve"> herein) to maintain the status of a RIC under the Code and a “business development company” under the Investment Company Act for so long as the Borrower retains such status.</w:t>
      </w:r>
    </w:p>
    <w:p>
      <w:pPr>
        <w:spacing w:after="0" w:line="165" w:lineRule="exact"/>
        <w:rPr>
          <w:sz w:val="20"/>
          <w:szCs w:val="20"/>
          <w:color w:val="auto"/>
        </w:rPr>
      </w:pPr>
    </w:p>
    <w:p>
      <w:pPr>
        <w:jc w:val="both"/>
        <w:ind w:firstLine="1529"/>
        <w:spacing w:after="0" w:line="282" w:lineRule="auto"/>
        <w:tabs>
          <w:tab w:leader="none" w:pos="1766"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The Borrower shall notify the Administrative Agent (and, in the case of prepayment of a Swingline Loan made by a Swingline Lender, such Swingline Lender) by telephone (confirmed by telecopy) of any prepayment hereunder (i) in the case of prepayment of a Eurocurrency Borrowing denominated in Dollars (other than in the case of a prepayment pursuant to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not later than 11:00 a.m., Atlanta, Georgia time, three Business Days before the date of prepayment, (ii) in the case of prepayment of a Eurocurrency Borrowing denominated in a Foreign Currency (other than in the case of a prepayment pursuant to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not later than 11:00 a.m., London time, four Business Days before the date of prepayment, (iii) in the case of prepayment of a Syndicated ABR Borrowing (other than in the case of a prepayment pursuant to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not later than 11:00 a.m., Atlanta, Georgia time, one Business Day before the date of prepayment, (iv) in the case of prepayment of a Swingline Loan, not later than 11:00 a.m., Atlanta, Georgia time, on the date of prepayment, or (v) in the case of any prepayment pursuant to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not later than 11:00 a.m., Atlanta, Georgia time, one Business Day before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 a notice of prepayment is given in connection with a conditional notice of termination of the Commitments of a Class as contemplated by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then such notice of prepayment may be revoked if such notice of termination is revoked in accordance with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(ii) any notice given in connection with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Swingline Loan,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except as necessary to apply fully the required amount of a mandatory prepayment. Each prepayment of a Syndicated Borrowing of a Class of Commitments or Final Maturity Date shall be applied ratably to the Loans held by the Lenders of such Class included in the prepaid Borrowing. Prepayments shall be accompanied by accrued interest to the extent required by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shall be made in the manner specified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unless such prepayment is made in connection with the reduction of Commitments in accordance with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or</w:t>
      </w:r>
    </w:p>
    <w:p>
      <w:pPr>
        <w:spacing w:after="0" w:line="12" w:lineRule="exact"/>
        <w:rPr>
          <w:rFonts w:ascii="Arial" w:cs="Arial" w:eastAsia="Arial" w:hAnsi="Arial"/>
          <w:sz w:val="16"/>
          <w:szCs w:val="16"/>
          <w:color w:val="auto"/>
        </w:rPr>
      </w:pPr>
    </w:p>
    <w:p>
      <w:pPr>
        <w:ind w:left="240" w:hanging="232"/>
        <w:spacing w:after="0"/>
        <w:tabs>
          <w:tab w:leader="none" w:pos="240" w:val="left"/>
        </w:tabs>
        <w:numPr>
          <w:ilvl w:val="0"/>
          <w:numId w:val="162"/>
        </w:numPr>
        <w:rPr>
          <w:rFonts w:ascii="Arial" w:cs="Arial" w:eastAsia="Arial" w:hAnsi="Arial"/>
          <w:sz w:val="18"/>
          <w:szCs w:val="18"/>
          <w:u w:val="single" w:color="auto"/>
          <w:color w:val="auto"/>
        </w:rPr>
      </w:pPr>
      <w:r>
        <w:rPr>
          <w:rFonts w:ascii="Arial" w:cs="Arial" w:eastAsia="Arial" w:hAnsi="Arial"/>
          <w:sz w:val="18"/>
          <w:szCs w:val="18"/>
          <w:color w:val="auto"/>
        </w:rPr>
        <w:t xml:space="preserve">in which case such prepayment shall be applied in accordance with </w:t>
      </w:r>
      <w:r>
        <w:rPr>
          <w:rFonts w:ascii="Arial" w:cs="Arial" w:eastAsia="Arial" w:hAnsi="Arial"/>
          <w:sz w:val="18"/>
          <w:szCs w:val="18"/>
          <w:u w:val="single" w:color="auto"/>
          <w:color w:val="auto"/>
        </w:rPr>
        <w:t>Section 2.08(d)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as applicable.</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53" w:lineRule="auto"/>
        <w:tabs>
          <w:tab w:leader="none" w:pos="1779"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 (ii)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94" w:lineRule="exact"/>
        <w:rPr>
          <w:rFonts w:ascii="Arial" w:cs="Arial" w:eastAsia="Arial" w:hAnsi="Arial"/>
          <w:sz w:val="18"/>
          <w:szCs w:val="18"/>
          <w:color w:val="auto"/>
        </w:rPr>
      </w:pPr>
    </w:p>
    <w:p>
      <w:pPr>
        <w:jc w:val="both"/>
        <w:ind w:firstLine="1529"/>
        <w:spacing w:after="0" w:line="270" w:lineRule="auto"/>
        <w:tabs>
          <w:tab w:leader="none" w:pos="1776"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The Borrower agrees to pay (i) to the Administrative Agent for account of each Lender a participation fee with respect to its participations in Letters of Credit of each Class of Commitments, which shall accrue at a rate per annum equal to the Applicable Margin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38</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83" w:name="page184"/>
    <w:bookmarkEnd w:id="183"/>
    <w:p>
      <w:pPr>
        <w:jc w:val="both"/>
        <w:spacing w:after="0" w:line="287" w:lineRule="auto"/>
        <w:rPr>
          <w:sz w:val="20"/>
          <w:szCs w:val="20"/>
          <w:color w:val="auto"/>
        </w:rPr>
      </w:pPr>
      <w:r>
        <w:rPr>
          <w:rFonts w:ascii="Arial" w:cs="Arial" w:eastAsia="Arial" w:hAnsi="Arial"/>
          <w:sz w:val="16"/>
          <w:szCs w:val="16"/>
          <w:color w:val="auto"/>
        </w:rPr>
        <w:t xml:space="preserve">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69" w:lineRule="exact"/>
        <w:rPr>
          <w:sz w:val="20"/>
          <w:szCs w:val="20"/>
          <w:color w:val="auto"/>
        </w:rPr>
      </w:pPr>
    </w:p>
    <w:p>
      <w:pPr>
        <w:ind w:firstLine="1529"/>
        <w:spacing w:after="0" w:line="277" w:lineRule="auto"/>
        <w:tabs>
          <w:tab w:leader="none" w:pos="1793"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Administrative Agent Fees</w:t>
      </w:r>
      <w:r>
        <w:rPr>
          <w:rFonts w:ascii="Arial" w:cs="Arial" w:eastAsia="Arial" w:hAnsi="Arial"/>
          <w:sz w:val="18"/>
          <w:szCs w:val="18"/>
          <w:color w:val="auto"/>
        </w:rPr>
        <w:t>. 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jc w:val="both"/>
        <w:ind w:firstLine="1529"/>
        <w:spacing w:after="0" w:line="257" w:lineRule="auto"/>
        <w:tabs>
          <w:tab w:leader="none" w:pos="1789"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Payment of Fees</w:t>
      </w:r>
      <w:r>
        <w:rPr>
          <w:rFonts w:ascii="Arial" w:cs="Arial" w:eastAsia="Arial" w:hAnsi="Arial"/>
          <w:sz w:val="18"/>
          <w:szCs w:val="18"/>
          <w:color w:val="auto"/>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25" w:lineRule="exact"/>
        <w:rPr>
          <w:sz w:val="20"/>
          <w:szCs w:val="20"/>
          <w:color w:val="auto"/>
        </w:rPr>
      </w:pPr>
    </w:p>
    <w:p>
      <w:pPr>
        <w:ind w:firstLine="1529"/>
        <w:spacing w:after="0" w:line="277" w:lineRule="auto"/>
        <w:tabs>
          <w:tab w:leader="none" w:pos="1766"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ABR Loans</w:t>
      </w:r>
      <w:r>
        <w:rPr>
          <w:rFonts w:ascii="Arial" w:cs="Arial" w:eastAsia="Arial" w:hAnsi="Arial"/>
          <w:sz w:val="18"/>
          <w:szCs w:val="18"/>
          <w:color w:val="auto"/>
        </w:rPr>
        <w:t xml:space="preserve">. The Loans constituting each ABR Borrowing (including each Swingline Loan) shall bear interest at a rate per annum equal to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70" w:lineRule="exact"/>
        <w:rPr>
          <w:rFonts w:ascii="Arial" w:cs="Arial" w:eastAsia="Arial" w:hAnsi="Arial"/>
          <w:sz w:val="18"/>
          <w:szCs w:val="18"/>
          <w:color w:val="auto"/>
        </w:rPr>
      </w:pPr>
    </w:p>
    <w:p>
      <w:pPr>
        <w:ind w:firstLine="1529"/>
        <w:spacing w:after="0" w:line="277" w:lineRule="auto"/>
        <w:tabs>
          <w:tab w:leader="none" w:pos="1789"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Eurocurrency Loans</w:t>
      </w:r>
      <w:r>
        <w:rPr>
          <w:rFonts w:ascii="Arial" w:cs="Arial" w:eastAsia="Arial" w:hAnsi="Arial"/>
          <w:sz w:val="18"/>
          <w:szCs w:val="18"/>
          <w:color w:val="auto"/>
        </w:rPr>
        <w:t xml:space="preserve">. The Loans constituting each Eurocurrency Borrowing shall bear interest at a rate per annum equal to the Adjusted LIBO Rate for the related Interest Period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70" w:lineRule="exact"/>
        <w:rPr>
          <w:rFonts w:ascii="Arial" w:cs="Arial" w:eastAsia="Arial" w:hAnsi="Arial"/>
          <w:sz w:val="18"/>
          <w:szCs w:val="18"/>
          <w:color w:val="auto"/>
        </w:rPr>
      </w:pPr>
    </w:p>
    <w:p>
      <w:pPr>
        <w:jc w:val="both"/>
        <w:ind w:firstLine="1529"/>
        <w:spacing w:after="0" w:line="286" w:lineRule="auto"/>
        <w:tabs>
          <w:tab w:leader="none" w:pos="1779"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Default Interest</w:t>
      </w:r>
      <w:r>
        <w:rPr>
          <w:rFonts w:ascii="Arial" w:cs="Arial" w:eastAsia="Arial" w:hAnsi="Arial"/>
          <w:sz w:val="16"/>
          <w:szCs w:val="16"/>
          <w:color w:val="auto"/>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otherwise applicable to such Loan as provided above, (ii) in the case of any Letter of Credit, 2%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fee otherwise applicable to such Letter of Credit as provided in </w:t>
      </w:r>
      <w:r>
        <w:rPr>
          <w:rFonts w:ascii="Arial" w:cs="Arial" w:eastAsia="Arial" w:hAnsi="Arial"/>
          <w:sz w:val="16"/>
          <w:szCs w:val="16"/>
          <w:u w:val="single" w:color="auto"/>
          <w:color w:val="auto"/>
        </w:rPr>
        <w:t>Section 2.11(b)(i)</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66"/>
        </w:numPr>
        <w:rPr>
          <w:rFonts w:ascii="Arial" w:cs="Arial" w:eastAsia="Arial" w:hAnsi="Arial"/>
          <w:sz w:val="18"/>
          <w:szCs w:val="18"/>
          <w:u w:val="single" w:color="auto"/>
          <w:color w:val="auto"/>
        </w:rPr>
      </w:pPr>
      <w:r>
        <w:rPr>
          <w:rFonts w:ascii="Arial" w:cs="Arial" w:eastAsia="Arial" w:hAnsi="Arial"/>
          <w:sz w:val="18"/>
          <w:szCs w:val="18"/>
          <w:color w:val="auto"/>
        </w:rPr>
        <w:t xml:space="preserve">in the case of any fee or other amount,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applicable to ABR Loans as provided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Section.</w:t>
      </w:r>
    </w:p>
    <w:p>
      <w:pPr>
        <w:spacing w:after="0" w:line="210" w:lineRule="exact"/>
        <w:rPr>
          <w:rFonts w:ascii="Arial" w:cs="Arial" w:eastAsia="Arial" w:hAnsi="Arial"/>
          <w:sz w:val="18"/>
          <w:szCs w:val="18"/>
          <w:u w:val="single" w:color="auto"/>
          <w:color w:val="auto"/>
        </w:rPr>
      </w:pPr>
    </w:p>
    <w:p>
      <w:pPr>
        <w:jc w:val="both"/>
        <w:ind w:firstLine="1529"/>
        <w:spacing w:after="0" w:line="255" w:lineRule="auto"/>
        <w:tabs>
          <w:tab w:leader="none" w:pos="1776"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Payment of Interest</w:t>
      </w:r>
      <w:r>
        <w:rPr>
          <w:rFonts w:ascii="Arial" w:cs="Arial" w:eastAsia="Arial" w:hAnsi="Arial"/>
          <w:sz w:val="18"/>
          <w:szCs w:val="18"/>
          <w:color w:val="auto"/>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89" w:lineRule="exact"/>
        <w:rPr>
          <w:rFonts w:ascii="Arial" w:cs="Arial" w:eastAsia="Arial" w:hAnsi="Arial"/>
          <w:sz w:val="18"/>
          <w:szCs w:val="18"/>
          <w:color w:val="auto"/>
        </w:rPr>
      </w:pPr>
    </w:p>
    <w:p>
      <w:pPr>
        <w:jc w:val="both"/>
        <w:ind w:firstLine="1529"/>
        <w:spacing w:after="0" w:line="276" w:lineRule="auto"/>
        <w:tabs>
          <w:tab w:leader="none" w:pos="1779" w:val="left"/>
        </w:tabs>
        <w:numPr>
          <w:ilvl w:val="1"/>
          <w:numId w:val="166"/>
        </w:numPr>
        <w:rPr>
          <w:rFonts w:ascii="Arial" w:cs="Arial" w:eastAsia="Arial" w:hAnsi="Arial"/>
          <w:sz w:val="17"/>
          <w:szCs w:val="17"/>
          <w:color w:val="auto"/>
        </w:rPr>
      </w:pPr>
      <w:r>
        <w:rPr>
          <w:rFonts w:ascii="Arial" w:cs="Arial" w:eastAsia="Arial" w:hAnsi="Arial"/>
          <w:sz w:val="17"/>
          <w:szCs w:val="17"/>
          <w:u w:val="single" w:color="auto"/>
          <w:color w:val="auto"/>
        </w:rPr>
        <w:t>Computation</w:t>
      </w:r>
      <w:r>
        <w:rPr>
          <w:rFonts w:ascii="Arial" w:cs="Arial" w:eastAsia="Arial" w:hAnsi="Arial"/>
          <w:sz w:val="17"/>
          <w:szCs w:val="17"/>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Pounds Sterling or Canadian Dollars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39</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4" w:name="page185"/>
    <w:bookmarkEnd w:id="184"/>
    <w:p>
      <w:pPr>
        <w:ind w:left="1520"/>
        <w:spacing w:after="0"/>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Alternate Rate of Interest</w:t>
      </w:r>
      <w:r>
        <w:rPr>
          <w:rFonts w:ascii="Arial" w:cs="Arial" w:eastAsia="Arial" w:hAnsi="Arial"/>
          <w:sz w:val="17"/>
          <w:szCs w:val="17"/>
          <w:color w:val="auto"/>
        </w:rPr>
        <w:t>. If prior to the commencement of the Interest Period for any Eurocurrency Borrowing of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Class (the Currency of such Borrowing herein called the “</w:t>
      </w:r>
      <w:r>
        <w:rPr>
          <w:rFonts w:ascii="Arial" w:cs="Arial" w:eastAsia="Arial" w:hAnsi="Arial"/>
          <w:sz w:val="18"/>
          <w:szCs w:val="18"/>
          <w:u w:val="single" w:color="auto"/>
          <w:color w:val="auto"/>
        </w:rPr>
        <w:t>Affected Currency</w:t>
      </w:r>
      <w:r>
        <w:rPr>
          <w:rFonts w:ascii="Arial" w:cs="Arial" w:eastAsia="Arial" w:hAnsi="Arial"/>
          <w:sz w:val="18"/>
          <w:szCs w:val="18"/>
          <w:color w:val="auto"/>
        </w:rPr>
        <w:t>”):</w:t>
      </w:r>
    </w:p>
    <w:p>
      <w:pPr>
        <w:spacing w:after="0" w:line="211" w:lineRule="exact"/>
        <w:rPr>
          <w:sz w:val="20"/>
          <w:szCs w:val="20"/>
          <w:color w:val="auto"/>
        </w:rPr>
      </w:pPr>
    </w:p>
    <w:p>
      <w:pPr>
        <w:ind w:firstLine="1529"/>
        <w:spacing w:after="0" w:line="277" w:lineRule="auto"/>
        <w:tabs>
          <w:tab w:leader="none" w:pos="17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for the Affected Currency for such Interest Period; or</w:t>
      </w:r>
    </w:p>
    <w:p>
      <w:pPr>
        <w:spacing w:after="0" w:line="170" w:lineRule="exact"/>
        <w:rPr>
          <w:rFonts w:ascii="Arial" w:cs="Arial" w:eastAsia="Arial" w:hAnsi="Arial"/>
          <w:sz w:val="18"/>
          <w:szCs w:val="18"/>
          <w:color w:val="auto"/>
        </w:rPr>
      </w:pPr>
    </w:p>
    <w:p>
      <w:pPr>
        <w:jc w:val="both"/>
        <w:ind w:firstLine="1529"/>
        <w:spacing w:after="0" w:line="264" w:lineRule="auto"/>
        <w:tabs>
          <w:tab w:leader="none" w:pos="179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of such Class of Commitments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then the Administrative Agent shall give notice thereof to the Borrower and the affected Lenders by telephone or telecopy as promptly as practicable thereafter and, until the Administrative Agent notifies the Borrower and such Lenders that the circumstances giving rise to such notice no longer exist, (i) 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any Borrowing Request that requests a Eurocurrency Borrowing denominated in the Affected Currency shall be ineffective.</w:t>
      </w:r>
    </w:p>
    <w:p>
      <w:pPr>
        <w:spacing w:after="0" w:line="16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25" w:lineRule="exact"/>
        <w:rPr>
          <w:sz w:val="20"/>
          <w:szCs w:val="20"/>
          <w:color w:val="auto"/>
        </w:rPr>
      </w:pPr>
    </w:p>
    <w:p>
      <w:pPr>
        <w:ind w:left="1780" w:hanging="251"/>
        <w:spacing w:after="0"/>
        <w:tabs>
          <w:tab w:leader="none" w:pos="1780"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jc w:val="both"/>
        <w:ind w:left="760" w:firstLine="719"/>
        <w:spacing w:after="0" w:line="264" w:lineRule="auto"/>
        <w:tabs>
          <w:tab w:leader="none" w:pos="170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account of, or credit extended by, any Lender (except any such reserve requirement reflected in the Adjusted LIBO Rate) or any Issuing Bank; or</w:t>
      </w:r>
    </w:p>
    <w:p>
      <w:pPr>
        <w:spacing w:after="0" w:line="181" w:lineRule="exact"/>
        <w:rPr>
          <w:rFonts w:ascii="Arial" w:cs="Arial" w:eastAsia="Arial" w:hAnsi="Arial"/>
          <w:sz w:val="18"/>
          <w:szCs w:val="18"/>
          <w:color w:val="auto"/>
        </w:rPr>
      </w:pPr>
    </w:p>
    <w:p>
      <w:pPr>
        <w:ind w:left="760" w:firstLine="719"/>
        <w:spacing w:after="0" w:line="277" w:lineRule="auto"/>
        <w:tabs>
          <w:tab w:leader="none" w:pos="17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impose on any Lender or any Issuing Bank or the London interbank market any other condition, cost or expense (other than Taxes) affecting this Agreement or Eurocurrency Loans made by such Lender or any Letter of Credit or participation therein;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and the result of any of the foregoing shall be to increase the cost to such Lenders of making, converting to, continuing or maintaining any Eurocurrency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in Dollars, such additional amount or amounts as will compensate such Lender or such Issuing Bank, as the case may be, for such additional costs incurred or reduction suffered.</w:t>
      </w:r>
    </w:p>
    <w:p>
      <w:pPr>
        <w:spacing w:after="0" w:line="173" w:lineRule="exact"/>
        <w:rPr>
          <w:sz w:val="20"/>
          <w:szCs w:val="20"/>
          <w:color w:val="auto"/>
        </w:rPr>
      </w:pPr>
    </w:p>
    <w:p>
      <w:pPr>
        <w:jc w:val="both"/>
        <w:ind w:firstLine="1529"/>
        <w:spacing w:after="0" w:line="270" w:lineRule="auto"/>
        <w:tabs>
          <w:tab w:leader="none" w:pos="1803"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by an amount deemed to be material by such Lender or such Issuing Bank, then from time to time the Borrower will pay to such Lender or such Issuing Bank, as the case may be, in Dollars, such additional amount or amounts as will compensate such Lender or such Issuing Bank or such Lender’s or such Issuing Bank’s holding company for any such reduction suffered.</w:t>
      </w:r>
    </w:p>
    <w:p>
      <w:pPr>
        <w:spacing w:after="0" w:line="181" w:lineRule="exact"/>
        <w:rPr>
          <w:rFonts w:ascii="Arial" w:cs="Arial" w:eastAsia="Arial" w:hAnsi="Arial"/>
          <w:sz w:val="17"/>
          <w:szCs w:val="17"/>
          <w:color w:val="auto"/>
        </w:rPr>
      </w:pPr>
    </w:p>
    <w:p>
      <w:pPr>
        <w:jc w:val="both"/>
        <w:ind w:firstLine="1529"/>
        <w:spacing w:after="0" w:line="259" w:lineRule="auto"/>
        <w:tabs>
          <w:tab w:leader="none" w:pos="1766"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Certificates from Lenders</w:t>
      </w:r>
      <w:r>
        <w:rPr>
          <w:rFonts w:ascii="Arial" w:cs="Arial" w:eastAsia="Arial" w:hAnsi="Arial"/>
          <w:sz w:val="18"/>
          <w:szCs w:val="18"/>
          <w:color w:val="auto"/>
        </w:rPr>
        <w:t xml:space="preserve">. A certificate of a Lender or an Issuing Bank setting forth the amount or amounts, in Dollars, necessary to compensate such Lender or such Issuing Bank or its holding company, as the case may be, as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shall be promptly delivered to the Borrower and shall be conclusive absent manifest error. The Borrower shall pay such Lender or such Issuing Bank, as the case may be, the amount shown as due on any such certificate within 10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40</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85" w:name="page186"/>
    <w:bookmarkEnd w:id="185"/>
    <w:p>
      <w:pPr>
        <w:jc w:val="both"/>
        <w:ind w:firstLine="1529"/>
        <w:spacing w:after="0" w:line="293" w:lineRule="auto"/>
        <w:tabs>
          <w:tab w:leader="none" w:pos="1803"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Change in Law giving rise to such increased costs or reductions is retroactive, then the six-month period referred to above shall be extended to include the period of retroactive effect thereof.</w:t>
      </w:r>
    </w:p>
    <w:p>
      <w:pPr>
        <w:spacing w:after="0" w:line="165" w:lineRule="exact"/>
        <w:rPr>
          <w:sz w:val="20"/>
          <w:szCs w:val="20"/>
          <w:color w:val="auto"/>
        </w:rPr>
      </w:pPr>
    </w:p>
    <w:p>
      <w:pPr>
        <w:jc w:val="both"/>
        <w:ind w:firstLine="1521"/>
        <w:spacing w:after="0" w:line="290"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and is revoked in accordance herewith), or (d) the assignment as a result of a request by the Borrower pursuant to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of any Eurocurrency Loan other than on the last day of an Interest Period therefor, then, in any such event, the Borrower shall compensate each Lender for the loss, cost and reasonable expense attributable to such event. In the case of a Eurocurrency Loan, the loss to any Lender attributable to any such event shall be deemed to include an amount determined by such Lender to be equal to the excess, if any, of</w:t>
      </w:r>
    </w:p>
    <w:p>
      <w:pPr>
        <w:spacing w:after="0" w:line="166" w:lineRule="exact"/>
        <w:rPr>
          <w:sz w:val="20"/>
          <w:szCs w:val="20"/>
          <w:color w:val="auto"/>
        </w:rPr>
      </w:pPr>
    </w:p>
    <w:p>
      <w:pPr>
        <w:jc w:val="both"/>
        <w:ind w:left="760" w:firstLine="719"/>
        <w:spacing w:after="0" w:line="257" w:lineRule="auto"/>
        <w:tabs>
          <w:tab w:leader="none" w:pos="171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Arial" w:cs="Arial" w:eastAsia="Arial" w:hAnsi="Arial"/>
          <w:sz w:val="18"/>
          <w:szCs w:val="18"/>
          <w:u w:val="single" w:color="auto"/>
          <w:color w:val="auto"/>
        </w:rPr>
        <w:t>over</w:t>
      </w:r>
    </w:p>
    <w:p>
      <w:pPr>
        <w:spacing w:after="0" w:line="188" w:lineRule="exact"/>
        <w:rPr>
          <w:rFonts w:ascii="Arial" w:cs="Arial" w:eastAsia="Arial" w:hAnsi="Arial"/>
          <w:sz w:val="18"/>
          <w:szCs w:val="18"/>
          <w:color w:val="auto"/>
        </w:rPr>
      </w:pPr>
    </w:p>
    <w:p>
      <w:pPr>
        <w:jc w:val="both"/>
        <w:ind w:left="760" w:firstLine="719"/>
        <w:spacing w:after="0" w:line="264" w:lineRule="auto"/>
        <w:tabs>
          <w:tab w:leader="none" w:pos="175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7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85" w:lineRule="auto"/>
        <w:tabs>
          <w:tab w:leader="none" w:pos="1779"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w:t>
      </w:r>
    </w:p>
    <w:p>
      <w:pPr>
        <w:spacing w:after="0" w:line="2" w:lineRule="exact"/>
        <w:rPr>
          <w:rFonts w:ascii="Arial" w:cs="Arial" w:eastAsia="Arial" w:hAnsi="Arial"/>
          <w:sz w:val="16"/>
          <w:szCs w:val="16"/>
          <w:color w:val="auto"/>
        </w:rPr>
      </w:pPr>
    </w:p>
    <w:p>
      <w:pPr>
        <w:ind w:firstLine="8"/>
        <w:spacing w:after="0" w:line="261" w:lineRule="auto"/>
        <w:tabs>
          <w:tab w:leader="none" w:pos="26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Borrower shall make such deductions and (iii) the Borrower shall pay the full amount deducted to the relevant Governmental Authority in accordance with applicable law.</w:t>
      </w:r>
    </w:p>
    <w:p>
      <w:pPr>
        <w:spacing w:after="0" w:line="183" w:lineRule="exact"/>
        <w:rPr>
          <w:rFonts w:ascii="Arial" w:cs="Arial" w:eastAsia="Arial" w:hAnsi="Arial"/>
          <w:sz w:val="18"/>
          <w:szCs w:val="18"/>
          <w:color w:val="auto"/>
        </w:rPr>
      </w:pPr>
    </w:p>
    <w:p>
      <w:pPr>
        <w:ind w:firstLine="1529"/>
        <w:spacing w:after="0" w:line="277" w:lineRule="auto"/>
        <w:tabs>
          <w:tab w:leader="none" w:pos="1803"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In addition, the Borrower shall pay any Other Taxes to the relevant Governmental Authority in accordance with applicable law.</w:t>
      </w:r>
    </w:p>
    <w:p>
      <w:pPr>
        <w:spacing w:after="0" w:line="170" w:lineRule="exact"/>
        <w:rPr>
          <w:rFonts w:ascii="Arial" w:cs="Arial" w:eastAsia="Arial" w:hAnsi="Arial"/>
          <w:sz w:val="18"/>
          <w:szCs w:val="18"/>
          <w:color w:val="auto"/>
        </w:rPr>
      </w:pPr>
    </w:p>
    <w:p>
      <w:pPr>
        <w:jc w:val="both"/>
        <w:ind w:firstLine="1529"/>
        <w:spacing w:after="0" w:line="271" w:lineRule="auto"/>
        <w:tabs>
          <w:tab w:leader="none" w:pos="1766" w:val="left"/>
        </w:tabs>
        <w:numPr>
          <w:ilvl w:val="1"/>
          <w:numId w:val="174"/>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the Administrative Agent, each Lender and each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6" w:name="page187"/>
    <w:bookmarkEnd w:id="186"/>
    <w:p>
      <w:pPr>
        <w:jc w:val="both"/>
        <w:ind w:firstLine="1529"/>
        <w:spacing w:after="0" w:line="270" w:lineRule="auto"/>
        <w:tabs>
          <w:tab w:leader="none" w:pos="1789" w:val="left"/>
        </w:tabs>
        <w:numPr>
          <w:ilvl w:val="1"/>
          <w:numId w:val="175"/>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7"/>
          <w:szCs w:val="17"/>
          <w:u w:val="single" w:color="auto"/>
          <w:color w:val="auto"/>
        </w:rPr>
        <w:t>Section 9.04(f)</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7"/>
          <w:szCs w:val="17"/>
          <w:u w:val="single" w:color="auto"/>
          <w:color w:val="auto"/>
        </w:rPr>
        <w:t>paragraph (d)</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529"/>
        <w:spacing w:after="0" w:line="259" w:lineRule="auto"/>
        <w:tabs>
          <w:tab w:leader="none" w:pos="1793"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jc w:val="both"/>
        <w:ind w:firstLine="1529"/>
        <w:spacing w:after="0" w:line="288" w:lineRule="auto"/>
        <w:tabs>
          <w:tab w:leader="none" w:pos="1746"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Tax Documentation</w:t>
      </w:r>
      <w:r>
        <w:rPr>
          <w:rFonts w:ascii="Arial" w:cs="Arial" w:eastAsia="Arial" w:hAnsi="Arial"/>
          <w:sz w:val="16"/>
          <w:szCs w:val="16"/>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2.16(f)(ii)</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9" w:lineRule="exact"/>
        <w:rPr>
          <w:rFonts w:ascii="Arial" w:cs="Arial" w:eastAsia="Arial" w:hAnsi="Arial"/>
          <w:sz w:val="16"/>
          <w:szCs w:val="16"/>
          <w:color w:val="auto"/>
        </w:rPr>
      </w:pPr>
    </w:p>
    <w:p>
      <w:pPr>
        <w:ind w:left="1740" w:hanging="261"/>
        <w:spacing w:after="0"/>
        <w:tabs>
          <w:tab w:leader="none" w:pos="17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rFonts w:ascii="Arial" w:cs="Arial" w:eastAsia="Arial" w:hAnsi="Arial"/>
          <w:sz w:val="18"/>
          <w:szCs w:val="18"/>
          <w:color w:val="auto"/>
        </w:rPr>
      </w:pPr>
    </w:p>
    <w:p>
      <w:pPr>
        <w:jc w:val="both"/>
        <w:ind w:left="1520" w:firstLine="669"/>
        <w:spacing w:after="0" w:line="276" w:lineRule="auto"/>
        <w:tabs>
          <w:tab w:leader="none" w:pos="2510" w:val="left"/>
        </w:tabs>
        <w:numPr>
          <w:ilvl w:val="2"/>
          <w:numId w:val="176"/>
        </w:numPr>
        <w:rPr>
          <w:rFonts w:ascii="Arial" w:cs="Arial" w:eastAsia="Arial" w:hAnsi="Arial"/>
          <w:sz w:val="17"/>
          <w:szCs w:val="17"/>
          <w:color w:val="auto"/>
        </w:rPr>
      </w:pPr>
      <w:r>
        <w:rPr>
          <w:rFonts w:ascii="Arial" w:cs="Arial" w:eastAsia="Arial" w:hAnsi="Arial"/>
          <w:sz w:val="17"/>
          <w:szCs w:val="17"/>
          <w:color w:val="auto"/>
        </w:rPr>
        <w:t>any Lender that is a “United States person” (as defined under Section 7701(a)(30) of the Code) shall deliver to the Borrower and the Administrative Agent (and such additional copies as shall be reasonably requested by the recipient) on or prior to the date on which such Lender become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72" w:lineRule="exact"/>
        <w:rPr>
          <w:rFonts w:ascii="Arial" w:cs="Arial" w:eastAsia="Arial" w:hAnsi="Arial"/>
          <w:sz w:val="17"/>
          <w:szCs w:val="17"/>
          <w:color w:val="auto"/>
        </w:rPr>
      </w:pPr>
    </w:p>
    <w:p>
      <w:pPr>
        <w:jc w:val="both"/>
        <w:ind w:left="1520" w:firstLine="669"/>
        <w:spacing w:after="0" w:line="259" w:lineRule="auto"/>
        <w:tabs>
          <w:tab w:leader="none" w:pos="2487" w:val="left"/>
        </w:tabs>
        <w:numPr>
          <w:ilvl w:val="2"/>
          <w:numId w:val="176"/>
        </w:numPr>
        <w:rPr>
          <w:rFonts w:ascii="Arial" w:cs="Arial" w:eastAsia="Arial" w:hAnsi="Arial"/>
          <w:sz w:val="18"/>
          <w:szCs w:val="18"/>
          <w:color w:val="auto"/>
        </w:rPr>
      </w:pPr>
      <w:r>
        <w:rPr>
          <w:rFonts w:ascii="Arial" w:cs="Arial" w:eastAsia="Arial" w:hAnsi="Arial"/>
          <w:sz w:val="18"/>
          <w:szCs w:val="18"/>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86" w:lineRule="exact"/>
        <w:rPr>
          <w:rFonts w:ascii="Arial" w:cs="Arial" w:eastAsia="Arial" w:hAnsi="Arial"/>
          <w:sz w:val="18"/>
          <w:szCs w:val="18"/>
          <w:color w:val="auto"/>
        </w:rPr>
      </w:pPr>
    </w:p>
    <w:p>
      <w:pPr>
        <w:ind w:left="2300" w:right="20" w:firstLine="599"/>
        <w:spacing w:after="0" w:line="277" w:lineRule="auto"/>
        <w:tabs>
          <w:tab w:leader="none" w:pos="3209" w:val="left"/>
        </w:tabs>
        <w:numPr>
          <w:ilvl w:val="4"/>
          <w:numId w:val="176"/>
        </w:numPr>
        <w:rPr>
          <w:rFonts w:ascii="Arial" w:cs="Arial" w:eastAsia="Arial" w:hAnsi="Arial"/>
          <w:sz w:val="18"/>
          <w:szCs w:val="18"/>
          <w:color w:val="auto"/>
        </w:rPr>
      </w:pPr>
      <w:r>
        <w:rPr>
          <w:rFonts w:ascii="Arial" w:cs="Arial" w:eastAsia="Arial" w:hAnsi="Arial"/>
          <w:sz w:val="18"/>
          <w:szCs w:val="18"/>
          <w:color w:val="auto"/>
        </w:rPr>
        <w:t>duly completed and executed copies of Internal Revenue Service Form W-8BEN or W-8BEN-E or any successor form claiming eligibility for benefits of an income tax treaty to which the United States is a party,</w:t>
      </w:r>
    </w:p>
    <w:p>
      <w:pPr>
        <w:spacing w:after="0" w:line="170" w:lineRule="exact"/>
        <w:rPr>
          <w:rFonts w:ascii="Arial" w:cs="Arial" w:eastAsia="Arial" w:hAnsi="Arial"/>
          <w:sz w:val="18"/>
          <w:szCs w:val="18"/>
          <w:color w:val="auto"/>
        </w:rPr>
      </w:pPr>
    </w:p>
    <w:p>
      <w:pPr>
        <w:jc w:val="both"/>
        <w:ind w:left="2300" w:firstLine="599"/>
        <w:spacing w:after="0" w:line="264" w:lineRule="auto"/>
        <w:tabs>
          <w:tab w:leader="none" w:pos="3197" w:val="left"/>
        </w:tabs>
        <w:numPr>
          <w:ilvl w:val="4"/>
          <w:numId w:val="176"/>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81" w:lineRule="exact"/>
        <w:rPr>
          <w:rFonts w:ascii="Arial" w:cs="Arial" w:eastAsia="Arial" w:hAnsi="Arial"/>
          <w:sz w:val="18"/>
          <w:szCs w:val="18"/>
          <w:color w:val="auto"/>
        </w:rPr>
      </w:pPr>
    </w:p>
    <w:p>
      <w:pPr>
        <w:jc w:val="both"/>
        <w:ind w:left="2300" w:firstLine="599"/>
        <w:spacing w:after="0" w:line="291" w:lineRule="auto"/>
        <w:tabs>
          <w:tab w:leader="none" w:pos="3172" w:val="left"/>
        </w:tabs>
        <w:numPr>
          <w:ilvl w:val="4"/>
          <w:numId w:val="176"/>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 (1) a certificate to the effect that such Foreign Lender is not (1) a “bank” within the meaning of Section 881(c)(3)</w:t>
      </w:r>
    </w:p>
    <w:p>
      <w:pPr>
        <w:ind w:left="2600" w:hanging="310"/>
        <w:spacing w:after="0"/>
        <w:tabs>
          <w:tab w:leader="none" w:pos="2600" w:val="left"/>
        </w:tabs>
        <w:numPr>
          <w:ilvl w:val="3"/>
          <w:numId w:val="176"/>
        </w:numPr>
        <w:rPr>
          <w:rFonts w:ascii="Arial" w:cs="Arial" w:eastAsia="Arial" w:hAnsi="Arial"/>
          <w:sz w:val="16"/>
          <w:szCs w:val="16"/>
          <w:color w:val="auto"/>
        </w:rPr>
      </w:pPr>
      <w:r>
        <w:rPr>
          <w:rFonts w:ascii="Arial" w:cs="Arial" w:eastAsia="Arial" w:hAnsi="Arial"/>
          <w:sz w:val="16"/>
          <w:szCs w:val="16"/>
          <w:color w:val="auto"/>
        </w:rPr>
        <w:t>of the Code, (2) a “10 percent shareholder” of the Borrower within the meaning of Section 881(c)(3)(B) of the Code, or</w:t>
      </w:r>
    </w:p>
    <w:p>
      <w:pPr>
        <w:spacing w:after="0" w:line="32" w:lineRule="exact"/>
        <w:rPr>
          <w:rFonts w:ascii="Arial" w:cs="Arial" w:eastAsia="Arial" w:hAnsi="Arial"/>
          <w:sz w:val="16"/>
          <w:szCs w:val="16"/>
          <w:color w:val="auto"/>
        </w:rPr>
      </w:pPr>
    </w:p>
    <w:p>
      <w:pPr>
        <w:jc w:val="both"/>
        <w:ind w:left="2300"/>
        <w:spacing w:after="0" w:line="255" w:lineRule="auto"/>
        <w:rPr>
          <w:rFonts w:ascii="Arial" w:cs="Arial" w:eastAsia="Arial" w:hAnsi="Arial"/>
          <w:sz w:val="16"/>
          <w:szCs w:val="16"/>
          <w:color w:val="auto"/>
        </w:rPr>
      </w:pPr>
      <w:r>
        <w:rPr>
          <w:rFonts w:ascii="Arial" w:cs="Arial" w:eastAsia="Arial" w:hAnsi="Arial"/>
          <w:sz w:val="18"/>
          <w:szCs w:val="18"/>
          <w:color w:val="auto"/>
        </w:rPr>
        <w:t>(3) a “controlled foreign corporation” described in Section 881(c)(3)(C) of the Code and (2) duly completed and executed copies of Internal Revenue Service Form W-8BEN or W-8BEN-E (or any successor form) certifying that the Foreign Lender is not a United States Person, 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7" w:name="page188"/>
    <w:bookmarkEnd w:id="187"/>
    <w:p>
      <w:pPr>
        <w:jc w:val="both"/>
        <w:ind w:left="2300" w:firstLine="599"/>
        <w:spacing w:after="0" w:line="259" w:lineRule="auto"/>
        <w:tabs>
          <w:tab w:leader="none" w:pos="315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86" w:lineRule="exact"/>
        <w:rPr>
          <w:rFonts w:ascii="Arial" w:cs="Arial" w:eastAsia="Arial" w:hAnsi="Arial"/>
          <w:sz w:val="18"/>
          <w:szCs w:val="18"/>
          <w:color w:val="auto"/>
        </w:rPr>
      </w:pPr>
    </w:p>
    <w:p>
      <w:pPr>
        <w:jc w:val="both"/>
        <w:ind w:left="760" w:firstLine="719"/>
        <w:spacing w:after="0" w:line="302" w:lineRule="auto"/>
        <w:tabs>
          <w:tab w:leader="none" w:pos="179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In addition, each Lender shall deliver such forms promptly upon the obsolescence, expiration or invalidity of any form previously delivered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54" w:lineRule="exact"/>
        <w:rPr>
          <w:sz w:val="20"/>
          <w:szCs w:val="20"/>
          <w:color w:val="auto"/>
        </w:rPr>
      </w:pPr>
    </w:p>
    <w:p>
      <w:pPr>
        <w:jc w:val="both"/>
        <w:ind w:firstLine="1529"/>
        <w:spacing w:after="0" w:line="254" w:lineRule="auto"/>
        <w:tabs>
          <w:tab w:leader="none" w:pos="1803"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Documentation Required by FATCA</w:t>
      </w:r>
      <w:r>
        <w:rPr>
          <w:rFonts w:ascii="Arial" w:cs="Arial" w:eastAsia="Arial" w:hAnsi="Arial"/>
          <w:sz w:val="18"/>
          <w:szCs w:val="18"/>
          <w:color w:val="auto"/>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Arial" w:cs="Arial" w:eastAsia="Arial" w:hAnsi="Arial"/>
          <w:sz w:val="18"/>
          <w:szCs w:val="18"/>
          <w:u w:val="single" w:color="auto"/>
          <w:color w:val="auto"/>
        </w:rPr>
        <w:t>Section 2.16(g)</w:t>
      </w:r>
      <w:r>
        <w:rPr>
          <w:rFonts w:ascii="Arial" w:cs="Arial" w:eastAsia="Arial" w:hAnsi="Arial"/>
          <w:sz w:val="18"/>
          <w:szCs w:val="18"/>
          <w:color w:val="auto"/>
        </w:rPr>
        <w:t>, “FATCA” shall include any amendments made to FATCA after the date of this Agreement.</w:t>
      </w:r>
    </w:p>
    <w:p>
      <w:pPr>
        <w:spacing w:after="0" w:line="192" w:lineRule="exact"/>
        <w:rPr>
          <w:rFonts w:ascii="Arial" w:cs="Arial" w:eastAsia="Arial" w:hAnsi="Arial"/>
          <w:sz w:val="18"/>
          <w:szCs w:val="18"/>
          <w:color w:val="auto"/>
        </w:rPr>
      </w:pPr>
    </w:p>
    <w:p>
      <w:pPr>
        <w:jc w:val="both"/>
        <w:ind w:firstLine="1529"/>
        <w:spacing w:after="0" w:line="268" w:lineRule="auto"/>
        <w:tabs>
          <w:tab w:leader="none" w:pos="1776"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in no event will the Administrative Agent, any Lender or an Issuing Bank be required to pay any amount to Borrower pursuant to this </w:t>
      </w:r>
      <w:r>
        <w:rPr>
          <w:rFonts w:ascii="Arial" w:cs="Arial" w:eastAsia="Arial" w:hAnsi="Arial"/>
          <w:sz w:val="17"/>
          <w:szCs w:val="17"/>
          <w:u w:val="single" w:color="auto"/>
          <w:color w:val="auto"/>
        </w:rPr>
        <w:t>clause (h)</w:t>
      </w:r>
      <w:r>
        <w:rPr>
          <w:rFonts w:ascii="Arial" w:cs="Arial" w:eastAsia="Arial" w:hAnsi="Arial"/>
          <w:sz w:val="17"/>
          <w:szCs w:val="17"/>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8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53" w:lineRule="auto"/>
        <w:tabs>
          <w:tab w:leader="none" w:pos="1779"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Payments by the Borrower</w:t>
      </w:r>
      <w:r>
        <w:rPr>
          <w:rFonts w:ascii="Arial" w:cs="Arial" w:eastAsia="Arial" w:hAnsi="Arial"/>
          <w:sz w:val="18"/>
          <w:szCs w:val="18"/>
          <w:color w:val="auto"/>
        </w:rPr>
        <w:t xml:space="preserve">. The Borrower shall make each payment required to be made by it hereunder (whether of principal, interest, fees or reimbursement of LC Disbursements, or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otherwise) or under any other Loan Document (except to the extent otherwise provided 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88" w:name="page189"/>
    <w:bookmarkEnd w:id="188"/>
    <w:p>
      <w:pPr>
        <w:jc w:val="both"/>
        <w:ind w:firstLine="1521"/>
        <w:spacing w:after="0" w:line="269" w:lineRule="auto"/>
        <w:rPr>
          <w:sz w:val="20"/>
          <w:szCs w:val="20"/>
          <w:color w:val="auto"/>
        </w:rPr>
      </w:pPr>
      <w:r>
        <w:rPr>
          <w:rFonts w:ascii="Arial" w:cs="Arial" w:eastAsia="Arial" w:hAnsi="Arial"/>
          <w:sz w:val="17"/>
          <w:szCs w:val="17"/>
          <w:color w:val="auto"/>
        </w:rPr>
        <w:t xml:space="preserve">All amounts owing under this Agreement (including commitment fees, payments required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payments required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17"/>
          <w:szCs w:val="17"/>
          <w:u w:val="single" w:color="auto"/>
          <w:color w:val="auto"/>
        </w:rPr>
        <w:t>Section 2.15</w:t>
      </w:r>
      <w:r>
        <w:rPr>
          <w:rFonts w:ascii="Arial" w:cs="Arial" w:eastAsia="Arial" w:hAnsi="Arial"/>
          <w:sz w:val="17"/>
          <w:szCs w:val="17"/>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83" w:lineRule="exact"/>
        <w:rPr>
          <w:sz w:val="20"/>
          <w:szCs w:val="20"/>
          <w:color w:val="auto"/>
        </w:rPr>
      </w:pPr>
    </w:p>
    <w:p>
      <w:pPr>
        <w:jc w:val="both"/>
        <w:ind w:firstLine="1521"/>
        <w:spacing w:after="0" w:line="255" w:lineRule="auto"/>
        <w:rPr>
          <w:sz w:val="20"/>
          <w:szCs w:val="20"/>
          <w:color w:val="auto"/>
        </w:rPr>
      </w:pPr>
      <w:r>
        <w:rPr>
          <w:rFonts w:ascii="Arial" w:cs="Arial" w:eastAsia="Arial" w:hAnsi="Arial"/>
          <w:sz w:val="18"/>
          <w:szCs w:val="18"/>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Arial" w:cs="Arial" w:eastAsia="Arial" w:hAnsi="Arial"/>
          <w:sz w:val="18"/>
          <w:szCs w:val="18"/>
          <w:u w:val="single" w:color="auto"/>
          <w:color w:val="auto"/>
        </w:rPr>
        <w:t>Original Currency</w:t>
      </w:r>
      <w:r>
        <w:rPr>
          <w:rFonts w:ascii="Arial" w:cs="Arial" w:eastAsia="Arial" w:hAnsi="Arial"/>
          <w:sz w:val="18"/>
          <w:szCs w:val="18"/>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93" w:lineRule="exact"/>
        <w:rPr>
          <w:sz w:val="20"/>
          <w:szCs w:val="20"/>
          <w:color w:val="auto"/>
        </w:rPr>
      </w:pPr>
    </w:p>
    <w:p>
      <w:pPr>
        <w:jc w:val="both"/>
        <w:ind w:firstLine="1529"/>
        <w:spacing w:after="0" w:line="255" w:lineRule="auto"/>
        <w:tabs>
          <w:tab w:leader="none" w:pos="1776"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Application of Insufficient Payments</w:t>
      </w:r>
      <w:r>
        <w:rPr>
          <w:rFonts w:ascii="Arial" w:cs="Arial" w:eastAsia="Arial" w:hAnsi="Arial"/>
          <w:sz w:val="18"/>
          <w:szCs w:val="18"/>
          <w:color w:val="auto"/>
        </w:rPr>
        <w:t>. If at any time insufficient funds are received by and available to the Administrative Agent to pay fully all amounts of principal, unreimbursed LC Disbursements, interest and fees of a Class of Commitments or Final Maturity Date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93" w:lineRule="exact"/>
        <w:rPr>
          <w:rFonts w:ascii="Arial" w:cs="Arial" w:eastAsia="Arial" w:hAnsi="Arial"/>
          <w:sz w:val="18"/>
          <w:szCs w:val="18"/>
          <w:color w:val="auto"/>
        </w:rPr>
      </w:pPr>
    </w:p>
    <w:p>
      <w:pPr>
        <w:jc w:val="both"/>
        <w:ind w:firstLine="1529"/>
        <w:spacing w:after="0" w:line="268" w:lineRule="auto"/>
        <w:tabs>
          <w:tab w:leader="none" w:pos="1766"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Pro Rata Treatment</w:t>
      </w:r>
      <w:r>
        <w:rPr>
          <w:rFonts w:ascii="Arial" w:cs="Arial" w:eastAsia="Arial" w:hAnsi="Arial"/>
          <w:sz w:val="17"/>
          <w:szCs w:val="17"/>
          <w:color w:val="auto"/>
        </w:rPr>
        <w:t xml:space="preserve">. Except to the extent otherwise provided herein: (i) other than with respect any Syndicated Borrowing requested pursuant to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each Syndicated Borrowing of a Class shall be made from the Lenders of such Class of Commitments and each Syndicated Borrowing of a Class requested pursuant to Section 2.20 shall be made from each Extending Lender, each payment of commitment fee under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be made for account of the Lenders of the applicable Class, and each termination or reduction of the amount of the Commitments of a Class of Commitments or Final Maturity Date under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shall be applied to the respective Commitments of the Lenders of such Class of Commitments or Final Maturity Date, pro rata according to the amounts of their respective Commitments of such Class of Commitments or Final Maturity Date; (ii) each Syndicated Borrowing of a Class of Commitments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of Commitments or Final Maturity Date by the Borrower shall be made for account of the Lenders of such Class of Commitments or Final Maturity Date pro rata in accordance with the respective unpaid principal amounts of the Syndicated Loans of such Class of Commitments or Final Maturity Date held by them; and (iv) each payment of interest on Syndicated Loans of a Class of Commitments or Final Maturity Date by the Borrower shall be made for account of the Lenders of such Class of Commitments or Final Maturity Date pro rata in accordance with the amounts of interest on such Loans of such Class of Commitments or Final Maturity Date then due and payable to the respective Lenders.</w:t>
      </w:r>
    </w:p>
    <w:p>
      <w:pPr>
        <w:spacing w:after="0" w:line="185" w:lineRule="exact"/>
        <w:rPr>
          <w:rFonts w:ascii="Arial" w:cs="Arial" w:eastAsia="Arial" w:hAnsi="Arial"/>
          <w:sz w:val="17"/>
          <w:szCs w:val="17"/>
          <w:color w:val="auto"/>
        </w:rPr>
      </w:pPr>
    </w:p>
    <w:p>
      <w:pPr>
        <w:jc w:val="both"/>
        <w:ind w:firstLine="1529"/>
        <w:spacing w:after="0" w:line="269" w:lineRule="auto"/>
        <w:tabs>
          <w:tab w:leader="none" w:pos="1776"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Sharing of Payments by Lenders</w:t>
      </w:r>
      <w:r>
        <w:rPr>
          <w:rFonts w:ascii="Arial" w:cs="Arial" w:eastAsia="Arial" w:hAnsi="Arial"/>
          <w:sz w:val="17"/>
          <w:szCs w:val="17"/>
          <w:color w:val="auto"/>
        </w:rPr>
        <w:t xml:space="preserve">. If any Lender of any Class of Commitment or Final Maturity Date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44</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89" w:name="page190"/>
    <w:bookmarkEnd w:id="189"/>
    <w:p>
      <w:pPr>
        <w:jc w:val="both"/>
        <w:spacing w:after="0" w:line="276" w:lineRule="auto"/>
        <w:rPr>
          <w:sz w:val="20"/>
          <w:szCs w:val="20"/>
          <w:color w:val="auto"/>
        </w:rPr>
      </w:pPr>
      <w:r>
        <w:rPr>
          <w:rFonts w:ascii="Arial" w:cs="Arial" w:eastAsia="Arial" w:hAnsi="Arial"/>
          <w:sz w:val="17"/>
          <w:szCs w:val="17"/>
          <w:color w:val="auto"/>
        </w:rPr>
        <w:t>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3" w:lineRule="exact"/>
        <w:rPr>
          <w:sz w:val="20"/>
          <w:szCs w:val="20"/>
          <w:color w:val="auto"/>
        </w:rPr>
      </w:pPr>
    </w:p>
    <w:p>
      <w:pPr>
        <w:jc w:val="both"/>
        <w:ind w:firstLine="1529"/>
        <w:spacing w:after="0" w:line="272" w:lineRule="auto"/>
        <w:tabs>
          <w:tab w:leader="none" w:pos="1766"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Presumptions of Payment</w:t>
      </w:r>
      <w:r>
        <w:rPr>
          <w:rFonts w:ascii="Arial" w:cs="Arial" w:eastAsia="Arial" w:hAnsi="Arial"/>
          <w:sz w:val="17"/>
          <w:szCs w:val="17"/>
          <w:color w:val="auto"/>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spacing w:after="0" w:line="177" w:lineRule="exact"/>
        <w:rPr>
          <w:rFonts w:ascii="Arial" w:cs="Arial" w:eastAsia="Arial" w:hAnsi="Arial"/>
          <w:sz w:val="17"/>
          <w:szCs w:val="17"/>
          <w:color w:val="auto"/>
        </w:rPr>
      </w:pPr>
    </w:p>
    <w:p>
      <w:pPr>
        <w:jc w:val="both"/>
        <w:ind w:firstLine="1529"/>
        <w:spacing w:after="0" w:line="259" w:lineRule="auto"/>
        <w:tabs>
          <w:tab w:leader="none" w:pos="1746"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Certain Deductions by the Administrative Agent</w:t>
      </w:r>
      <w:r>
        <w:rPr>
          <w:rFonts w:ascii="Arial" w:cs="Arial" w:eastAsia="Arial" w:hAnsi="Arial"/>
          <w:sz w:val="18"/>
          <w:szCs w:val="18"/>
          <w:color w:val="auto"/>
        </w:rPr>
        <w:t xml:space="preserve">. If any Lender shall fail to make any payment required to be made by it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2.17(e)</w:t>
      </w:r>
      <w:r>
        <w:rPr>
          <w:rFonts w:ascii="Arial" w:cs="Arial" w:eastAsia="Arial" w:hAnsi="Arial"/>
          <w:sz w:val="18"/>
          <w:szCs w:val="18"/>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72" w:lineRule="auto"/>
        <w:tabs>
          <w:tab w:leader="none" w:pos="1766"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if the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w:t>
      </w:r>
      <w:r>
        <w:rPr>
          <w:rFonts w:ascii="Arial" w:cs="Arial" w:eastAsia="Arial" w:hAnsi="Arial"/>
          <w:sz w:val="17"/>
          <w:szCs w:val="17"/>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77" w:lineRule="exact"/>
        <w:rPr>
          <w:rFonts w:ascii="Arial" w:cs="Arial" w:eastAsia="Arial" w:hAnsi="Arial"/>
          <w:sz w:val="17"/>
          <w:szCs w:val="17"/>
          <w:color w:val="auto"/>
        </w:rPr>
      </w:pPr>
    </w:p>
    <w:p>
      <w:pPr>
        <w:jc w:val="both"/>
        <w:ind w:firstLine="1529"/>
        <w:spacing w:after="0" w:line="286" w:lineRule="auto"/>
        <w:tabs>
          <w:tab w:leader="none" w:pos="1803"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 is required to pay any additional amount to any Lender or any Governmental Authority for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if any Lender becomes a Defaulting Lender or is a Non-Consenting Lender (as provided in </w:t>
      </w:r>
      <w:r>
        <w:rPr>
          <w:rFonts w:ascii="Arial" w:cs="Arial" w:eastAsia="Arial" w:hAnsi="Arial"/>
          <w:sz w:val="16"/>
          <w:szCs w:val="16"/>
          <w:u w:val="single" w:color="auto"/>
          <w:color w:val="auto"/>
        </w:rPr>
        <w:t>Section 9.02(d)</w:t>
      </w:r>
      <w:r>
        <w:rPr>
          <w:rFonts w:ascii="Arial" w:cs="Arial" w:eastAsia="Arial" w:hAnsi="Arial"/>
          <w:sz w:val="16"/>
          <w:szCs w:val="16"/>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Commitment is being assigned, each Issuing Bank and each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45</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0" w:name="page191"/>
    <w:bookmarkEnd w:id="190"/>
    <w:p>
      <w:pPr>
        <w:ind w:left="152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25" w:lineRule="exact"/>
        <w:rPr>
          <w:sz w:val="20"/>
          <w:szCs w:val="20"/>
          <w:color w:val="auto"/>
        </w:rPr>
      </w:pPr>
    </w:p>
    <w:p>
      <w:pPr>
        <w:ind w:firstLine="1529"/>
        <w:spacing w:after="0" w:line="277" w:lineRule="auto"/>
        <w:tabs>
          <w:tab w:leader="none" w:pos="1779"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rFonts w:ascii="Arial" w:cs="Arial" w:eastAsia="Arial" w:hAnsi="Arial"/>
          <w:sz w:val="18"/>
          <w:szCs w:val="18"/>
          <w:color w:val="auto"/>
        </w:rPr>
      </w:pPr>
    </w:p>
    <w:p>
      <w:pPr>
        <w:jc w:val="both"/>
        <w:ind w:left="760" w:firstLine="719"/>
        <w:spacing w:after="0" w:line="267" w:lineRule="auto"/>
        <w:tabs>
          <w:tab w:leader="none" w:pos="1699"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otherwise) or received by Administrative Agent from a Defaulting Lender pursuant to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shall be applied at such time or times as may be determined by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to the payment on a pro rata basis of any amounts owing by such Defaulting Lender to any Issuing Bank or any Swingline Lender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Cash Collateralize each Issuing Bank’s Fronting Exposure with respect to such Defaulting Lender in the manner described in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2.09(a)</w:t>
      </w:r>
      <w:r>
        <w:rPr>
          <w:rFonts w:ascii="Arial" w:cs="Arial" w:eastAsia="Arial" w:hAnsi="Arial"/>
          <w:sz w:val="17"/>
          <w:szCs w:val="17"/>
          <w:color w:val="auto"/>
        </w:rPr>
        <w:t xml:space="preserve">;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7"/>
          <w:szCs w:val="17"/>
          <w:u w:val="single" w:color="auto"/>
          <w:color w:val="auto"/>
        </w:rPr>
        <w:t>Section 2.19(a)(iii)</w:t>
      </w:r>
      <w:r>
        <w:rPr>
          <w:rFonts w:ascii="Arial" w:cs="Arial" w:eastAsia="Arial" w:hAnsi="Arial"/>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2.19(a)(i)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180" w:lineRule="exact"/>
        <w:rPr>
          <w:rFonts w:ascii="Arial" w:cs="Arial" w:eastAsia="Arial" w:hAnsi="Arial"/>
          <w:sz w:val="17"/>
          <w:szCs w:val="17"/>
          <w:color w:val="auto"/>
        </w:rPr>
      </w:pPr>
    </w:p>
    <w:p>
      <w:pPr>
        <w:ind w:left="1740" w:hanging="261"/>
        <w:spacing w:after="0"/>
        <w:tabs>
          <w:tab w:leader="none" w:pos="174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520" w:firstLine="669"/>
        <w:spacing w:after="0" w:line="276" w:lineRule="auto"/>
        <w:tabs>
          <w:tab w:leader="none" w:pos="2482" w:val="left"/>
        </w:tabs>
        <w:numPr>
          <w:ilvl w:val="2"/>
          <w:numId w:val="185"/>
        </w:numPr>
        <w:rPr>
          <w:rFonts w:ascii="Arial" w:cs="Arial" w:eastAsia="Arial" w:hAnsi="Arial"/>
          <w:sz w:val="17"/>
          <w:szCs w:val="17"/>
          <w:color w:val="auto"/>
        </w:rPr>
      </w:pPr>
      <w:r>
        <w:rPr>
          <w:rFonts w:ascii="Arial" w:cs="Arial" w:eastAsia="Arial" w:hAnsi="Arial"/>
          <w:sz w:val="17"/>
          <w:szCs w:val="17"/>
          <w:color w:val="auto"/>
        </w:rPr>
        <w:t xml:space="preserve">No Defaulting Lender shall be entitled to receive any fee pursuant to </w:t>
      </w:r>
      <w:r>
        <w:rPr>
          <w:rFonts w:ascii="Arial" w:cs="Arial" w:eastAsia="Arial" w:hAnsi="Arial"/>
          <w:sz w:val="17"/>
          <w:szCs w:val="17"/>
          <w:u w:val="single" w:color="auto"/>
          <w:color w:val="auto"/>
        </w:rPr>
        <w:t>Sections 2.11(a)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for any period during which that Lender is a Defaulting Lender (and Borrower shall not be required to pay any such fee that otherwise would have been required to have been paid to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Defaulting Lender shall be entitled to receive fees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2.11(b)</w:t>
      </w:r>
      <w:r>
        <w:rPr>
          <w:rFonts w:ascii="Arial" w:cs="Arial" w:eastAsia="Arial" w:hAnsi="Arial"/>
          <w:sz w:val="17"/>
          <w:szCs w:val="17"/>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Arial" w:cs="Arial" w:eastAsia="Arial" w:hAnsi="Arial"/>
          <w:sz w:val="17"/>
          <w:szCs w:val="17"/>
          <w:u w:val="single" w:color="auto"/>
          <w:color w:val="auto"/>
        </w:rPr>
        <w:t>Section 2.19(d)</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left="1520" w:firstLine="669"/>
        <w:spacing w:after="0" w:line="255" w:lineRule="auto"/>
        <w:tabs>
          <w:tab w:leader="none" w:pos="2481" w:val="left"/>
        </w:tabs>
        <w:numPr>
          <w:ilvl w:val="2"/>
          <w:numId w:val="185"/>
        </w:numPr>
        <w:rPr>
          <w:rFonts w:ascii="Arial" w:cs="Arial" w:eastAsia="Arial" w:hAnsi="Arial"/>
          <w:sz w:val="18"/>
          <w:szCs w:val="18"/>
          <w:color w:val="auto"/>
        </w:rPr>
      </w:pPr>
      <w:r>
        <w:rPr>
          <w:rFonts w:ascii="Arial" w:cs="Arial" w:eastAsia="Arial" w:hAnsi="Arial"/>
          <w:sz w:val="18"/>
          <w:szCs w:val="18"/>
          <w:color w:val="auto"/>
        </w:rPr>
        <w:t xml:space="preserve">With respect to any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fees not required to be paid to any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46</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1" w:name="page192"/>
    <w:bookmarkEnd w:id="191"/>
    <w:p>
      <w:pPr>
        <w:jc w:val="both"/>
        <w:ind w:left="760" w:firstLine="719"/>
        <w:spacing w:after="0" w:line="288" w:lineRule="auto"/>
        <w:tabs>
          <w:tab w:leader="none" w:pos="1785"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Reallocation of Participations to Reduce Fronting Exposure</w:t>
      </w:r>
      <w:r>
        <w:rPr>
          <w:rFonts w:ascii="Arial" w:cs="Arial" w:eastAsia="Arial" w:hAnsi="Arial"/>
          <w:sz w:val="16"/>
          <w:szCs w:val="16"/>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Arial" w:cs="Arial" w:eastAsia="Arial" w:hAnsi="Arial"/>
          <w:sz w:val="16"/>
          <w:szCs w:val="16"/>
          <w:u w:val="single" w:color="auto"/>
          <w:color w:val="auto"/>
        </w:rPr>
        <w:t>Section 9.17</w:t>
      </w:r>
      <w:r>
        <w:rPr>
          <w:rFonts w:ascii="Arial" w:cs="Arial" w:eastAsia="Arial" w:hAnsi="Arial"/>
          <w:sz w:val="16"/>
          <w:szCs w:val="16"/>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9" w:lineRule="exact"/>
        <w:rPr>
          <w:rFonts w:ascii="Arial" w:cs="Arial" w:eastAsia="Arial" w:hAnsi="Arial"/>
          <w:sz w:val="16"/>
          <w:szCs w:val="16"/>
          <w:color w:val="auto"/>
        </w:rPr>
      </w:pPr>
    </w:p>
    <w:p>
      <w:pPr>
        <w:jc w:val="both"/>
        <w:ind w:left="760" w:firstLine="719"/>
        <w:spacing w:after="0" w:line="270" w:lineRule="auto"/>
        <w:tabs>
          <w:tab w:leader="none" w:pos="1775"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Cash Collateral; Repayment of Swingline Loans</w:t>
      </w:r>
      <w:r>
        <w:rPr>
          <w:rFonts w:ascii="Arial" w:cs="Arial" w:eastAsia="Arial" w:hAnsi="Arial"/>
          <w:sz w:val="17"/>
          <w:szCs w:val="17"/>
          <w:color w:val="auto"/>
        </w:rPr>
        <w:t xml:space="preserve">. If the reallocation described in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each Issuing Bank’s Fronting Exposure in accordance with the procedures set forth in </w:t>
      </w:r>
      <w:r>
        <w:rPr>
          <w:rFonts w:ascii="Arial" w:cs="Arial" w:eastAsia="Arial" w:hAnsi="Arial"/>
          <w:sz w:val="17"/>
          <w:szCs w:val="17"/>
          <w:u w:val="single" w:color="auto"/>
          <w:color w:val="auto"/>
        </w:rPr>
        <w:t>Section 2.19(d)</w:t>
      </w:r>
      <w:r>
        <w:rPr>
          <w:rFonts w:ascii="Arial" w:cs="Arial" w:eastAsia="Arial" w:hAnsi="Arial"/>
          <w:sz w:val="17"/>
          <w:szCs w:val="17"/>
          <w:color w:val="auto"/>
        </w:rPr>
        <w:t xml:space="preserve"> or (z) make other arrangements reasonably satisfactory to the Administrative Agent, the Issuing Banks and the Swingline Lenders in their sole discretion to protect them against the risk of non-payment by such Defaulting Lender.</w:t>
      </w:r>
    </w:p>
    <w:p>
      <w:pPr>
        <w:spacing w:after="0" w:line="182" w:lineRule="exact"/>
        <w:rPr>
          <w:sz w:val="20"/>
          <w:szCs w:val="20"/>
          <w:color w:val="auto"/>
        </w:rPr>
      </w:pPr>
    </w:p>
    <w:p>
      <w:pPr>
        <w:jc w:val="both"/>
        <w:ind w:firstLine="1529"/>
        <w:spacing w:after="0" w:line="269" w:lineRule="auto"/>
        <w:tabs>
          <w:tab w:leader="none" w:pos="1789"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7"/>
          <w:szCs w:val="17"/>
          <w:u w:val="single" w:color="auto"/>
          <w:color w:val="auto"/>
        </w:rPr>
        <w:t>Section 2.19(a)(iii)</w:t>
      </w:r>
      <w:r>
        <w:rPr>
          <w:rFonts w:ascii="Arial" w:cs="Arial" w:eastAsia="Arial" w:hAnsi="Arial"/>
          <w:sz w:val="17"/>
          <w:szCs w:val="17"/>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2" w:lineRule="exact"/>
        <w:rPr>
          <w:rFonts w:ascii="Arial" w:cs="Arial" w:eastAsia="Arial" w:hAnsi="Arial"/>
          <w:sz w:val="17"/>
          <w:szCs w:val="17"/>
          <w:color w:val="auto"/>
        </w:rPr>
      </w:pPr>
    </w:p>
    <w:p>
      <w:pPr>
        <w:jc w:val="both"/>
        <w:ind w:firstLine="1529"/>
        <w:spacing w:after="0" w:line="255" w:lineRule="auto"/>
        <w:tabs>
          <w:tab w:leader="none" w:pos="1766"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New Swingline Loans/Letters of Credit</w:t>
      </w:r>
      <w:r>
        <w:rPr>
          <w:rFonts w:ascii="Arial" w:cs="Arial" w:eastAsia="Arial" w:hAnsi="Arial"/>
          <w:sz w:val="18"/>
          <w:szCs w:val="18"/>
          <w:color w:val="auto"/>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above and such Defaulting Lender shall not participate therein except to the extent such Defaulting Lender’s participation has been or will be fully Cash Collateralized in accordance with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firstLine="1529"/>
        <w:spacing w:after="0" w:line="259" w:lineRule="auto"/>
        <w:tabs>
          <w:tab w:leader="none" w:pos="1789"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Arial" w:cs="Arial" w:eastAsia="Arial" w:hAnsi="Arial"/>
          <w:sz w:val="18"/>
          <w:szCs w:val="18"/>
          <w:u w:val="single" w:color="auto"/>
          <w:color w:val="auto"/>
        </w:rPr>
        <w:t>Section 2.19(a)(iii)</w:t>
      </w:r>
      <w:r>
        <w:rPr>
          <w:rFonts w:ascii="Arial" w:cs="Arial" w:eastAsia="Arial" w:hAnsi="Arial"/>
          <w:sz w:val="18"/>
          <w:szCs w:val="18"/>
          <w:color w:val="auto"/>
        </w:rPr>
        <w:t xml:space="preserve"> and any Cash Collateral provided by such Defaulting Lender) in an amount not less than the Minimum Collateral Amount.</w:t>
      </w:r>
    </w:p>
    <w:p>
      <w:pPr>
        <w:spacing w:after="0" w:line="186" w:lineRule="exact"/>
        <w:rPr>
          <w:rFonts w:ascii="Arial" w:cs="Arial" w:eastAsia="Arial" w:hAnsi="Arial"/>
          <w:sz w:val="18"/>
          <w:szCs w:val="18"/>
          <w:color w:val="auto"/>
        </w:rPr>
      </w:pPr>
    </w:p>
    <w:p>
      <w:pPr>
        <w:jc w:val="both"/>
        <w:ind w:left="760" w:firstLine="719"/>
        <w:spacing w:after="0" w:line="255" w:lineRule="auto"/>
        <w:tabs>
          <w:tab w:leader="none" w:pos="1685"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If at any time Administrative Agent determines that Cash Collateral is subject to any right or claim of any Person other than Administrative Agent and the Issuing Banks as herein provided, or that the total amount of such Cash Collateral is less than the Minimum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47</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2" w:name="page193"/>
    <w:bookmarkEnd w:id="192"/>
    <w:p>
      <w:pPr>
        <w:jc w:val="both"/>
        <w:ind w:left="760"/>
        <w:spacing w:after="0" w:line="276" w:lineRule="auto"/>
        <w:rPr>
          <w:sz w:val="20"/>
          <w:szCs w:val="20"/>
          <w:color w:val="auto"/>
        </w:rPr>
      </w:pPr>
      <w:r>
        <w:rPr>
          <w:rFonts w:ascii="Arial" w:cs="Arial" w:eastAsia="Arial" w:hAnsi="Arial"/>
          <w:sz w:val="17"/>
          <w:szCs w:val="17"/>
          <w:color w:val="auto"/>
        </w:rPr>
        <w:t>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SunTrust. Borrower shall pay on demand therefor from time to time all reasonable and customary account opening, activity and other administrative fees and charges in connection with the maintenance and disbursement of Cash Collateral.</w:t>
      </w:r>
    </w:p>
    <w:p>
      <w:pPr>
        <w:spacing w:after="0" w:line="173" w:lineRule="exact"/>
        <w:rPr>
          <w:sz w:val="20"/>
          <w:szCs w:val="20"/>
          <w:color w:val="auto"/>
        </w:rPr>
      </w:pPr>
    </w:p>
    <w:p>
      <w:pPr>
        <w:jc w:val="both"/>
        <w:ind w:left="760" w:firstLine="719"/>
        <w:spacing w:after="0" w:line="279" w:lineRule="auto"/>
        <w:tabs>
          <w:tab w:leader="none" w:pos="1735"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xml:space="preserve">. Notwithstanding anything to the contrary contained in this Agreement, Cash Collateral provided under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71" w:lineRule="exact"/>
        <w:rPr>
          <w:rFonts w:ascii="Arial" w:cs="Arial" w:eastAsia="Arial" w:hAnsi="Arial"/>
          <w:sz w:val="17"/>
          <w:szCs w:val="17"/>
          <w:color w:val="auto"/>
        </w:rPr>
      </w:pPr>
    </w:p>
    <w:p>
      <w:pPr>
        <w:jc w:val="both"/>
        <w:ind w:left="760" w:firstLine="719"/>
        <w:spacing w:after="0" w:line="255" w:lineRule="auto"/>
        <w:tabs>
          <w:tab w:leader="none" w:pos="1812"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Termination of Requirement</w:t>
      </w:r>
      <w:r>
        <w:rPr>
          <w:rFonts w:ascii="Arial" w:cs="Arial" w:eastAsia="Arial" w:hAnsi="Arial"/>
          <w:sz w:val="18"/>
          <w:szCs w:val="18"/>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other provisions of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the Person providing Cash Collateral and each Issuing Bank may agree that Cash Collateral shall be held to support future anticipated Fronting Exposure;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that such Cash Collateral was provided by Borrower, such Cash Collateral shall remain subject to the security interest granted pursuant to the Loan Documents.</w:t>
      </w:r>
    </w:p>
    <w:p>
      <w:pPr>
        <w:spacing w:after="0" w:line="18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Reallocation Following the Non-Extended Commitment Termination Date</w:t>
      </w:r>
      <w:r>
        <w:rPr>
          <w:rFonts w:ascii="Arial" w:cs="Arial" w:eastAsia="Arial" w:hAnsi="Arial"/>
          <w:sz w:val="18"/>
          <w:szCs w:val="18"/>
          <w:color w:val="auto"/>
        </w:rPr>
        <w:t>.</w:t>
      </w:r>
    </w:p>
    <w:p>
      <w:pPr>
        <w:spacing w:after="0" w:line="225" w:lineRule="exact"/>
        <w:rPr>
          <w:sz w:val="20"/>
          <w:szCs w:val="20"/>
          <w:color w:val="auto"/>
        </w:rPr>
      </w:pPr>
    </w:p>
    <w:p>
      <w:pPr>
        <w:ind w:left="1780" w:hanging="251"/>
        <w:spacing w:after="0"/>
        <w:tabs>
          <w:tab w:leader="none" w:pos="1780" w:val="left"/>
        </w:tabs>
        <w:numPr>
          <w:ilvl w:val="2"/>
          <w:numId w:val="190"/>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and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719"/>
        <w:spacing w:after="0" w:line="268" w:lineRule="auto"/>
        <w:tabs>
          <w:tab w:leader="none" w:pos="1696" w:val="left"/>
        </w:tabs>
        <w:numPr>
          <w:ilvl w:val="1"/>
          <w:numId w:val="19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(a) in connection with the reduction or termination of any Non-Extending Lender’s Commitments in accordance with </w:t>
      </w:r>
      <w:r>
        <w:rPr>
          <w:rFonts w:ascii="Arial" w:cs="Arial" w:eastAsia="Arial" w:hAnsi="Arial"/>
          <w:sz w:val="17"/>
          <w:szCs w:val="17"/>
          <w:u w:val="single" w:color="auto"/>
          <w:color w:val="auto"/>
        </w:rPr>
        <w:t>Section 2.08(f)</w:t>
      </w:r>
      <w:r>
        <w:rPr>
          <w:rFonts w:ascii="Arial" w:cs="Arial" w:eastAsia="Arial" w:hAnsi="Arial"/>
          <w:sz w:val="17"/>
          <w:szCs w:val="17"/>
          <w:color w:val="auto"/>
        </w:rPr>
        <w:t xml:space="preserve"> on any date prior to the Non-Extended Commitment Termination Date, the Borrower shall be permitted to request a Dollar Loan be made ratably among the Extending Lenders in accordance with the provisions of </w:t>
      </w:r>
      <w:r>
        <w:rPr>
          <w:rFonts w:ascii="Arial" w:cs="Arial" w:eastAsia="Arial" w:hAnsi="Arial"/>
          <w:sz w:val="17"/>
          <w:szCs w:val="17"/>
          <w:u w:val="single" w:color="auto"/>
          <w:color w:val="auto"/>
        </w:rPr>
        <w:t>Sections 2.02</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2.17(c)</w:t>
      </w:r>
      <w:r>
        <w:rPr>
          <w:rFonts w:ascii="Arial" w:cs="Arial" w:eastAsia="Arial" w:hAnsi="Arial"/>
          <w:sz w:val="17"/>
          <w:szCs w:val="17"/>
          <w:color w:val="auto"/>
        </w:rPr>
        <w:t xml:space="preserve"> in an amount up to the amount by which such Non-Extending Lender’s Revolving Credit Exposure exceeds such Non-Extending Lender’s Commitments after giving effect to such Commitment reduction and (b) on any date following the Non-Extended Commitment Termination Date until the Extended Commitment Termination Date, the Borrower shall be permitted to request a Dollar Loan to be made ratably among the Extending Lenders in accordance with </w:t>
      </w:r>
      <w:r>
        <w:rPr>
          <w:rFonts w:ascii="Arial" w:cs="Arial" w:eastAsia="Arial" w:hAnsi="Arial"/>
          <w:sz w:val="17"/>
          <w:szCs w:val="17"/>
          <w:u w:val="single" w:color="auto"/>
          <w:color w:val="auto"/>
        </w:rPr>
        <w:t>Sections 2.02</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2.17(c)</w:t>
      </w:r>
      <w:r>
        <w:rPr>
          <w:rFonts w:ascii="Arial" w:cs="Arial" w:eastAsia="Arial" w:hAnsi="Arial"/>
          <w:sz w:val="17"/>
          <w:szCs w:val="17"/>
          <w:color w:val="auto"/>
        </w:rPr>
        <w:t xml:space="preserve"> in an amount up to the Revolving Credit Exposure of each Non-Extending Lender, in each case, so long as (x)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 (III) 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spacing w:after="0" w:line="183" w:lineRule="exact"/>
        <w:rPr>
          <w:rFonts w:ascii="Arial" w:cs="Arial" w:eastAsia="Arial" w:hAnsi="Arial"/>
          <w:sz w:val="17"/>
          <w:szCs w:val="17"/>
          <w:color w:val="auto"/>
        </w:rPr>
      </w:pPr>
    </w:p>
    <w:p>
      <w:pPr>
        <w:jc w:val="both"/>
        <w:ind w:left="760" w:firstLine="719"/>
        <w:spacing w:after="0" w:line="284" w:lineRule="auto"/>
        <w:tabs>
          <w:tab w:leader="none" w:pos="173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All or any part of each Non-Extending Lender’s participation in Letters of Credit and Swingline Loans shall be reallocated on (A) any date on which the Commitment of such Non-Extending Lender is reduced or terminated pursuant to Section 2.08(f) and (B) on the Non-Extended Commitment Termination Date, in each case, among the Extending Lenders in accordance with their respective Applicable Dollar Percentages and Applicable Multicurrency Percentages after giving effect to the reduction of the aggregate Commitments, but only to the extent that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to exceed such Extending Lender’s Commitment,</w:t>
      </w:r>
    </w:p>
    <w:p>
      <w:pPr>
        <w:spacing w:after="0" w:line="2" w:lineRule="exact"/>
        <w:rPr>
          <w:rFonts w:ascii="Arial" w:cs="Arial" w:eastAsia="Arial" w:hAnsi="Arial"/>
          <w:sz w:val="16"/>
          <w:szCs w:val="16"/>
          <w:color w:val="auto"/>
        </w:rPr>
      </w:pPr>
    </w:p>
    <w:p>
      <w:pPr>
        <w:jc w:val="both"/>
        <w:ind w:left="760" w:firstLine="9"/>
        <w:spacing w:after="0" w:line="255" w:lineRule="auto"/>
        <w:tabs>
          <w:tab w:leader="none" w:pos="107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48</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93" w:name="page194"/>
    <w:bookmarkEnd w:id="193"/>
    <w:p>
      <w:pPr>
        <w:jc w:val="both"/>
        <w:ind w:firstLine="1529"/>
        <w:spacing w:after="0" w:line="287" w:lineRule="auto"/>
        <w:tabs>
          <w:tab w:leader="none" w:pos="1789"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Cash Collateral; Repayment of Swingline Loans</w:t>
      </w:r>
      <w:r>
        <w:rPr>
          <w:rFonts w:ascii="Arial" w:cs="Arial" w:eastAsia="Arial" w:hAnsi="Arial"/>
          <w:sz w:val="16"/>
          <w:szCs w:val="16"/>
          <w:color w:val="auto"/>
        </w:rPr>
        <w:t xml:space="preserve">. If any Loan related to the reduction or termination of a Non-Extending Lender’s Commitment prior to the Non-Extended Commitment Termination Date described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above or any reallocation described in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above cannot, or can only partially, be effected, the Borrower shall, not later than (i) with respect to any reduction or termination of a Non-Extending Lender’s Commitment pursuant to </w:t>
      </w:r>
      <w:r>
        <w:rPr>
          <w:rFonts w:ascii="Arial" w:cs="Arial" w:eastAsia="Arial" w:hAnsi="Arial"/>
          <w:sz w:val="16"/>
          <w:szCs w:val="16"/>
          <w:u w:val="single" w:color="auto"/>
          <w:color w:val="auto"/>
        </w:rPr>
        <w:t>Section 2.08(f)</w:t>
      </w:r>
      <w:r>
        <w:rPr>
          <w:rFonts w:ascii="Arial" w:cs="Arial" w:eastAsia="Arial" w:hAnsi="Arial"/>
          <w:sz w:val="16"/>
          <w:szCs w:val="16"/>
          <w:color w:val="auto"/>
        </w:rPr>
        <w:t xml:space="preserve">, the date of such Commitment reduction or termination or, (ii) with respect to any reallocation of participations in Letters of Credit and Swingline Loans on the Non-Extended Commitment Termination Date, the Non-Extended Commitment Termination Date, as the case may be, without prejudice to any right or remedy available to it hereunder or under law, (x) prepay Swingline Loans in an amount equal to the amount by which the participation obligations of the Non-Extending Lenders have not been reallocated to the Extending Lenders pursuant to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above, (y) provide Cash Collateral in an amount equal to the amount by which the participation obligations of the Non-Extending Lenders in Letters of Credit have not been reallocated pursuant to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above and (z) prepay any other Loans of a Non-Extending Lender in an amount equal to the amount by which the Revolving Credit Exposure of such Non-Extending Lender after giving effect to any prepayment described in </w:t>
      </w:r>
      <w:r>
        <w:rPr>
          <w:rFonts w:ascii="Arial" w:cs="Arial" w:eastAsia="Arial" w:hAnsi="Arial"/>
          <w:sz w:val="16"/>
          <w:szCs w:val="16"/>
          <w:u w:val="single" w:color="auto"/>
          <w:color w:val="auto"/>
        </w:rPr>
        <w:t>clause (a)(i)(z) above</w:t>
      </w:r>
      <w:r>
        <w:rPr>
          <w:rFonts w:ascii="Arial" w:cs="Arial" w:eastAsia="Arial" w:hAnsi="Arial"/>
          <w:sz w:val="16"/>
          <w:szCs w:val="16"/>
          <w:color w:val="auto"/>
        </w:rPr>
        <w:t xml:space="preserve"> exceeds such Non-Extending Lender’s Commitment after giving effect to any reduction in such Non-Extending Lender’s Commitment.</w:t>
      </w:r>
    </w:p>
    <w:p>
      <w:pPr>
        <w:spacing w:after="0" w:line="17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Assignment and Reallocation of Existing Commitments and Existing Loans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88" w:lineRule="auto"/>
        <w:tabs>
          <w:tab w:leader="none" w:pos="1777"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On the Fifth Amendment Effective Date, the Borrower shall (A) prepay the outstanding Loans and (B) simultaneously borrow new Loans in an amount equal to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 the prepayment to, and borrowing from, any Lender shall be effected by book entry to the extent that any portion of the amount prepaid to such Lender will be subsequently borrowed from such Lender and</w:t>
      </w:r>
    </w:p>
    <w:p>
      <w:pPr>
        <w:jc w:val="both"/>
        <w:ind w:firstLine="8"/>
        <w:spacing w:after="0" w:line="292" w:lineRule="auto"/>
        <w:tabs>
          <w:tab w:leader="none" w:pos="26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the Lenders shall make and receive payments among themselves, in a manner acceptable to the Administrative Agent, so that, after giving effect thereto, the Loans of each Class are held ratably by the Lenders of such Class in accordance with each Lender’s Applicable Percentage of Commitments and portion of loans, which, for the purposes of this Agreement and each other Loan Document, will be as set forth opposite such Person’s name on </w:t>
      </w:r>
      <w:r>
        <w:rPr>
          <w:rFonts w:ascii="Arial" w:cs="Arial" w:eastAsia="Arial" w:hAnsi="Arial"/>
          <w:sz w:val="16"/>
          <w:szCs w:val="16"/>
          <w:u w:val="single" w:color="auto"/>
          <w:color w:val="auto"/>
        </w:rPr>
        <w:t>Schedule 1.01(b)</w:t>
      </w:r>
      <w:r>
        <w:rPr>
          <w:rFonts w:ascii="Arial" w:cs="Arial" w:eastAsia="Arial" w:hAnsi="Arial"/>
          <w:sz w:val="16"/>
          <w:szCs w:val="16"/>
          <w:color w:val="auto"/>
        </w:rPr>
        <w:t>.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162" w:lineRule="exact"/>
        <w:rPr>
          <w:rFonts w:ascii="Arial" w:cs="Arial" w:eastAsia="Arial" w:hAnsi="Arial"/>
          <w:sz w:val="16"/>
          <w:szCs w:val="16"/>
          <w:color w:val="auto"/>
        </w:rPr>
      </w:pPr>
    </w:p>
    <w:p>
      <w:pPr>
        <w:jc w:val="both"/>
        <w:ind w:firstLine="1529"/>
        <w:spacing w:after="0" w:line="288" w:lineRule="auto"/>
        <w:tabs>
          <w:tab w:leader="none" w:pos="1783" w:val="left"/>
        </w:tabs>
        <w:numPr>
          <w:ilvl w:val="1"/>
          <w:numId w:val="195"/>
        </w:numPr>
        <w:rPr>
          <w:rFonts w:ascii="Arial" w:cs="Arial" w:eastAsia="Arial" w:hAnsi="Arial"/>
          <w:sz w:val="16"/>
          <w:szCs w:val="16"/>
          <w:color w:val="auto"/>
        </w:rPr>
      </w:pPr>
      <w:r>
        <w:rPr>
          <w:rFonts w:ascii="Arial" w:cs="Arial" w:eastAsia="Arial" w:hAnsi="Arial"/>
          <w:sz w:val="16"/>
          <w:szCs w:val="16"/>
          <w:color w:val="auto"/>
        </w:rPr>
        <w:t>Each of the Lenders hereby acknowledges and agrees that (i) no Lender nor the Administrative Agent has made any representations or warranties or assumed any responsibility with respect to (A) any statements, warranties or representations made in or in connection with this Agreement or the execution, legality, validity, enforceability, genuineness or sufficiency of this Agreement, the Existing Credit Agreement or any other Loan Document or</w:t>
      </w: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(B) the financial condition of any Obligor or the performance by any Obligor of its obligations hereunder or under any other Loan Document; (ii) it has received such information as it has deemed appropriate to make its own credit analysis and decision to enter into this Agreement; and (iii) it has made and continues to make its own credit decisions in taking or not taking action under this Agreement, independently and without reliance upon the Administrative Agent or any other Lender.</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225" w:lineRule="exact"/>
        <w:rPr>
          <w:sz w:val="20"/>
          <w:szCs w:val="20"/>
          <w:color w:val="auto"/>
        </w:rPr>
      </w:pPr>
    </w:p>
    <w:p>
      <w:pPr>
        <w:jc w:val="both"/>
        <w:ind w:firstLine="1521"/>
        <w:spacing w:after="0" w:line="27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71" w:lineRule="exact"/>
        <w:rPr>
          <w:sz w:val="20"/>
          <w:szCs w:val="20"/>
          <w:color w:val="auto"/>
        </w:rPr>
      </w:pPr>
    </w:p>
    <w:p>
      <w:pPr>
        <w:jc w:val="both"/>
        <w:ind w:firstLine="1521"/>
        <w:spacing w:after="0" w:line="273"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49</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94" w:name="page195"/>
    <w:bookmarkEnd w:id="194"/>
    <w:p>
      <w:pPr>
        <w:jc w:val="both"/>
        <w:ind w:firstLine="1521"/>
        <w:spacing w:after="0" w:line="286"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w:t>
      </w:r>
    </w:p>
    <w:p>
      <w:pPr>
        <w:spacing w:after="0" w:line="2" w:lineRule="exact"/>
        <w:rPr>
          <w:sz w:val="20"/>
          <w:szCs w:val="20"/>
          <w:color w:val="auto"/>
        </w:rPr>
      </w:pPr>
    </w:p>
    <w:p>
      <w:pPr>
        <w:jc w:val="both"/>
        <w:ind w:firstLine="8"/>
        <w:spacing w:after="0" w:line="302" w:lineRule="auto"/>
        <w:tabs>
          <w:tab w:leader="none" w:pos="254"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15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79" w:lineRule="auto"/>
        <w:tabs>
          <w:tab w:leader="none" w:pos="1766"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71" w:lineRule="exact"/>
        <w:rPr>
          <w:rFonts w:ascii="Arial" w:cs="Arial" w:eastAsia="Arial" w:hAnsi="Arial"/>
          <w:sz w:val="17"/>
          <w:szCs w:val="17"/>
          <w:color w:val="auto"/>
        </w:rPr>
      </w:pPr>
    </w:p>
    <w:p>
      <w:pPr>
        <w:jc w:val="both"/>
        <w:ind w:firstLine="1529"/>
        <w:spacing w:after="0" w:line="255" w:lineRule="auto"/>
        <w:tabs>
          <w:tab w:leader="none" w:pos="1789"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the date of the most recent Applicable Financial Statements, there has not been any event, development or circumstance (herein, a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that has had or could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93"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87" w:lineRule="exact"/>
        <w:rPr>
          <w:sz w:val="20"/>
          <w:szCs w:val="20"/>
          <w:color w:val="auto"/>
        </w:rPr>
      </w:pPr>
    </w:p>
    <w:p>
      <w:pPr>
        <w:jc w:val="both"/>
        <w:ind w:firstLine="1521"/>
        <w:spacing w:after="0" w:line="25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88"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Taxes</w:t>
      </w:r>
      <w:r>
        <w:rPr>
          <w:rFonts w:ascii="Arial" w:cs="Arial" w:eastAsia="Arial" w:hAnsi="Arial"/>
          <w:sz w:val="18"/>
          <w:szCs w:val="18"/>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87" w:lineRule="exact"/>
        <w:rPr>
          <w:sz w:val="20"/>
          <w:szCs w:val="20"/>
          <w:color w:val="auto"/>
        </w:rPr>
      </w:pPr>
    </w:p>
    <w:p>
      <w:pPr>
        <w:jc w:val="both"/>
        <w:ind w:firstLine="1521"/>
        <w:spacing w:after="0" w:line="308"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47" w:lineRule="exact"/>
        <w:rPr>
          <w:sz w:val="20"/>
          <w:szCs w:val="20"/>
          <w:color w:val="auto"/>
        </w:rPr>
      </w:pPr>
    </w:p>
    <w:p>
      <w:pPr>
        <w:jc w:val="both"/>
        <w:ind w:firstLine="1521"/>
        <w:spacing w:after="0" w:line="289"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As of the date hereof,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date hereof,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Borrower represents only that such information was prepared in good faith based upon assumptions believed to be reasonable at the time.</w:t>
      </w:r>
    </w:p>
    <w:p>
      <w:pPr>
        <w:spacing w:after="0" w:line="200" w:lineRule="exact"/>
        <w:rPr>
          <w:sz w:val="20"/>
          <w:szCs w:val="20"/>
          <w:color w:val="auto"/>
        </w:rPr>
      </w:pPr>
    </w:p>
    <w:p>
      <w:pPr>
        <w:spacing w:after="0" w:line="399"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50</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5" w:name="page196"/>
    <w:bookmarkEnd w:id="195"/>
    <w:p>
      <w:pPr>
        <w:ind w:left="152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Investment Company Act; Margin Regulations</w:t>
      </w:r>
      <w:r>
        <w:rPr>
          <w:rFonts w:ascii="Arial" w:cs="Arial" w:eastAsia="Arial" w:hAnsi="Arial"/>
          <w:sz w:val="18"/>
          <w:szCs w:val="18"/>
          <w:color w:val="auto"/>
        </w:rPr>
        <w:t>.</w:t>
      </w:r>
    </w:p>
    <w:p>
      <w:pPr>
        <w:spacing w:after="0" w:line="225" w:lineRule="exact"/>
        <w:rPr>
          <w:sz w:val="20"/>
          <w:szCs w:val="20"/>
          <w:color w:val="auto"/>
        </w:rPr>
      </w:pPr>
    </w:p>
    <w:p>
      <w:pPr>
        <w:ind w:right="20" w:firstLine="1529"/>
        <w:spacing w:after="0" w:line="277" w:lineRule="auto"/>
        <w:tabs>
          <w:tab w:leader="none" w:pos="176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Status as Business Development Company</w:t>
      </w:r>
      <w:r>
        <w:rPr>
          <w:rFonts w:ascii="Arial" w:cs="Arial" w:eastAsia="Arial" w:hAnsi="Arial"/>
          <w:sz w:val="18"/>
          <w:szCs w:val="18"/>
          <w:color w:val="auto"/>
        </w:rPr>
        <w:t>. The Borrower has elected to be regulated as a “business development company” within the meaning of the Investment Company Act and qualifies as a RIC.</w:t>
      </w:r>
    </w:p>
    <w:p>
      <w:pPr>
        <w:spacing w:after="0" w:line="170" w:lineRule="exact"/>
        <w:rPr>
          <w:rFonts w:ascii="Arial" w:cs="Arial" w:eastAsia="Arial" w:hAnsi="Arial"/>
          <w:sz w:val="18"/>
          <w:szCs w:val="18"/>
          <w:color w:val="auto"/>
        </w:rPr>
      </w:pPr>
    </w:p>
    <w:p>
      <w:pPr>
        <w:jc w:val="both"/>
        <w:ind w:firstLine="1529"/>
        <w:spacing w:after="0" w:line="257" w:lineRule="auto"/>
        <w:tabs>
          <w:tab w:leader="none" w:pos="1789"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Compliance with Investment Company Act</w:t>
      </w:r>
      <w:r>
        <w:rPr>
          <w:rFonts w:ascii="Arial" w:cs="Arial" w:eastAsia="Arial" w:hAnsi="Arial"/>
          <w:sz w:val="18"/>
          <w:szCs w:val="18"/>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88" w:lineRule="exact"/>
        <w:rPr>
          <w:rFonts w:ascii="Arial" w:cs="Arial" w:eastAsia="Arial" w:hAnsi="Arial"/>
          <w:sz w:val="18"/>
          <w:szCs w:val="18"/>
          <w:color w:val="auto"/>
        </w:rPr>
      </w:pPr>
    </w:p>
    <w:p>
      <w:pPr>
        <w:ind w:firstLine="1529"/>
        <w:spacing w:after="0" w:line="308" w:lineRule="auto"/>
        <w:tabs>
          <w:tab w:leader="none" w:pos="1766"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Investment Policies</w:t>
      </w:r>
      <w:r>
        <w:rPr>
          <w:rFonts w:ascii="Arial" w:cs="Arial" w:eastAsia="Arial" w:hAnsi="Arial"/>
          <w:sz w:val="17"/>
          <w:szCs w:val="17"/>
          <w:color w:val="auto"/>
        </w:rPr>
        <w:t>. The Borrower is in compliance in all respects with the Investment Policies (after giving effect to any Permitted Policy Amendments), except to the extent that the failure to so comply could not reasonably be expected to have a Material Adverse Effect.</w:t>
      </w:r>
    </w:p>
    <w:p>
      <w:pPr>
        <w:spacing w:after="0" w:line="146" w:lineRule="exact"/>
        <w:rPr>
          <w:rFonts w:ascii="Arial" w:cs="Arial" w:eastAsia="Arial" w:hAnsi="Arial"/>
          <w:sz w:val="17"/>
          <w:szCs w:val="17"/>
          <w:color w:val="auto"/>
        </w:rPr>
      </w:pPr>
    </w:p>
    <w:p>
      <w:pPr>
        <w:jc w:val="both"/>
        <w:ind w:firstLine="1529"/>
        <w:spacing w:after="0" w:line="264" w:lineRule="auto"/>
        <w:tabs>
          <w:tab w:leader="none" w:pos="1789"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Use of Credit</w:t>
      </w:r>
      <w:r>
        <w:rPr>
          <w:rFonts w:ascii="Arial" w:cs="Arial" w:eastAsia="Arial" w:hAnsi="Arial"/>
          <w:sz w:val="18"/>
          <w:szCs w:val="18"/>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Material Agreements and Liens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57" w:lineRule="auto"/>
        <w:tabs>
          <w:tab w:leader="none" w:pos="1793"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Material Agreements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is a complete and correct list, as of the Original Effective Date,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as of the Original Effective Date, and the aggregate principal or face amount outstanding or that is, or may become, outstanding under each such arrangement is correctly described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1529"/>
        <w:spacing w:after="0" w:line="259" w:lineRule="auto"/>
        <w:tabs>
          <w:tab w:leader="none" w:pos="177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w:t>
      </w:r>
    </w:p>
    <w:p>
      <w:pPr>
        <w:spacing w:after="0" w:line="1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Subsidiaries and Investments</w:t>
      </w:r>
      <w:r>
        <w:rPr>
          <w:rFonts w:ascii="Arial" w:cs="Arial" w:eastAsia="Arial" w:hAnsi="Arial"/>
          <w:sz w:val="18"/>
          <w:szCs w:val="18"/>
          <w:color w:val="auto"/>
        </w:rPr>
        <w:t>.</w:t>
      </w:r>
    </w:p>
    <w:p>
      <w:pPr>
        <w:spacing w:after="0" w:line="225" w:lineRule="exact"/>
        <w:rPr>
          <w:sz w:val="20"/>
          <w:szCs w:val="20"/>
          <w:color w:val="auto"/>
        </w:rPr>
      </w:pPr>
    </w:p>
    <w:p>
      <w:pPr>
        <w:ind w:left="1780" w:hanging="251"/>
        <w:spacing w:after="0"/>
        <w:tabs>
          <w:tab w:leader="none" w:pos="178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3.12(a)</w:t>
      </w:r>
      <w:r>
        <w:rPr>
          <w:rFonts w:ascii="Arial" w:cs="Arial" w:eastAsia="Arial" w:hAnsi="Arial"/>
          <w:sz w:val="18"/>
          <w:szCs w:val="18"/>
          <w:color w:val="auto"/>
        </w:rPr>
        <w:t xml:space="preserve"> is a list of the Borrower’s Subsidiaries as of the Original Effective Date.</w:t>
      </w:r>
    </w:p>
    <w:p>
      <w:pPr>
        <w:spacing w:after="0" w:line="225" w:lineRule="exact"/>
        <w:rPr>
          <w:rFonts w:ascii="Arial" w:cs="Arial" w:eastAsia="Arial" w:hAnsi="Arial"/>
          <w:sz w:val="18"/>
          <w:szCs w:val="18"/>
          <w:color w:val="auto"/>
        </w:rPr>
      </w:pPr>
    </w:p>
    <w:p>
      <w:pPr>
        <w:jc w:val="both"/>
        <w:ind w:firstLine="1529"/>
        <w:spacing w:after="0" w:line="276" w:lineRule="auto"/>
        <w:tabs>
          <w:tab w:leader="none" w:pos="1776"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Set forth on </w:t>
      </w:r>
      <w:r>
        <w:rPr>
          <w:rFonts w:ascii="Arial" w:cs="Arial" w:eastAsia="Arial" w:hAnsi="Arial"/>
          <w:sz w:val="17"/>
          <w:szCs w:val="17"/>
          <w:u w:val="single" w:color="auto"/>
          <w:color w:val="auto"/>
        </w:rPr>
        <w:t>Schedule 3.12(b)</w:t>
      </w:r>
      <w:r>
        <w:rPr>
          <w:rFonts w:ascii="Arial" w:cs="Arial" w:eastAsia="Arial" w:hAnsi="Arial"/>
          <w:sz w:val="17"/>
          <w:szCs w:val="17"/>
          <w:color w:val="auto"/>
        </w:rPr>
        <w:t xml:space="preserve"> is a complete and correct list, as of the Original Effective Date, of all Investments (other than Investments of the types referred to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held by the Borrower or any of the Subsidiary Guarantors in any Person on the Original Effective Date and, for each such Investment, (x) the identity of the Person or Persons holding such Investment and (y) the nature of such Investment. Except as disclosed in </w:t>
      </w:r>
      <w:r>
        <w:rPr>
          <w:rFonts w:ascii="Arial" w:cs="Arial" w:eastAsia="Arial" w:hAnsi="Arial"/>
          <w:sz w:val="17"/>
          <w:szCs w:val="17"/>
          <w:u w:val="single" w:color="auto"/>
          <w:color w:val="auto"/>
        </w:rPr>
        <w:t>Schedule 3.12</w:t>
      </w:r>
      <w:r>
        <w:rPr>
          <w:rFonts w:ascii="Arial" w:cs="Arial" w:eastAsia="Arial" w:hAnsi="Arial"/>
          <w:sz w:val="17"/>
          <w:szCs w:val="17"/>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17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64" w:lineRule="auto"/>
        <w:tabs>
          <w:tab w:leader="none" w:pos="176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Title Generally</w:t>
      </w:r>
      <w:r>
        <w:rPr>
          <w:rFonts w:ascii="Arial" w:cs="Arial" w:eastAsia="Arial" w:hAnsi="Arial"/>
          <w:sz w:val="18"/>
          <w:szCs w:val="18"/>
          <w:color w:val="auto"/>
        </w:rPr>
        <w:t>. Each of the Borrower and the Subsidiary Guarantors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81" w:lineRule="exact"/>
        <w:rPr>
          <w:rFonts w:ascii="Arial" w:cs="Arial" w:eastAsia="Arial" w:hAnsi="Arial"/>
          <w:sz w:val="18"/>
          <w:szCs w:val="18"/>
          <w:color w:val="auto"/>
        </w:rPr>
      </w:pPr>
    </w:p>
    <w:p>
      <w:pPr>
        <w:jc w:val="both"/>
        <w:ind w:firstLine="1529"/>
        <w:spacing w:after="0" w:line="259" w:lineRule="auto"/>
        <w:tabs>
          <w:tab w:leader="none" w:pos="177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51</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96" w:name="page197"/>
    <w:bookmarkEnd w:id="196"/>
    <w:p>
      <w:pPr>
        <w:jc w:val="both"/>
        <w:ind w:firstLine="1521"/>
        <w:spacing w:after="0" w:line="286"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Affiliate Agreements</w:t>
      </w:r>
      <w:r>
        <w:rPr>
          <w:rFonts w:ascii="Arial" w:cs="Arial" w:eastAsia="Arial" w:hAnsi="Arial"/>
          <w:sz w:val="17"/>
          <w:szCs w:val="17"/>
          <w:color w:val="auto"/>
        </w:rPr>
        <w:t>. As of the Original Effective Date, the Borrower has heretofore delivered to the Administrative Agent true and complete copies of each of the Affiliate Agreements (including and schedules and exhibits thereto, and any amendments, supplements or waivers executed and delivered thereunder). As of the Original Effective Date, each of the Affiliate Agreements was in full force and effect.</w:t>
      </w:r>
    </w:p>
    <w:p>
      <w:pPr>
        <w:spacing w:after="0" w:line="16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Sanctions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90" w:lineRule="auto"/>
        <w:tabs>
          <w:tab w:leader="none" w:pos="177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None of the Borrower or any of its Subsidiaries nor, to the knowledge of the Borrower, any of their respective directors, officers or authorized signors, (a) is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(b) engages in any dealings or transactions prohibited by Section 2 of such executive order, or is otherwise associated with any such person in any manner violative of Section 2 of such executive order, (c) is a person on the list of Specially Designated Nationals and Blocked Persons or subject to, or the subject of, the limitations or prohibitions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under (A) any other U.S. Department of Treasury’s Office of Foreign Assets Control or U.S. Department of State regulation or executive order or (B) any international economic sanction administered or enforced by the United Nations Security Counsel, Her Majesty’s Treasury or the European Union or (d) is located, organized or resident in a Sanctioned Country.</w:t>
      </w:r>
    </w:p>
    <w:p>
      <w:pPr>
        <w:spacing w:after="0" w:line="166" w:lineRule="exact"/>
        <w:rPr>
          <w:rFonts w:ascii="Arial" w:cs="Arial" w:eastAsia="Arial" w:hAnsi="Arial"/>
          <w:sz w:val="16"/>
          <w:szCs w:val="16"/>
          <w:color w:val="auto"/>
        </w:rPr>
      </w:pPr>
    </w:p>
    <w:p>
      <w:pPr>
        <w:jc w:val="both"/>
        <w:ind w:firstLine="1529"/>
        <w:spacing w:after="0" w:line="264" w:lineRule="auto"/>
        <w:tabs>
          <w:tab w:leader="none" w:pos="179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81" w:lineRule="exact"/>
        <w:rPr>
          <w:sz w:val="20"/>
          <w:szCs w:val="20"/>
          <w:color w:val="auto"/>
        </w:rPr>
      </w:pPr>
    </w:p>
    <w:p>
      <w:pPr>
        <w:jc w:val="both"/>
        <w:ind w:firstLine="1521"/>
        <w:spacing w:after="0" w:line="270"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Patriot Act</w:t>
      </w:r>
      <w:r>
        <w:rPr>
          <w:rFonts w:ascii="Arial" w:cs="Arial" w:eastAsia="Arial" w:hAnsi="Arial"/>
          <w:sz w:val="17"/>
          <w:szCs w:val="17"/>
          <w:color w:val="auto"/>
        </w:rPr>
        <w:t>. Each of the Borrower and its Subsidiaries is in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will be used, directly or indirectly, for any payments to (i)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regulation implementing the OECD Convention on Combating Bribery of Foreign Public Officials in International Business Transactions (collectively, the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or (ii) for the purpose of financing the activities in or with any Sanctioned Country, or of any Person, at the time of such financing (A) subject to, or the subject of, any Sanctions or (B) organized or resident in a Sanctioned Country, in each case as would result in a violation of Sanctions.</w:t>
      </w:r>
    </w:p>
    <w:p>
      <w:pPr>
        <w:spacing w:after="0" w:line="178"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Neither the Borrower nor any Subsidiary is an EEA Financial Institution.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81" w:lineRule="exact"/>
        <w:rPr>
          <w:sz w:val="20"/>
          <w:szCs w:val="20"/>
          <w:color w:val="auto"/>
        </w:rPr>
      </w:pPr>
    </w:p>
    <w:p>
      <w:pPr>
        <w:ind w:firstLine="1529"/>
        <w:spacing w:after="0" w:line="277" w:lineRule="auto"/>
        <w:tabs>
          <w:tab w:leader="none" w:pos="1779"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Administrative Agent shall have received each of the following documents, each of which shall be satisfactory to the Administrative Agent (and to the extent specified below to each Lender) in form and substance:</w:t>
      </w:r>
    </w:p>
    <w:p>
      <w:pPr>
        <w:spacing w:after="0" w:line="170" w:lineRule="exact"/>
        <w:rPr>
          <w:rFonts w:ascii="Arial" w:cs="Arial" w:eastAsia="Arial" w:hAnsi="Arial"/>
          <w:sz w:val="18"/>
          <w:szCs w:val="18"/>
          <w:color w:val="auto"/>
        </w:rPr>
      </w:pPr>
    </w:p>
    <w:p>
      <w:pPr>
        <w:jc w:val="both"/>
        <w:ind w:left="760" w:firstLine="719"/>
        <w:spacing w:after="0" w:line="264" w:lineRule="auto"/>
        <w:tabs>
          <w:tab w:leader="none" w:pos="1685"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Executed Counterparts</w:t>
      </w:r>
      <w:r>
        <w:rPr>
          <w:rFonts w:ascii="Arial" w:cs="Arial" w:eastAsia="Arial" w:hAnsi="Arial"/>
          <w:sz w:val="18"/>
          <w:szCs w:val="18"/>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7" w:name="page198"/>
    <w:bookmarkEnd w:id="197"/>
    <w:p>
      <w:pPr>
        <w:jc w:val="both"/>
        <w:ind w:left="760" w:firstLine="719"/>
        <w:spacing w:after="0" w:line="257" w:lineRule="auto"/>
        <w:tabs>
          <w:tab w:leader="none" w:pos="1735"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Opinion of Counsel to the Borrower</w:t>
      </w:r>
      <w:r>
        <w:rPr>
          <w:rFonts w:ascii="Arial" w:cs="Arial" w:eastAsia="Arial" w:hAnsi="Arial"/>
          <w:sz w:val="18"/>
          <w:szCs w:val="18"/>
          <w:color w:val="auto"/>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188" w:lineRule="exact"/>
        <w:rPr>
          <w:rFonts w:ascii="Arial" w:cs="Arial" w:eastAsia="Arial" w:hAnsi="Arial"/>
          <w:sz w:val="18"/>
          <w:szCs w:val="18"/>
          <w:color w:val="auto"/>
        </w:rPr>
      </w:pPr>
    </w:p>
    <w:p>
      <w:pPr>
        <w:jc w:val="both"/>
        <w:ind w:left="760" w:firstLine="719"/>
        <w:spacing w:after="0" w:line="312" w:lineRule="auto"/>
        <w:tabs>
          <w:tab w:leader="none" w:pos="1785"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Corporate Documents</w:t>
      </w:r>
      <w:r>
        <w:rPr>
          <w:rFonts w:ascii="Arial" w:cs="Arial" w:eastAsia="Arial" w:hAnsi="Arial"/>
          <w:sz w:val="16"/>
          <w:szCs w:val="16"/>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46" w:lineRule="exact"/>
        <w:rPr>
          <w:rFonts w:ascii="Arial" w:cs="Arial" w:eastAsia="Arial" w:hAnsi="Arial"/>
          <w:sz w:val="16"/>
          <w:szCs w:val="16"/>
          <w:color w:val="auto"/>
        </w:rPr>
      </w:pPr>
    </w:p>
    <w:p>
      <w:pPr>
        <w:ind w:left="760" w:right="120" w:firstLine="719"/>
        <w:spacing w:after="0" w:line="264" w:lineRule="auto"/>
        <w:tabs>
          <w:tab w:leader="none" w:pos="1775"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181" w:lineRule="exact"/>
        <w:rPr>
          <w:sz w:val="20"/>
          <w:szCs w:val="20"/>
          <w:color w:val="auto"/>
        </w:rPr>
      </w:pPr>
    </w:p>
    <w:p>
      <w:pPr>
        <w:jc w:val="both"/>
        <w:ind w:firstLine="1529"/>
        <w:spacing w:after="0" w:line="264" w:lineRule="auto"/>
        <w:tabs>
          <w:tab w:leader="none" w:pos="1776"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spacing w:after="0" w:line="181" w:lineRule="exact"/>
        <w:rPr>
          <w:sz w:val="20"/>
          <w:szCs w:val="20"/>
          <w:color w:val="auto"/>
        </w:rPr>
      </w:pPr>
    </w:p>
    <w:p>
      <w:pPr>
        <w:ind w:firstLine="1521"/>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any Loan, and of each Issuing Bank to issue, amend, renew or extend any Letter of Credit, is additionally subject to the satisfaction of the following conditions:</w:t>
      </w:r>
    </w:p>
    <w:p>
      <w:pPr>
        <w:spacing w:after="0" w:line="170" w:lineRule="exact"/>
        <w:rPr>
          <w:sz w:val="20"/>
          <w:szCs w:val="20"/>
          <w:color w:val="auto"/>
        </w:rPr>
      </w:pPr>
    </w:p>
    <w:p>
      <w:pPr>
        <w:jc w:val="both"/>
        <w:ind w:firstLine="1529"/>
        <w:spacing w:after="0" w:line="259" w:lineRule="auto"/>
        <w:tabs>
          <w:tab w:leader="none" w:pos="178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86" w:lineRule="exact"/>
        <w:rPr>
          <w:rFonts w:ascii="Arial" w:cs="Arial" w:eastAsia="Arial" w:hAnsi="Arial"/>
          <w:sz w:val="18"/>
          <w:szCs w:val="18"/>
          <w:color w:val="auto"/>
        </w:rPr>
      </w:pPr>
    </w:p>
    <w:p>
      <w:pPr>
        <w:ind w:firstLine="1529"/>
        <w:spacing w:after="0" w:line="277" w:lineRule="auto"/>
        <w:tabs>
          <w:tab w:leader="none" w:pos="17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Loan or the issuance, amendment, renewal or extension of such Letter of Credit, as applicable, no Default shall have occurred and be continuing; and</w:t>
      </w:r>
    </w:p>
    <w:p>
      <w:pPr>
        <w:spacing w:after="0" w:line="170" w:lineRule="exact"/>
        <w:rPr>
          <w:rFonts w:ascii="Arial" w:cs="Arial" w:eastAsia="Arial" w:hAnsi="Arial"/>
          <w:sz w:val="18"/>
          <w:szCs w:val="18"/>
          <w:color w:val="auto"/>
        </w:rPr>
      </w:pPr>
    </w:p>
    <w:p>
      <w:pPr>
        <w:jc w:val="both"/>
        <w:ind w:firstLine="1529"/>
        <w:spacing w:after="0" w:line="276" w:lineRule="auto"/>
        <w:tabs>
          <w:tab w:leader="none" w:pos="1777"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spacing w:after="0" w:line="173"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Borrower on the date thereof as to the matters specified in the preceding sentence.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 The Borrower will furnish to the Administrative Agent and each Lender:</w:t>
      </w:r>
    </w:p>
    <w:p>
      <w:pPr>
        <w:spacing w:after="0" w:line="248" w:lineRule="exact"/>
        <w:rPr>
          <w:sz w:val="20"/>
          <w:szCs w:val="20"/>
          <w:color w:val="auto"/>
        </w:rPr>
      </w:pPr>
    </w:p>
    <w:p>
      <w:pPr>
        <w:jc w:val="both"/>
        <w:ind w:firstLine="1529"/>
        <w:spacing w:after="0" w:line="293" w:lineRule="auto"/>
        <w:tabs>
          <w:tab w:leader="none" w:pos="1773"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within 90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set forth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may be fulfilled by providing to the Administrative Agent and the Lenders the report of the Borrower to the SEC on Form 10-K for the applicable fiscal year;</w:t>
      </w:r>
    </w:p>
    <w:p>
      <w:pPr>
        <w:spacing w:after="0" w:line="200" w:lineRule="exact"/>
        <w:rPr>
          <w:sz w:val="20"/>
          <w:szCs w:val="20"/>
          <w:color w:val="auto"/>
        </w:rPr>
      </w:pPr>
    </w:p>
    <w:p>
      <w:pPr>
        <w:spacing w:after="0" w:line="397"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53</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8" w:name="page199"/>
    <w:bookmarkEnd w:id="198"/>
    <w:p>
      <w:pPr>
        <w:jc w:val="both"/>
        <w:ind w:firstLine="1529"/>
        <w:spacing w:after="0" w:line="254" w:lineRule="auto"/>
        <w:tabs>
          <w:tab w:leader="none" w:pos="179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 xml:space="preserve">within 45 days after the end of each of the first three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set forth in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may be fulfilled by providing to the Lenders the report of the Borrower to the SEC on Form 10-Q for the applicable quarterly period;</w:t>
      </w:r>
    </w:p>
    <w:p>
      <w:pPr>
        <w:spacing w:after="0" w:line="192" w:lineRule="exact"/>
        <w:rPr>
          <w:rFonts w:ascii="Arial" w:cs="Arial" w:eastAsia="Arial" w:hAnsi="Arial"/>
          <w:sz w:val="18"/>
          <w:szCs w:val="18"/>
          <w:color w:val="auto"/>
        </w:rPr>
      </w:pPr>
    </w:p>
    <w:p>
      <w:pPr>
        <w:jc w:val="both"/>
        <w:ind w:firstLine="1529"/>
        <w:spacing w:after="0" w:line="291" w:lineRule="auto"/>
        <w:tabs>
          <w:tab w:leader="none" w:pos="1767"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concurrently with any delivery of financial statements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a certificate of a Financial Officer of the Borrower (i) certifying that such statements are consistent with the financial statements filed by the Borrower with the Securities and Exchange Commission,</w:t>
      </w:r>
    </w:p>
    <w:p>
      <w:pPr>
        <w:jc w:val="both"/>
        <w:ind w:firstLine="8"/>
        <w:spacing w:after="0" w:line="253" w:lineRule="auto"/>
        <w:tabs>
          <w:tab w:leader="none" w:pos="27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6.07</w:t>
      </w:r>
      <w:r>
        <w:rPr>
          <w:rFonts w:ascii="Arial" w:cs="Arial" w:eastAsia="Arial" w:hAnsi="Arial"/>
          <w:sz w:val="18"/>
          <w:szCs w:val="18"/>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91" w:lineRule="exact"/>
        <w:rPr>
          <w:rFonts w:ascii="Arial" w:cs="Arial" w:eastAsia="Arial" w:hAnsi="Arial"/>
          <w:sz w:val="18"/>
          <w:szCs w:val="18"/>
          <w:color w:val="auto"/>
        </w:rPr>
      </w:pPr>
    </w:p>
    <w:p>
      <w:pPr>
        <w:jc w:val="both"/>
        <w:ind w:firstLine="1529"/>
        <w:spacing w:after="0" w:line="286" w:lineRule="auto"/>
        <w:tabs>
          <w:tab w:leader="none" w:pos="1776" w:val="left"/>
        </w:tabs>
        <w:numPr>
          <w:ilvl w:val="1"/>
          <w:numId w:val="210"/>
        </w:numPr>
        <w:rPr>
          <w:rFonts w:ascii="Arial" w:cs="Arial" w:eastAsia="Arial" w:hAnsi="Arial"/>
          <w:sz w:val="17"/>
          <w:szCs w:val="17"/>
          <w:color w:val="auto"/>
        </w:rPr>
      </w:pPr>
      <w:r>
        <w:rPr>
          <w:rFonts w:ascii="Arial" w:cs="Arial" w:eastAsia="Arial" w:hAnsi="Arial"/>
          <w:sz w:val="17"/>
          <w:szCs w:val="17"/>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w:t>
      </w:r>
    </w:p>
    <w:p>
      <w:pPr>
        <w:spacing w:after="0" w:line="165" w:lineRule="exact"/>
        <w:rPr>
          <w:rFonts w:ascii="Arial" w:cs="Arial" w:eastAsia="Arial" w:hAnsi="Arial"/>
          <w:sz w:val="17"/>
          <w:szCs w:val="17"/>
          <w:color w:val="auto"/>
        </w:rPr>
      </w:pPr>
    </w:p>
    <w:p>
      <w:pPr>
        <w:jc w:val="both"/>
        <w:ind w:firstLine="1529"/>
        <w:spacing w:after="0" w:line="279" w:lineRule="auto"/>
        <w:tabs>
          <w:tab w:leader="none" w:pos="1778" w:val="left"/>
        </w:tabs>
        <w:numPr>
          <w:ilvl w:val="1"/>
          <w:numId w:val="210"/>
        </w:numPr>
        <w:rPr>
          <w:rFonts w:ascii="Arial" w:cs="Arial" w:eastAsia="Arial" w:hAnsi="Arial"/>
          <w:sz w:val="17"/>
          <w:szCs w:val="17"/>
          <w:color w:val="auto"/>
        </w:rPr>
      </w:pPr>
      <w:r>
        <w:rPr>
          <w:rFonts w:ascii="Arial" w:cs="Arial" w:eastAsia="Arial" w:hAnsi="Arial"/>
          <w:sz w:val="17"/>
          <w:szCs w:val="17"/>
          <w:color w:val="auto"/>
        </w:rPr>
        <w:t>promptly but no later than five Business Days after the Borrower shall at any time have knowledge that there is a Borrowing Base Deficiency, a Borrowing Base Certificate as at the date the Borrower has knowledge of such Borrowing Base Deficiency indicating the amount of the Borrowing Base Deficiency as at the date the Borrower obtained knowledge of such deficiency and the amount of the Borrowing Base Deficiency as of the date not earlier than one Business Day prior to the date the Borrowing Base Certificate is delivered pursuant to this paragraph;</w:t>
      </w:r>
    </w:p>
    <w:p>
      <w:pPr>
        <w:spacing w:after="0" w:line="171" w:lineRule="exact"/>
        <w:rPr>
          <w:rFonts w:ascii="Arial" w:cs="Arial" w:eastAsia="Arial" w:hAnsi="Arial"/>
          <w:sz w:val="17"/>
          <w:szCs w:val="17"/>
          <w:color w:val="auto"/>
        </w:rPr>
      </w:pPr>
    </w:p>
    <w:p>
      <w:pPr>
        <w:jc w:val="both"/>
        <w:ind w:firstLine="1529"/>
        <w:spacing w:after="0" w:line="264" w:lineRule="auto"/>
        <w:tabs>
          <w:tab w:leader="none" w:pos="1782" w:val="left"/>
        </w:tabs>
        <w:numPr>
          <w:ilvl w:val="1"/>
          <w:numId w:val="210"/>
        </w:numPr>
        <w:rPr>
          <w:rFonts w:ascii="Arial" w:cs="Arial" w:eastAsia="Arial" w:hAnsi="Arial"/>
          <w:sz w:val="18"/>
          <w:szCs w:val="18"/>
          <w:color w:val="auto"/>
        </w:rPr>
      </w:pPr>
      <w:r>
        <w:rPr>
          <w:rFonts w:ascii="Arial" w:cs="Arial" w:eastAsia="Arial" w:hAnsi="Arial"/>
          <w:sz w:val="18"/>
          <w:szCs w:val="18"/>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81" w:lineRule="exact"/>
        <w:rPr>
          <w:rFonts w:ascii="Arial" w:cs="Arial" w:eastAsia="Arial" w:hAnsi="Arial"/>
          <w:sz w:val="18"/>
          <w:szCs w:val="18"/>
          <w:color w:val="auto"/>
        </w:rPr>
      </w:pPr>
    </w:p>
    <w:p>
      <w:pPr>
        <w:jc w:val="both"/>
        <w:ind w:firstLine="1529"/>
        <w:spacing w:after="0" w:line="264" w:lineRule="auto"/>
        <w:tabs>
          <w:tab w:leader="none" w:pos="177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81" w:lineRule="exact"/>
        <w:rPr>
          <w:rFonts w:ascii="Arial" w:cs="Arial" w:eastAsia="Arial" w:hAnsi="Arial"/>
          <w:sz w:val="18"/>
          <w:szCs w:val="18"/>
          <w:color w:val="auto"/>
        </w:rPr>
      </w:pPr>
    </w:p>
    <w:p>
      <w:pPr>
        <w:jc w:val="both"/>
        <w:ind w:firstLine="1529"/>
        <w:spacing w:after="0" w:line="264" w:lineRule="auto"/>
        <w:tabs>
          <w:tab w:leader="none" w:pos="1783" w:val="left"/>
        </w:tabs>
        <w:numPr>
          <w:ilvl w:val="1"/>
          <w:numId w:val="210"/>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81" w:lineRule="exact"/>
        <w:rPr>
          <w:rFonts w:ascii="Arial" w:cs="Arial" w:eastAsia="Arial" w:hAnsi="Arial"/>
          <w:sz w:val="18"/>
          <w:szCs w:val="18"/>
          <w:color w:val="auto"/>
        </w:rPr>
      </w:pPr>
    </w:p>
    <w:p>
      <w:pPr>
        <w:jc w:val="both"/>
        <w:ind w:firstLine="1529"/>
        <w:spacing w:after="0" w:line="271" w:lineRule="auto"/>
        <w:tabs>
          <w:tab w:leader="none" w:pos="1736" w:val="left"/>
        </w:tabs>
        <w:numPr>
          <w:ilvl w:val="1"/>
          <w:numId w:val="210"/>
        </w:numPr>
        <w:rPr>
          <w:rFonts w:ascii="Arial" w:cs="Arial" w:eastAsia="Arial" w:hAnsi="Arial"/>
          <w:sz w:val="17"/>
          <w:szCs w:val="17"/>
          <w:color w:val="auto"/>
        </w:rPr>
      </w:pPr>
      <w:r>
        <w:rPr>
          <w:rFonts w:ascii="Arial" w:cs="Arial" w:eastAsia="Arial" w:hAnsi="Arial"/>
          <w:sz w:val="17"/>
          <w:szCs w:val="17"/>
          <w:color w:val="auto"/>
        </w:rPr>
        <w:t xml:space="preserve">Borrower and each Lender acknowledge that certain of the Lenders may be Public Lenders and, if documents or notices required to be delivered pursuant to this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or otherwise are being distributed through IntraLinks/IntraAgency, SyndTrak or another relevant website or other information platform (the “</w:t>
      </w:r>
      <w:r>
        <w:rPr>
          <w:rFonts w:ascii="Arial" w:cs="Arial" w:eastAsia="Arial" w:hAnsi="Arial"/>
          <w:sz w:val="17"/>
          <w:szCs w:val="17"/>
          <w:u w:val="single" w:color="auto"/>
          <w:color w:val="auto"/>
        </w:rPr>
        <w:t>Platform</w:t>
      </w:r>
      <w:r>
        <w:rPr>
          <w:rFonts w:ascii="Arial" w:cs="Arial" w:eastAsia="Arial" w:hAnsi="Arial"/>
          <w:sz w:val="17"/>
          <w:szCs w:val="17"/>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54</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99" w:name="page200"/>
    <w:bookmarkEnd w:id="199"/>
    <w:p>
      <w:pPr>
        <w:jc w:val="both"/>
        <w:ind w:firstLine="1529"/>
        <w:spacing w:after="0" w:line="286" w:lineRule="auto"/>
        <w:tabs>
          <w:tab w:leader="none" w:pos="1746"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the requirements to deliver documents set forth in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will be fulfilled by filing by the Borrower of the applicable documents for public availability on the SEC’s Electronic Data Gathering and Retrieval system; </w:t>
      </w:r>
      <w:r>
        <w:rPr>
          <w:rFonts w:ascii="Arial" w:cs="Arial" w:eastAsia="Arial" w:hAnsi="Arial"/>
          <w:sz w:val="17"/>
          <w:szCs w:val="17"/>
          <w:u w:val="single" w:color="auto"/>
          <w:color w:val="auto"/>
        </w:rPr>
        <w:t>provided</w:t>
      </w:r>
      <w:r>
        <w:rPr>
          <w:rFonts w:ascii="Arial" w:cs="Arial" w:eastAsia="Arial" w:hAnsi="Arial"/>
          <w:sz w:val="17"/>
          <w:szCs w:val="17"/>
          <w:color w:val="auto"/>
        </w:rPr>
        <w:t>, that the Borrower shall notify the Administrative Agent (by telecopier or electronic mail) of the posting of any such documents.</w:t>
      </w:r>
    </w:p>
    <w:p>
      <w:pPr>
        <w:spacing w:after="0" w:line="166" w:lineRule="exact"/>
        <w:rPr>
          <w:sz w:val="20"/>
          <w:szCs w:val="20"/>
          <w:color w:val="auto"/>
        </w:rPr>
      </w:pPr>
    </w:p>
    <w:p>
      <w:pPr>
        <w:ind w:firstLine="1521"/>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to the Administrative Agent and each Lender prompt written notice of the following:</w:t>
      </w:r>
    </w:p>
    <w:p>
      <w:pPr>
        <w:spacing w:after="0" w:line="170" w:lineRule="exact"/>
        <w:rPr>
          <w:sz w:val="20"/>
          <w:szCs w:val="20"/>
          <w:color w:val="auto"/>
        </w:rPr>
      </w:pPr>
    </w:p>
    <w:p>
      <w:pPr>
        <w:ind w:left="1780" w:hanging="251"/>
        <w:spacing w:after="0"/>
        <w:tabs>
          <w:tab w:leader="none" w:pos="17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firstLine="1529"/>
        <w:spacing w:after="0" w:line="308" w:lineRule="auto"/>
        <w:tabs>
          <w:tab w:leader="none" w:pos="180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46" w:lineRule="exact"/>
        <w:rPr>
          <w:rFonts w:ascii="Arial" w:cs="Arial" w:eastAsia="Arial" w:hAnsi="Arial"/>
          <w:sz w:val="17"/>
          <w:szCs w:val="17"/>
          <w:color w:val="auto"/>
        </w:rPr>
      </w:pPr>
    </w:p>
    <w:p>
      <w:pPr>
        <w:ind w:right="20" w:firstLine="1529"/>
        <w:spacing w:after="0" w:line="277" w:lineRule="auto"/>
        <w:tabs>
          <w:tab w:leader="none" w:pos="178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of the Borrower and its Subsidiaries in an aggregate amount exceeding $25,000,000; and</w:t>
      </w:r>
    </w:p>
    <w:p>
      <w:pPr>
        <w:spacing w:after="0" w:line="170" w:lineRule="exact"/>
        <w:rPr>
          <w:rFonts w:ascii="Arial" w:cs="Arial" w:eastAsia="Arial" w:hAnsi="Arial"/>
          <w:sz w:val="18"/>
          <w:szCs w:val="18"/>
          <w:color w:val="auto"/>
        </w:rPr>
      </w:pPr>
    </w:p>
    <w:p>
      <w:pPr>
        <w:ind w:left="1780" w:hanging="251"/>
        <w:spacing w:after="0"/>
        <w:tabs>
          <w:tab w:leader="none" w:pos="17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jc w:val="both"/>
        <w:ind w:firstLine="1521"/>
        <w:spacing w:after="0" w:line="308" w:lineRule="auto"/>
        <w:rPr>
          <w:sz w:val="20"/>
          <w:szCs w:val="20"/>
          <w:color w:val="auto"/>
        </w:rPr>
      </w:pPr>
      <w:r>
        <w:rPr>
          <w:rFonts w:ascii="Arial" w:cs="Arial" w:eastAsia="Arial" w:hAnsi="Arial"/>
          <w:sz w:val="17"/>
          <w:szCs w:val="17"/>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7"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87" w:lineRule="exact"/>
        <w:rPr>
          <w:sz w:val="20"/>
          <w:szCs w:val="20"/>
          <w:color w:val="auto"/>
        </w:rPr>
      </w:pPr>
    </w:p>
    <w:p>
      <w:pPr>
        <w:jc w:val="both"/>
        <w:ind w:firstLine="1521"/>
        <w:spacing w:after="0" w:line="276"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Payment of Obligations</w:t>
      </w:r>
      <w:r>
        <w:rPr>
          <w:rFonts w:ascii="Arial" w:cs="Arial" w:eastAsia="Arial" w:hAnsi="Arial"/>
          <w:sz w:val="17"/>
          <w:szCs w:val="17"/>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73" w:lineRule="exact"/>
        <w:rPr>
          <w:sz w:val="20"/>
          <w:szCs w:val="20"/>
          <w:color w:val="auto"/>
        </w:rPr>
      </w:pPr>
    </w:p>
    <w:p>
      <w:pPr>
        <w:jc w:val="both"/>
        <w:ind w:firstLine="1521"/>
        <w:spacing w:after="0" w:line="279"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 Insurance</w:t>
      </w:r>
      <w:r>
        <w:rPr>
          <w:rFonts w:ascii="Arial" w:cs="Arial" w:eastAsia="Arial" w:hAnsi="Arial"/>
          <w:sz w:val="17"/>
          <w:szCs w:val="17"/>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71" w:lineRule="exact"/>
        <w:rPr>
          <w:sz w:val="20"/>
          <w:szCs w:val="20"/>
          <w:color w:val="auto"/>
        </w:rPr>
      </w:pPr>
    </w:p>
    <w:p>
      <w:pPr>
        <w:jc w:val="both"/>
        <w:ind w:firstLine="1521"/>
        <w:spacing w:after="0" w:line="272"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Books and Records; Inspection and Audit Rights</w:t>
      </w:r>
      <w:r>
        <w:rPr>
          <w:rFonts w:ascii="Arial" w:cs="Arial" w:eastAsia="Arial" w:hAnsi="Arial"/>
          <w:sz w:val="17"/>
          <w:szCs w:val="17"/>
          <w:color w:val="auto"/>
        </w:rPr>
        <w:t xml:space="preserve">. The Borrower will, and will cause each of its Subsidiaries to, keep books of record and account in accordance with GAAP. The Borrower will, and will cause each other Obligor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or such Obligor shall be entitled to have its representatives and advisors present during any inspection of its books and records.</w:t>
      </w:r>
    </w:p>
    <w:p>
      <w:pPr>
        <w:spacing w:after="0" w:line="178" w:lineRule="exact"/>
        <w:rPr>
          <w:sz w:val="20"/>
          <w:szCs w:val="20"/>
          <w:color w:val="auto"/>
        </w:rPr>
      </w:pPr>
    </w:p>
    <w:p>
      <w:pPr>
        <w:jc w:val="both"/>
        <w:ind w:firstLine="1521"/>
        <w:spacing w:after="0" w:line="297"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200" w:lineRule="exact"/>
        <w:rPr>
          <w:sz w:val="20"/>
          <w:szCs w:val="20"/>
          <w:color w:val="auto"/>
        </w:rPr>
      </w:pPr>
    </w:p>
    <w:p>
      <w:pPr>
        <w:spacing w:after="0" w:line="390"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55</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0" w:name="page201"/>
    <w:bookmarkEnd w:id="200"/>
    <w:p>
      <w:pPr>
        <w:ind w:left="152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Certain Obligations Respecting Subsidiaries; Further Assurances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97" w:lineRule="auto"/>
        <w:tabs>
          <w:tab w:leader="none" w:pos="1779"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Subsidiary Guarantors</w:t>
      </w:r>
      <w:r>
        <w:rPr>
          <w:rFonts w:ascii="Arial" w:cs="Arial" w:eastAsia="Arial" w:hAnsi="Arial"/>
          <w:sz w:val="16"/>
          <w:szCs w:val="16"/>
          <w:color w:val="auto"/>
        </w:rPr>
        <w:t xml:space="preserve">. In the event that the Borrower or any the Subsidiary Guarantors shall form or acquire any new Subsidiary (other than a Financing 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upon the Effective Date or as the Administrative Agent shall have requested.</w:t>
      </w:r>
    </w:p>
    <w:p>
      <w:pPr>
        <w:spacing w:after="0" w:line="158" w:lineRule="exact"/>
        <w:rPr>
          <w:rFonts w:ascii="Arial" w:cs="Arial" w:eastAsia="Arial" w:hAnsi="Arial"/>
          <w:sz w:val="16"/>
          <w:szCs w:val="16"/>
          <w:color w:val="auto"/>
        </w:rPr>
      </w:pPr>
    </w:p>
    <w:p>
      <w:pPr>
        <w:ind w:firstLine="1529"/>
        <w:spacing w:after="0" w:line="277" w:lineRule="auto"/>
        <w:tabs>
          <w:tab w:leader="none" w:pos="1776"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Ownership of Subsidiaries</w:t>
      </w:r>
      <w:r>
        <w:rPr>
          <w:rFonts w:ascii="Arial" w:cs="Arial" w:eastAsia="Arial" w:hAnsi="Arial"/>
          <w:sz w:val="18"/>
          <w:szCs w:val="18"/>
          <w:color w:val="auto"/>
        </w:rPr>
        <w:t>. The Borrower will, and will cause each of its Subsidiaries to, take such action from time to time as shall be necessary to ensure that each of its Subsidiaries is a wholly owned Subsidiary.</w:t>
      </w:r>
    </w:p>
    <w:p>
      <w:pPr>
        <w:spacing w:after="0" w:line="170" w:lineRule="exact"/>
        <w:rPr>
          <w:rFonts w:ascii="Arial" w:cs="Arial" w:eastAsia="Arial" w:hAnsi="Arial"/>
          <w:sz w:val="18"/>
          <w:szCs w:val="18"/>
          <w:color w:val="auto"/>
        </w:rPr>
      </w:pPr>
    </w:p>
    <w:p>
      <w:pPr>
        <w:jc w:val="both"/>
        <w:ind w:firstLine="1529"/>
        <w:spacing w:after="0" w:line="285" w:lineRule="auto"/>
        <w:tabs>
          <w:tab w:leader="none" w:pos="1766"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security interest or Lien shall be subject to the relevant requirements of the Security Documents, (ii) in the case of any Portfolio Investment consisting of a Bank Loan (as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389" w:lineRule="exact"/>
        <w:rPr>
          <w:sz w:val="20"/>
          <w:szCs w:val="20"/>
          <w:color w:val="auto"/>
        </w:rPr>
      </w:pPr>
    </w:p>
    <w:p>
      <w:pPr>
        <w:jc w:val="both"/>
        <w:ind w:firstLine="1521"/>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Administrative Agent nor any Lender shall have any responsibility as to the use of any of such proceeds. No part of the proceeds of any Loan will be used in violation of (a) applicable law or, directly or indirectly, for the purpose, whether immediate, incidental or ultimate, of buying or carrying any Margin Stock or (b)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3.16</w:t>
      </w:r>
      <w:r>
        <w:rPr>
          <w:rFonts w:ascii="Arial" w:cs="Arial" w:eastAsia="Arial" w:hAnsi="Arial"/>
          <w:sz w:val="18"/>
          <w:szCs w:val="18"/>
          <w:color w:val="auto"/>
        </w:rPr>
        <w:t>. Margin Stock shall be purchased by the Obligors only with the proceeds of Indebtedness not directly or indirectly secured by Margin Stock, or with the proceeds of equity capital of the Borrower.</w:t>
      </w:r>
    </w:p>
    <w:p>
      <w:pPr>
        <w:spacing w:after="0" w:line="189"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Status of RIC and BDC</w:t>
      </w:r>
      <w:r>
        <w:rPr>
          <w:rFonts w:ascii="Arial" w:cs="Arial" w:eastAsia="Arial" w:hAnsi="Arial"/>
          <w:sz w:val="18"/>
          <w:szCs w:val="18"/>
          <w:color w:val="auto"/>
        </w:rPr>
        <w:t>. The Borrower shall at all times, subject to applicable grace periods set forth in the Code, maintain its status as a RIC under the Code, and as a “business development company” under the Investment Company Act.</w:t>
      </w:r>
    </w:p>
    <w:p>
      <w:pPr>
        <w:spacing w:after="0" w:line="170"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Investment Policies</w:t>
      </w:r>
      <w:r>
        <w:rPr>
          <w:rFonts w:ascii="Arial" w:cs="Arial" w:eastAsia="Arial" w:hAnsi="Arial"/>
          <w:sz w:val="18"/>
          <w:szCs w:val="18"/>
          <w:color w:val="auto"/>
        </w:rPr>
        <w:t>. The Borrower shall at all times be in compliance in all material respects with its Investment Policies (after giving effect to any Permitted Policy Amendments).</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Portfolio Valuation and Diversification Etc</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57" w:lineRule="auto"/>
        <w:tabs>
          <w:tab w:leader="none" w:pos="1766"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Industry Classification Groups</w:t>
      </w:r>
      <w:r>
        <w:rPr>
          <w:rFonts w:ascii="Arial" w:cs="Arial" w:eastAsia="Arial" w:hAnsi="Arial"/>
          <w:sz w:val="18"/>
          <w:szCs w:val="18"/>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56</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01" w:name="page202"/>
    <w:bookmarkEnd w:id="201"/>
    <w:p>
      <w:pPr>
        <w:ind w:left="1780" w:hanging="251"/>
        <w:spacing w:after="0"/>
        <w:tabs>
          <w:tab w:leader="none" w:pos="1780"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Portfolio Valuation Etc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719"/>
        <w:spacing w:after="0" w:line="302" w:lineRule="auto"/>
        <w:tabs>
          <w:tab w:leader="none" w:pos="1685"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Settlement Date Basis</w:t>
      </w:r>
      <w:r>
        <w:rPr>
          <w:rFonts w:ascii="Arial" w:cs="Arial" w:eastAsia="Arial" w:hAnsi="Arial"/>
          <w:sz w:val="16"/>
          <w:szCs w:val="16"/>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investment shall be included as a Portfolio Investment to the extent it has not been paid for in full.</w:t>
      </w:r>
    </w:p>
    <w:p>
      <w:pPr>
        <w:spacing w:after="0" w:line="154" w:lineRule="exact"/>
        <w:rPr>
          <w:rFonts w:ascii="Arial" w:cs="Arial" w:eastAsia="Arial" w:hAnsi="Arial"/>
          <w:sz w:val="16"/>
          <w:szCs w:val="16"/>
          <w:color w:val="auto"/>
        </w:rPr>
      </w:pPr>
    </w:p>
    <w:p>
      <w:pPr>
        <w:ind w:left="1760" w:hanging="281"/>
        <w:spacing w:after="0"/>
        <w:tabs>
          <w:tab w:leader="none" w:pos="1760"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Determination of Values</w:t>
      </w:r>
      <w:r>
        <w:rPr>
          <w:rFonts w:ascii="Arial" w:cs="Arial" w:eastAsia="Arial" w:hAnsi="Arial"/>
          <w:sz w:val="17"/>
          <w:szCs w:val="17"/>
          <w:color w:val="auto"/>
        </w:rPr>
        <w:t>.  The Borrower will conduct reviews of the value to be assigned to each of its Portfolio Investments as</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210" w:lineRule="exact"/>
        <w:rPr>
          <w:rFonts w:ascii="Arial" w:cs="Arial" w:eastAsia="Arial" w:hAnsi="Arial"/>
          <w:sz w:val="17"/>
          <w:szCs w:val="17"/>
          <w:color w:val="auto"/>
        </w:rPr>
      </w:pPr>
    </w:p>
    <w:p>
      <w:pPr>
        <w:jc w:val="both"/>
        <w:ind w:left="1520" w:firstLine="669"/>
        <w:spacing w:after="0" w:line="259" w:lineRule="auto"/>
        <w:tabs>
          <w:tab w:leader="none" w:pos="2488" w:val="left"/>
        </w:tabs>
        <w:numPr>
          <w:ilvl w:val="2"/>
          <w:numId w:val="216"/>
        </w:numPr>
        <w:rPr>
          <w:rFonts w:ascii="Arial" w:cs="Arial" w:eastAsia="Arial" w:hAnsi="Arial"/>
          <w:sz w:val="18"/>
          <w:szCs w:val="18"/>
          <w:color w:val="auto"/>
        </w:rPr>
      </w:pPr>
      <w:r>
        <w:rPr>
          <w:rFonts w:ascii="Arial" w:cs="Arial" w:eastAsia="Arial" w:hAnsi="Arial"/>
          <w:sz w:val="18"/>
          <w:szCs w:val="18"/>
          <w:u w:val="single" w:color="auto"/>
          <w:color w:val="auto"/>
        </w:rPr>
        <w:t>Quoted Investments - External Review</w:t>
      </w:r>
      <w:r>
        <w:rPr>
          <w:rFonts w:ascii="Arial" w:cs="Arial" w:eastAsia="Arial" w:hAnsi="Arial"/>
          <w:sz w:val="18"/>
          <w:szCs w:val="18"/>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86" w:lineRule="exact"/>
        <w:rPr>
          <w:rFonts w:ascii="Arial" w:cs="Arial" w:eastAsia="Arial" w:hAnsi="Arial"/>
          <w:sz w:val="18"/>
          <w:szCs w:val="18"/>
          <w:color w:val="auto"/>
        </w:rPr>
      </w:pPr>
    </w:p>
    <w:p>
      <w:pPr>
        <w:ind w:left="2300" w:right="220" w:firstLine="599"/>
        <w:spacing w:after="0" w:line="277" w:lineRule="auto"/>
        <w:tabs>
          <w:tab w:leader="none" w:pos="3204" w:val="left"/>
        </w:tabs>
        <w:numPr>
          <w:ilvl w:val="3"/>
          <w:numId w:val="216"/>
        </w:numPr>
        <w:rPr>
          <w:rFonts w:ascii="Arial" w:cs="Arial" w:eastAsia="Arial" w:hAnsi="Arial"/>
          <w:sz w:val="18"/>
          <w:szCs w:val="18"/>
          <w:color w:val="auto"/>
        </w:rPr>
      </w:pPr>
      <w:r>
        <w:rPr>
          <w:rFonts w:ascii="Arial" w:cs="Arial" w:eastAsia="Arial" w:hAnsi="Arial"/>
          <w:sz w:val="18"/>
          <w:szCs w:val="18"/>
          <w:color w:val="auto"/>
        </w:rPr>
        <w:t>in the case of public and 144A securities, the average of the bid prices as determined by two Approved Dealers selected by the Borrower,</w:t>
      </w:r>
    </w:p>
    <w:p>
      <w:pPr>
        <w:spacing w:after="0" w:line="170" w:lineRule="exact"/>
        <w:rPr>
          <w:rFonts w:ascii="Arial" w:cs="Arial" w:eastAsia="Arial" w:hAnsi="Arial"/>
          <w:sz w:val="18"/>
          <w:szCs w:val="18"/>
          <w:color w:val="auto"/>
        </w:rPr>
      </w:pPr>
    </w:p>
    <w:p>
      <w:pPr>
        <w:ind w:left="3160" w:hanging="261"/>
        <w:spacing w:after="0"/>
        <w:tabs>
          <w:tab w:leader="none" w:pos="3160" w:val="left"/>
        </w:tabs>
        <w:numPr>
          <w:ilvl w:val="3"/>
          <w:numId w:val="216"/>
        </w:numPr>
        <w:rPr>
          <w:rFonts w:ascii="Arial" w:cs="Arial" w:eastAsia="Arial" w:hAnsi="Arial"/>
          <w:sz w:val="17"/>
          <w:szCs w:val="17"/>
          <w:color w:val="auto"/>
        </w:rPr>
      </w:pPr>
      <w:r>
        <w:rPr>
          <w:rFonts w:ascii="Arial" w:cs="Arial" w:eastAsia="Arial" w:hAnsi="Arial"/>
          <w:sz w:val="17"/>
          <w:szCs w:val="17"/>
          <w:color w:val="auto"/>
        </w:rPr>
        <w:t>in the case of bank loans, the bid price as determined by one Approved Dealer selected by the Borrower,</w:t>
      </w:r>
    </w:p>
    <w:p>
      <w:pPr>
        <w:spacing w:after="0" w:line="236" w:lineRule="exact"/>
        <w:rPr>
          <w:rFonts w:ascii="Arial" w:cs="Arial" w:eastAsia="Arial" w:hAnsi="Arial"/>
          <w:sz w:val="17"/>
          <w:szCs w:val="17"/>
          <w:color w:val="auto"/>
        </w:rPr>
      </w:pPr>
    </w:p>
    <w:p>
      <w:pPr>
        <w:ind w:left="2300" w:right="380" w:firstLine="599"/>
        <w:spacing w:after="0" w:line="277" w:lineRule="auto"/>
        <w:tabs>
          <w:tab w:leader="none" w:pos="3164" w:val="left"/>
        </w:tabs>
        <w:numPr>
          <w:ilvl w:val="3"/>
          <w:numId w:val="216"/>
        </w:numPr>
        <w:rPr>
          <w:rFonts w:ascii="Arial" w:cs="Arial" w:eastAsia="Arial" w:hAnsi="Arial"/>
          <w:sz w:val="18"/>
          <w:szCs w:val="18"/>
          <w:color w:val="auto"/>
        </w:rPr>
      </w:pPr>
      <w:r>
        <w:rPr>
          <w:rFonts w:ascii="Arial" w:cs="Arial" w:eastAsia="Arial" w:hAnsi="Arial"/>
          <w:sz w:val="18"/>
          <w:szCs w:val="18"/>
          <w:color w:val="auto"/>
        </w:rPr>
        <w:t>in the case of any Portfolio Investment traded on an exchange, the closing price for such Portfolio Investment most recently posted on such exchange, and</w:t>
      </w:r>
    </w:p>
    <w:p>
      <w:pPr>
        <w:spacing w:after="0" w:line="170" w:lineRule="exact"/>
        <w:rPr>
          <w:rFonts w:ascii="Arial" w:cs="Arial" w:eastAsia="Arial" w:hAnsi="Arial"/>
          <w:sz w:val="18"/>
          <w:szCs w:val="18"/>
          <w:color w:val="auto"/>
        </w:rPr>
      </w:pPr>
    </w:p>
    <w:p>
      <w:pPr>
        <w:ind w:left="2300" w:right="120" w:firstLine="599"/>
        <w:spacing w:after="0" w:line="277" w:lineRule="auto"/>
        <w:tabs>
          <w:tab w:leader="none" w:pos="3154" w:val="left"/>
        </w:tabs>
        <w:numPr>
          <w:ilvl w:val="3"/>
          <w:numId w:val="216"/>
        </w:numPr>
        <w:rPr>
          <w:rFonts w:ascii="Arial" w:cs="Arial" w:eastAsia="Arial" w:hAnsi="Arial"/>
          <w:sz w:val="18"/>
          <w:szCs w:val="18"/>
          <w:color w:val="auto"/>
        </w:rPr>
      </w:pPr>
      <w:r>
        <w:rPr>
          <w:rFonts w:ascii="Arial" w:cs="Arial" w:eastAsia="Arial" w:hAnsi="Arial"/>
          <w:sz w:val="18"/>
          <w:szCs w:val="18"/>
          <w:color w:val="auto"/>
        </w:rPr>
        <w:t>in the case of any other Portfolio Investment, the fair market value thereof as determined by an Approved Pricing Service; and</w:t>
      </w:r>
    </w:p>
    <w:p>
      <w:pPr>
        <w:spacing w:after="0" w:line="170" w:lineRule="exact"/>
        <w:rPr>
          <w:rFonts w:ascii="Arial" w:cs="Arial" w:eastAsia="Arial" w:hAnsi="Arial"/>
          <w:sz w:val="18"/>
          <w:szCs w:val="18"/>
          <w:color w:val="auto"/>
        </w:rPr>
      </w:pPr>
    </w:p>
    <w:p>
      <w:pPr>
        <w:jc w:val="both"/>
        <w:ind w:left="1520" w:firstLine="669"/>
        <w:spacing w:after="0" w:line="257" w:lineRule="auto"/>
        <w:tabs>
          <w:tab w:leader="none" w:pos="2478" w:val="left"/>
        </w:tabs>
        <w:numPr>
          <w:ilvl w:val="2"/>
          <w:numId w:val="216"/>
        </w:numPr>
        <w:rPr>
          <w:rFonts w:ascii="Arial" w:cs="Arial" w:eastAsia="Arial" w:hAnsi="Arial"/>
          <w:sz w:val="18"/>
          <w:szCs w:val="18"/>
          <w:color w:val="auto"/>
        </w:rPr>
      </w:pPr>
      <w:r>
        <w:rPr>
          <w:rFonts w:ascii="Arial" w:cs="Arial" w:eastAsia="Arial" w:hAnsi="Arial"/>
          <w:sz w:val="18"/>
          <w:szCs w:val="18"/>
          <w:u w:val="single" w:color="auto"/>
          <w:color w:val="auto"/>
        </w:rPr>
        <w:t>Unquoted Investments- External Review</w:t>
      </w:r>
      <w:r>
        <w:rPr>
          <w:rFonts w:ascii="Arial" w:cs="Arial" w:eastAsia="Arial" w:hAnsi="Arial"/>
          <w:sz w:val="18"/>
          <w:szCs w:val="18"/>
          <w:color w:val="auto"/>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Arial" w:cs="Arial" w:eastAsia="Arial" w:hAnsi="Arial"/>
          <w:sz w:val="18"/>
          <w:szCs w:val="18"/>
          <w:u w:val="single" w:color="auto"/>
          <w:color w:val="auto"/>
        </w:rPr>
        <w:t>Testing Quarter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8" w:lineRule="exact"/>
        <w:rPr>
          <w:rFonts w:ascii="Arial" w:cs="Arial" w:eastAsia="Arial" w:hAnsi="Arial"/>
          <w:sz w:val="18"/>
          <w:szCs w:val="18"/>
          <w:color w:val="auto"/>
        </w:rPr>
      </w:pPr>
    </w:p>
    <w:p>
      <w:pPr>
        <w:ind w:left="2300" w:right="80" w:firstLine="599"/>
        <w:spacing w:after="0" w:line="279" w:lineRule="auto"/>
        <w:tabs>
          <w:tab w:leader="none" w:pos="3164" w:val="left"/>
        </w:tabs>
        <w:numPr>
          <w:ilvl w:val="3"/>
          <w:numId w:val="217"/>
        </w:numPr>
        <w:rPr>
          <w:rFonts w:ascii="Arial" w:cs="Arial" w:eastAsia="Arial" w:hAnsi="Arial"/>
          <w:sz w:val="17"/>
          <w:szCs w:val="17"/>
          <w:color w:val="auto"/>
        </w:rPr>
      </w:pPr>
      <w:r>
        <w:rPr>
          <w:rFonts w:ascii="Arial" w:cs="Arial" w:eastAsia="Arial" w:hAnsi="Arial"/>
          <w:sz w:val="17"/>
          <w:szCs w:val="17"/>
          <w:color w:val="auto"/>
        </w:rPr>
        <w:t xml:space="preserve">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Arial" w:cs="Arial" w:eastAsia="Arial" w:hAnsi="Arial"/>
          <w:sz w:val="17"/>
          <w:szCs w:val="17"/>
          <w:u w:val="single" w:color="auto"/>
          <w:color w:val="auto"/>
        </w:rPr>
        <w:t>sub-clause (B)</w:t>
      </w:r>
      <w:r>
        <w:rPr>
          <w:rFonts w:ascii="Arial" w:cs="Arial" w:eastAsia="Arial" w:hAnsi="Arial"/>
          <w:sz w:val="17"/>
          <w:szCs w:val="17"/>
          <w:color w:val="auto"/>
        </w:rPr>
        <w:t xml:space="preserve"> as at the last day of the next succeeding Testing Quarter with respect to such Portfolio Investment;</w:t>
      </w:r>
    </w:p>
    <w:p>
      <w:pPr>
        <w:spacing w:after="0" w:line="171" w:lineRule="exact"/>
        <w:rPr>
          <w:rFonts w:ascii="Arial" w:cs="Arial" w:eastAsia="Arial" w:hAnsi="Arial"/>
          <w:sz w:val="17"/>
          <w:szCs w:val="17"/>
          <w:color w:val="auto"/>
        </w:rPr>
      </w:pPr>
    </w:p>
    <w:p>
      <w:pPr>
        <w:ind w:left="2300" w:firstLine="599"/>
        <w:spacing w:after="0" w:line="270" w:lineRule="auto"/>
        <w:tabs>
          <w:tab w:leader="none" w:pos="3164" w:val="left"/>
        </w:tabs>
        <w:numPr>
          <w:ilvl w:val="3"/>
          <w:numId w:val="217"/>
        </w:numPr>
        <w:rPr>
          <w:rFonts w:ascii="Arial" w:cs="Arial" w:eastAsia="Arial" w:hAnsi="Arial"/>
          <w:sz w:val="17"/>
          <w:szCs w:val="17"/>
          <w:color w:val="auto"/>
        </w:rPr>
      </w:pPr>
      <w:r>
        <w:rPr>
          <w:rFonts w:ascii="Arial" w:cs="Arial" w:eastAsia="Arial" w:hAnsi="Arial"/>
          <w:sz w:val="17"/>
          <w:szCs w:val="17"/>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181" w:lineRule="exact"/>
        <w:rPr>
          <w:rFonts w:ascii="Arial" w:cs="Arial" w:eastAsia="Arial" w:hAnsi="Arial"/>
          <w:sz w:val="17"/>
          <w:szCs w:val="17"/>
          <w:color w:val="auto"/>
        </w:rPr>
      </w:pPr>
    </w:p>
    <w:p>
      <w:pPr>
        <w:ind w:left="2300" w:right="40" w:firstLine="599"/>
        <w:spacing w:after="0" w:line="342" w:lineRule="auto"/>
        <w:tabs>
          <w:tab w:leader="none" w:pos="3154" w:val="left"/>
        </w:tabs>
        <w:numPr>
          <w:ilvl w:val="3"/>
          <w:numId w:val="217"/>
        </w:numPr>
        <w:rPr>
          <w:rFonts w:ascii="Arial" w:cs="Arial" w:eastAsia="Arial" w:hAnsi="Arial"/>
          <w:sz w:val="16"/>
          <w:szCs w:val="16"/>
          <w:color w:val="auto"/>
        </w:rPr>
      </w:pPr>
      <w:r>
        <w:rPr>
          <w:rFonts w:ascii="Arial" w:cs="Arial" w:eastAsia="Arial" w:hAnsi="Arial"/>
          <w:sz w:val="16"/>
          <w:szCs w:val="16"/>
          <w:color w:val="auto"/>
        </w:rPr>
        <w:t>no Testing Quarter with respect to any Portfolio Investment for which market quotations are not readily available shall end more than six months following the end of the immediately preceding Testing Quarter for such Portfolio Investment.</w:t>
      </w:r>
    </w:p>
    <w:p>
      <w:pPr>
        <w:spacing w:after="0" w:line="200" w:lineRule="exact"/>
        <w:rPr>
          <w:sz w:val="20"/>
          <w:szCs w:val="20"/>
          <w:color w:val="auto"/>
        </w:rPr>
      </w:pPr>
    </w:p>
    <w:p>
      <w:pPr>
        <w:spacing w:after="0" w:line="356"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57</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2" w:name="page203"/>
    <w:bookmarkEnd w:id="202"/>
    <w:p>
      <w:pPr>
        <w:jc w:val="both"/>
        <w:ind w:left="1520" w:firstLine="669"/>
        <w:spacing w:after="0" w:line="288" w:lineRule="auto"/>
        <w:tabs>
          <w:tab w:leader="none" w:pos="2465"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Internal Review</w:t>
      </w:r>
      <w:r>
        <w:rPr>
          <w:rFonts w:ascii="Arial" w:cs="Arial" w:eastAsia="Arial" w:hAnsi="Arial"/>
          <w:sz w:val="16"/>
          <w:szCs w:val="16"/>
          <w:color w:val="auto"/>
        </w:rPr>
        <w:t xml:space="preserve">. The Borrower shall conduct internal reviews of all Portfolio Investments at least once each calendar week which shall take into account any events of which the Borrower has knowledge that adversely affect the value of the Portfolio Investments. If the value of any Portfolio Investment as most recently determined by the Borrower pursuant to this </w:t>
      </w:r>
      <w:r>
        <w:rPr>
          <w:rFonts w:ascii="Arial" w:cs="Arial" w:eastAsia="Arial" w:hAnsi="Arial"/>
          <w:sz w:val="16"/>
          <w:szCs w:val="16"/>
          <w:u w:val="single" w:color="auto"/>
          <w:color w:val="auto"/>
        </w:rPr>
        <w:t>Section 5.12(b)(ii)</w:t>
      </w:r>
    </w:p>
    <w:p>
      <w:pPr>
        <w:jc w:val="both"/>
        <w:ind w:left="1520" w:firstLine="9"/>
        <w:spacing w:after="0" w:line="290" w:lineRule="auto"/>
        <w:tabs>
          <w:tab w:leader="none" w:pos="1821" w:val="left"/>
        </w:tabs>
        <w:numPr>
          <w:ilvl w:val="0"/>
          <w:numId w:val="219"/>
        </w:numPr>
        <w:rPr>
          <w:rFonts w:ascii="Arial" w:cs="Arial" w:eastAsia="Arial" w:hAnsi="Arial"/>
          <w:sz w:val="16"/>
          <w:szCs w:val="16"/>
          <w:u w:val="single" w:color="auto"/>
          <w:color w:val="auto"/>
        </w:rPr>
      </w:pPr>
      <w:r>
        <w:rPr>
          <w:rFonts w:ascii="Arial" w:cs="Arial" w:eastAsia="Arial" w:hAnsi="Arial"/>
          <w:sz w:val="16"/>
          <w:szCs w:val="16"/>
          <w:color w:val="auto"/>
        </w:rPr>
        <w:t xml:space="preserve">is lower than the value of such Portfolio Investment as most recently determined pursuant to </w:t>
      </w:r>
      <w:r>
        <w:rPr>
          <w:rFonts w:ascii="Arial" w:cs="Arial" w:eastAsia="Arial" w:hAnsi="Arial"/>
          <w:sz w:val="16"/>
          <w:szCs w:val="16"/>
          <w:u w:val="single" w:color="auto"/>
          <w:color w:val="auto"/>
        </w:rPr>
        <w:t>Section 5.12(b)(ii)(A)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such lower value shall be deemed to be the “Value” of such Portfolio Investment for purposes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64" w:lineRule="exact"/>
        <w:rPr>
          <w:rFonts w:ascii="Arial" w:cs="Arial" w:eastAsia="Arial" w:hAnsi="Arial"/>
          <w:sz w:val="16"/>
          <w:szCs w:val="16"/>
          <w:u w:val="single" w:color="auto"/>
          <w:color w:val="auto"/>
        </w:rPr>
      </w:pPr>
    </w:p>
    <w:p>
      <w:pPr>
        <w:jc w:val="both"/>
        <w:ind w:left="1520" w:firstLine="669"/>
        <w:spacing w:after="0" w:line="264" w:lineRule="auto"/>
        <w:tabs>
          <w:tab w:leader="none" w:pos="2475"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Failure to Determine Values</w:t>
      </w:r>
      <w:r>
        <w:rPr>
          <w:rFonts w:ascii="Arial" w:cs="Arial" w:eastAsia="Arial" w:hAnsi="Arial"/>
          <w:sz w:val="18"/>
          <w:szCs w:val="18"/>
          <w:color w:val="auto"/>
        </w:rPr>
        <w:t xml:space="preserve">. If the Borrower shall fail to (x) determine the value of any Portfolio Investment as at any date pursuant to the requirements of the foregoing </w:t>
      </w:r>
      <w:r>
        <w:rPr>
          <w:rFonts w:ascii="Arial" w:cs="Arial" w:eastAsia="Arial" w:hAnsi="Arial"/>
          <w:sz w:val="18"/>
          <w:szCs w:val="18"/>
          <w:u w:val="single" w:color="auto"/>
          <w:color w:val="auto"/>
        </w:rPr>
        <w:t>sub-clauses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then the “Value” of such Portfolio Investment as at such date shall be deemed to be zero.</w:t>
      </w:r>
    </w:p>
    <w:p>
      <w:pPr>
        <w:spacing w:after="0" w:line="181" w:lineRule="exact"/>
        <w:rPr>
          <w:rFonts w:ascii="Arial" w:cs="Arial" w:eastAsia="Arial" w:hAnsi="Arial"/>
          <w:sz w:val="18"/>
          <w:szCs w:val="18"/>
          <w:color w:val="auto"/>
        </w:rPr>
      </w:pPr>
    </w:p>
    <w:p>
      <w:pPr>
        <w:ind w:left="2460" w:hanging="271"/>
        <w:spacing w:after="0"/>
        <w:tabs>
          <w:tab w:leader="none" w:pos="2460"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Testing of Values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300" w:right="80" w:firstLine="599"/>
        <w:spacing w:after="0" w:line="293" w:lineRule="auto"/>
        <w:tabs>
          <w:tab w:leader="none" w:pos="3164" w:val="left"/>
        </w:tabs>
        <w:numPr>
          <w:ilvl w:val="2"/>
          <w:numId w:val="219"/>
        </w:numPr>
        <w:rPr>
          <w:rFonts w:ascii="Arial" w:cs="Arial" w:eastAsia="Arial" w:hAnsi="Arial"/>
          <w:sz w:val="16"/>
          <w:szCs w:val="16"/>
          <w:color w:val="auto"/>
        </w:rPr>
      </w:pPr>
      <w:r>
        <w:rPr>
          <w:rFonts w:ascii="Arial" w:cs="Arial" w:eastAsia="Arial" w:hAnsi="Arial"/>
          <w:sz w:val="16"/>
          <w:szCs w:val="16"/>
          <w:color w:val="auto"/>
        </w:rPr>
        <w:t>For the second calendar month immediately following the end of each fiscal quarter (the last such fiscal quarter is referred to herein as, the “</w:t>
      </w:r>
      <w:r>
        <w:rPr>
          <w:rFonts w:ascii="Arial" w:cs="Arial" w:eastAsia="Arial" w:hAnsi="Arial"/>
          <w:sz w:val="16"/>
          <w:szCs w:val="16"/>
          <w:u w:val="single" w:color="auto"/>
          <w:color w:val="auto"/>
        </w:rPr>
        <w:t>Testing Period</w:t>
      </w:r>
      <w:r>
        <w:rPr>
          <w:rFonts w:ascii="Arial" w:cs="Arial" w:eastAsia="Arial" w:hAnsi="Arial"/>
          <w:sz w:val="16"/>
          <w:szCs w:val="16"/>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If there is a difference between the Borrower’s valuation and the Approved Third-Party Appraiser’s valuation of any Unquoted Investment, the Value of such Unquoted Investment for Borrowing Base purposes shall be established as set forth in </w:t>
      </w:r>
      <w:r>
        <w:rPr>
          <w:rFonts w:ascii="Arial" w:cs="Arial" w:eastAsia="Arial" w:hAnsi="Arial"/>
          <w:sz w:val="16"/>
          <w:szCs w:val="16"/>
          <w:u w:val="single" w:color="auto"/>
          <w:color w:val="auto"/>
        </w:rPr>
        <w:t>sub-clause (F)</w:t>
      </w:r>
      <w:r>
        <w:rPr>
          <w:rFonts w:ascii="Arial" w:cs="Arial" w:eastAsia="Arial" w:hAnsi="Arial"/>
          <w:sz w:val="16"/>
          <w:szCs w:val="16"/>
          <w:color w:val="auto"/>
        </w:rPr>
        <w:t xml:space="preserve"> below.</w:t>
      </w:r>
    </w:p>
    <w:p>
      <w:pPr>
        <w:spacing w:after="0" w:line="164" w:lineRule="exact"/>
        <w:rPr>
          <w:rFonts w:ascii="Arial" w:cs="Arial" w:eastAsia="Arial" w:hAnsi="Arial"/>
          <w:sz w:val="16"/>
          <w:szCs w:val="16"/>
          <w:color w:val="auto"/>
        </w:rPr>
      </w:pPr>
    </w:p>
    <w:p>
      <w:pPr>
        <w:ind w:left="2300" w:firstLine="599"/>
        <w:spacing w:after="0" w:line="286" w:lineRule="auto"/>
        <w:tabs>
          <w:tab w:leader="none" w:pos="3164" w:val="left"/>
        </w:tabs>
        <w:numPr>
          <w:ilvl w:val="2"/>
          <w:numId w:val="219"/>
        </w:numPr>
        <w:rPr>
          <w:rFonts w:ascii="Arial" w:cs="Arial" w:eastAsia="Arial" w:hAnsi="Arial"/>
          <w:sz w:val="16"/>
          <w:szCs w:val="16"/>
          <w:color w:val="auto"/>
        </w:rPr>
      </w:pPr>
      <w:r>
        <w:rPr>
          <w:rFonts w:ascii="Arial" w:cs="Arial" w:eastAsia="Arial" w:hAnsi="Arial"/>
          <w:sz w:val="16"/>
          <w:szCs w:val="16"/>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16"/>
          <w:szCs w:val="16"/>
          <w:u w:val="single" w:color="auto"/>
          <w:color w:val="auto"/>
        </w:rPr>
        <w:t>Administrative Agent Appraisal Testing Period</w:t>
      </w:r>
      <w:r>
        <w:rPr>
          <w:rFonts w:ascii="Arial" w:cs="Arial" w:eastAsia="Arial" w:hAnsi="Arial"/>
          <w:sz w:val="16"/>
          <w:szCs w:val="16"/>
          <w:color w:val="auto"/>
        </w:rPr>
        <w:t>”) and would be reflected in the Borrowing Base Certificate for such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Approved Third-Party Appraiser delivers such valuation at least seven (7) Business Days before the 20</w:t>
      </w:r>
      <w:r>
        <w:rPr>
          <w:rFonts w:ascii="Arial" w:cs="Arial" w:eastAsia="Arial" w:hAnsi="Arial"/>
          <w:sz w:val="13"/>
          <w:szCs w:val="13"/>
          <w:color w:val="auto"/>
        </w:rPr>
        <w:t>th</w:t>
      </w:r>
      <w:r>
        <w:rPr>
          <w:rFonts w:ascii="Arial" w:cs="Arial" w:eastAsia="Arial" w:hAnsi="Arial"/>
          <w:sz w:val="16"/>
          <w:szCs w:val="16"/>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spacing w:after="0" w:line="172" w:lineRule="exact"/>
        <w:rPr>
          <w:sz w:val="20"/>
          <w:szCs w:val="20"/>
          <w:color w:val="auto"/>
        </w:rPr>
      </w:pPr>
    </w:p>
    <w:p>
      <w:pPr>
        <w:ind w:left="2300"/>
        <w:spacing w:after="0" w:line="277" w:lineRule="auto"/>
        <w:rPr>
          <w:sz w:val="20"/>
          <w:szCs w:val="20"/>
          <w:color w:val="auto"/>
        </w:rPr>
      </w:pPr>
      <w:r>
        <w:rPr>
          <w:rFonts w:ascii="Arial" w:cs="Arial" w:eastAsia="Arial" w:hAnsi="Arial"/>
          <w:sz w:val="18"/>
          <w:szCs w:val="18"/>
          <w:color w:val="auto"/>
        </w:rPr>
        <w:t xml:space="preserve">For the avoidance of doubt, all calculations of value pursuant to this </w:t>
      </w:r>
      <w:r>
        <w:rPr>
          <w:rFonts w:ascii="Arial" w:cs="Arial" w:eastAsia="Arial" w:hAnsi="Arial"/>
          <w:sz w:val="18"/>
          <w:szCs w:val="18"/>
          <w:u w:val="single" w:color="auto"/>
          <w:color w:val="auto"/>
        </w:rPr>
        <w:t>Section 5.12(b)(ii)(E)</w:t>
      </w:r>
      <w:r>
        <w:rPr>
          <w:rFonts w:ascii="Arial" w:cs="Arial" w:eastAsia="Arial" w:hAnsi="Arial"/>
          <w:sz w:val="18"/>
          <w:szCs w:val="18"/>
          <w:color w:val="auto"/>
        </w:rPr>
        <w:t xml:space="preserve"> shall be determined without application of the Advance Rates.</w:t>
      </w:r>
    </w:p>
    <w:p>
      <w:pPr>
        <w:spacing w:after="0" w:line="170" w:lineRule="exact"/>
        <w:rPr>
          <w:sz w:val="20"/>
          <w:szCs w:val="20"/>
          <w:color w:val="auto"/>
        </w:rPr>
      </w:pPr>
    </w:p>
    <w:p>
      <w:pPr>
        <w:jc w:val="both"/>
        <w:ind w:left="1520" w:firstLine="669"/>
        <w:spacing w:after="0" w:line="269" w:lineRule="auto"/>
        <w:tabs>
          <w:tab w:leader="none" w:pos="2445"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Valuation Dispute Resolution</w:t>
      </w:r>
      <w:r>
        <w:rPr>
          <w:rFonts w:ascii="Arial" w:cs="Arial" w:eastAsia="Arial" w:hAnsi="Arial"/>
          <w:sz w:val="17"/>
          <w:szCs w:val="17"/>
          <w:color w:val="auto"/>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Arial" w:cs="Arial" w:eastAsia="Arial" w:hAnsi="Arial"/>
          <w:sz w:val="17"/>
          <w:szCs w:val="17"/>
          <w:u w:val="single" w:color="auto"/>
          <w:color w:val="auto"/>
        </w:rPr>
        <w:t>Section 5.12(b)(ii)(B)</w:t>
      </w:r>
      <w:r>
        <w:rPr>
          <w:rFonts w:ascii="Arial" w:cs="Arial" w:eastAsia="Arial" w:hAnsi="Arial"/>
          <w:sz w:val="17"/>
          <w:szCs w:val="17"/>
          <w:color w:val="auto"/>
        </w:rPr>
        <w:t xml:space="preserve"> and the valuation of any Approved Third-Party Appraiser selected by the Administrative Agent pursuant to </w:t>
      </w:r>
      <w:r>
        <w:rPr>
          <w:rFonts w:ascii="Arial" w:cs="Arial" w:eastAsia="Arial" w:hAnsi="Arial"/>
          <w:sz w:val="17"/>
          <w:szCs w:val="17"/>
          <w:u w:val="single" w:color="auto"/>
          <w:color w:val="auto"/>
        </w:rPr>
        <w:t>Section 5.12(b)(ii)(E)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58</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03" w:name="page204"/>
    <w:bookmarkEnd w:id="203"/>
    <w:p>
      <w:pPr>
        <w:jc w:val="both"/>
        <w:ind w:firstLine="1529"/>
        <w:spacing w:after="0" w:line="264" w:lineRule="auto"/>
        <w:tabs>
          <w:tab w:leader="none" w:pos="1779"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RIC Diversification Requirements</w:t>
      </w:r>
      <w:r>
        <w:rPr>
          <w:rFonts w:ascii="Arial" w:cs="Arial" w:eastAsia="Arial" w:hAnsi="Arial"/>
          <w:sz w:val="18"/>
          <w:szCs w:val="18"/>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81"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Calculation of Borrowing Base</w:t>
      </w:r>
      <w:r>
        <w:rPr>
          <w:rFonts w:ascii="Arial" w:cs="Arial" w:eastAsia="Arial" w:hAnsi="Arial"/>
          <w:sz w:val="18"/>
          <w:szCs w:val="18"/>
          <w:color w:val="auto"/>
        </w:rPr>
        <w:t>. For purposes of this Agreement, the “</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shall be determined, as at any date of determination, as the sum of the Advance Rates of the Value of each Portfolio Investment (excluding any Cash Collateral held by the Administrative Agent pursuant to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or the last paragraph of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jc w:val="both"/>
        <w:ind w:firstLine="1529"/>
        <w:spacing w:after="0" w:line="286" w:lineRule="auto"/>
        <w:tabs>
          <w:tab w:leader="none" w:pos="1771"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Advance Rate applicable to that portion of the aggregate Value of the Portfolio Investments of all issuers in a consolidated group of corporations or other entities (collectively, a “</w:t>
      </w:r>
      <w:r>
        <w:rPr>
          <w:rFonts w:ascii="Arial" w:cs="Arial" w:eastAsia="Arial" w:hAnsi="Arial"/>
          <w:sz w:val="17"/>
          <w:szCs w:val="17"/>
          <w:u w:val="single" w:color="auto"/>
          <w:color w:val="auto"/>
        </w:rPr>
        <w:t>Consolidated Group</w:t>
      </w:r>
      <w:r>
        <w:rPr>
          <w:rFonts w:ascii="Arial" w:cs="Arial" w:eastAsia="Arial" w:hAnsi="Arial"/>
          <w:sz w:val="17"/>
          <w:szCs w:val="17"/>
          <w:color w:val="auto"/>
        </w:rPr>
        <w:t>”), in accordance with GAAP, that exceeds 6% of the aggregate Value of all Portfolio Investments in the Collateral Pool as of the end of the most recent quarter shall be 50% of the Advance Rate otherwise applicable;</w:t>
      </w:r>
    </w:p>
    <w:p>
      <w:pPr>
        <w:spacing w:after="0" w:line="165" w:lineRule="exact"/>
        <w:rPr>
          <w:rFonts w:ascii="Arial" w:cs="Arial" w:eastAsia="Arial" w:hAnsi="Arial"/>
          <w:sz w:val="17"/>
          <w:szCs w:val="17"/>
          <w:color w:val="auto"/>
        </w:rPr>
      </w:pPr>
    </w:p>
    <w:p>
      <w:pPr>
        <w:ind w:right="20" w:firstLine="1529"/>
        <w:spacing w:after="0" w:line="308" w:lineRule="auto"/>
        <w:tabs>
          <w:tab w:leader="none" w:pos="177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pacing w:after="0" w:line="146" w:lineRule="exact"/>
        <w:rPr>
          <w:rFonts w:ascii="Arial" w:cs="Arial" w:eastAsia="Arial" w:hAnsi="Arial"/>
          <w:sz w:val="17"/>
          <w:szCs w:val="17"/>
          <w:color w:val="auto"/>
        </w:rPr>
      </w:pPr>
    </w:p>
    <w:p>
      <w:pPr>
        <w:jc w:val="both"/>
        <w:ind w:firstLine="1529"/>
        <w:spacing w:after="0" w:line="255" w:lineRule="auto"/>
        <w:tabs>
          <w:tab w:leader="none" w:pos="177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p>
    <w:p>
      <w:pPr>
        <w:spacing w:after="0" w:line="193" w:lineRule="exact"/>
        <w:rPr>
          <w:rFonts w:ascii="Arial" w:cs="Arial" w:eastAsia="Arial" w:hAnsi="Arial"/>
          <w:sz w:val="18"/>
          <w:szCs w:val="18"/>
          <w:color w:val="auto"/>
        </w:rPr>
      </w:pPr>
    </w:p>
    <w:p>
      <w:pPr>
        <w:jc w:val="both"/>
        <w:ind w:firstLine="1529"/>
        <w:spacing w:after="0" w:line="286" w:lineRule="auto"/>
        <w:tabs>
          <w:tab w:leader="none" w:pos="1781" w:val="left"/>
        </w:tabs>
        <w:numPr>
          <w:ilvl w:val="0"/>
          <w:numId w:val="222"/>
        </w:numPr>
        <w:rPr>
          <w:rFonts w:ascii="Arial" w:cs="Arial" w:eastAsia="Arial" w:hAnsi="Arial"/>
          <w:sz w:val="17"/>
          <w:szCs w:val="17"/>
          <w:color w:val="auto"/>
        </w:rPr>
      </w:pPr>
      <w:r>
        <w:rPr>
          <w:rFonts w:ascii="Arial" w:cs="Arial" w:eastAsia="Arial" w:hAnsi="Arial"/>
          <w:sz w:val="17"/>
          <w:szCs w:val="17"/>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65" w:lineRule="exact"/>
        <w:rPr>
          <w:rFonts w:ascii="Arial" w:cs="Arial" w:eastAsia="Arial" w:hAnsi="Arial"/>
          <w:sz w:val="17"/>
          <w:szCs w:val="17"/>
          <w:color w:val="auto"/>
        </w:rPr>
      </w:pPr>
    </w:p>
    <w:p>
      <w:pPr>
        <w:ind w:firstLine="1529"/>
        <w:spacing w:after="0" w:line="277" w:lineRule="auto"/>
        <w:tabs>
          <w:tab w:leader="none" w:pos="18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70" w:lineRule="exact"/>
        <w:rPr>
          <w:rFonts w:ascii="Arial" w:cs="Arial" w:eastAsia="Arial" w:hAnsi="Arial"/>
          <w:sz w:val="18"/>
          <w:szCs w:val="18"/>
          <w:color w:val="auto"/>
        </w:rPr>
      </w:pPr>
    </w:p>
    <w:p>
      <w:pPr>
        <w:ind w:firstLine="1529"/>
        <w:spacing w:after="0" w:line="277" w:lineRule="auto"/>
        <w:tabs>
          <w:tab w:leader="none" w:pos="176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Equity Interests shall not exceed 10% (it being understood that in no event shall Equity Interests of Financing Subsidiaries be included in the Borrowing Base);</w:t>
      </w:r>
    </w:p>
    <w:p>
      <w:pPr>
        <w:spacing w:after="0" w:line="170" w:lineRule="exact"/>
        <w:rPr>
          <w:rFonts w:ascii="Arial" w:cs="Arial" w:eastAsia="Arial" w:hAnsi="Arial"/>
          <w:sz w:val="18"/>
          <w:szCs w:val="18"/>
          <w:color w:val="auto"/>
        </w:rPr>
      </w:pPr>
    </w:p>
    <w:p>
      <w:pPr>
        <w:jc w:val="both"/>
        <w:ind w:firstLine="1529"/>
        <w:spacing w:after="0" w:line="264" w:lineRule="auto"/>
        <w:tabs>
          <w:tab w:leader="none" w:pos="178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 and</w:t>
      </w:r>
    </w:p>
    <w:p>
      <w:pPr>
        <w:spacing w:after="0" w:line="181" w:lineRule="exact"/>
        <w:rPr>
          <w:rFonts w:ascii="Arial" w:cs="Arial" w:eastAsia="Arial" w:hAnsi="Arial"/>
          <w:sz w:val="18"/>
          <w:szCs w:val="18"/>
          <w:color w:val="auto"/>
        </w:rPr>
      </w:pPr>
    </w:p>
    <w:p>
      <w:pPr>
        <w:jc w:val="both"/>
        <w:ind w:firstLine="1529"/>
        <w:spacing w:after="0" w:line="264" w:lineRule="auto"/>
        <w:tabs>
          <w:tab w:leader="none" w:pos="180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59</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04" w:name="page205"/>
    <w:bookmarkEnd w:id="204"/>
    <w:p>
      <w:pPr>
        <w:ind w:left="1520"/>
        <w:spacing w:after="0"/>
        <w:rPr>
          <w:sz w:val="20"/>
          <w:szCs w:val="20"/>
          <w:color w:val="auto"/>
        </w:rPr>
      </w:pPr>
      <w:r>
        <w:rPr>
          <w:rFonts w:ascii="Arial" w:cs="Arial" w:eastAsia="Arial" w:hAnsi="Arial"/>
          <w:sz w:val="18"/>
          <w:szCs w:val="18"/>
          <w:color w:val="auto"/>
        </w:rPr>
        <w:t>As used herein, the following terms have the following meanings:</w:t>
      </w:r>
    </w:p>
    <w:p>
      <w:pPr>
        <w:spacing w:after="0" w:line="225"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means, as to any Portfolio Investment and subject to adjustment as provided in </w:t>
      </w:r>
      <w:r>
        <w:rPr>
          <w:rFonts w:ascii="Arial" w:cs="Arial" w:eastAsia="Arial" w:hAnsi="Arial"/>
          <w:sz w:val="18"/>
          <w:szCs w:val="18"/>
          <w:u w:val="single" w:color="auto"/>
          <w:color w:val="auto"/>
        </w:rPr>
        <w:t>Section 5.13(a)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the following percentages with respect to such Portfolio Investment:</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81"/>
        </w:trPr>
        <w:tc>
          <w:tcPr>
            <w:tcW w:w="2080" w:type="dxa"/>
            <w:vAlign w:val="bottom"/>
          </w:tcPr>
          <w:p>
            <w:pPr>
              <w:spacing w:after="0"/>
              <w:rPr>
                <w:sz w:val="15"/>
                <w:szCs w:val="15"/>
                <w:color w:val="auto"/>
              </w:rPr>
            </w:pPr>
          </w:p>
        </w:tc>
        <w:tc>
          <w:tcPr>
            <w:tcW w:w="3280" w:type="dxa"/>
            <w:vAlign w:val="bottom"/>
            <w:gridSpan w:val="2"/>
          </w:tcPr>
          <w:p>
            <w:pPr>
              <w:spacing w:after="0"/>
              <w:rPr>
                <w:sz w:val="20"/>
                <w:szCs w:val="20"/>
                <w:color w:val="auto"/>
              </w:rPr>
            </w:pPr>
            <w:r>
              <w:rPr>
                <w:rFonts w:ascii="Arial" w:cs="Arial" w:eastAsia="Arial" w:hAnsi="Arial"/>
                <w:sz w:val="14"/>
                <w:szCs w:val="14"/>
                <w:color w:val="auto"/>
              </w:rPr>
              <w:t>Portfolio Investment</w:t>
            </w:r>
          </w:p>
        </w:tc>
        <w:tc>
          <w:tcPr>
            <w:tcW w:w="1340" w:type="dxa"/>
            <w:vAlign w:val="bottom"/>
            <w:gridSpan w:val="2"/>
          </w:tcPr>
          <w:p>
            <w:pPr>
              <w:jc w:val="right"/>
              <w:ind w:right="620"/>
              <w:spacing w:after="0"/>
              <w:rPr>
                <w:sz w:val="20"/>
                <w:szCs w:val="20"/>
                <w:color w:val="auto"/>
              </w:rPr>
            </w:pPr>
            <w:r>
              <w:rPr>
                <w:rFonts w:ascii="Arial" w:cs="Arial" w:eastAsia="Arial" w:hAnsi="Arial"/>
                <w:sz w:val="14"/>
                <w:szCs w:val="14"/>
                <w:color w:val="auto"/>
              </w:rPr>
              <w:t>Quoted</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Unquoted</w:t>
            </w:r>
          </w:p>
        </w:tc>
      </w:tr>
      <w:tr>
        <w:trPr>
          <w:trHeight w:val="189"/>
        </w:trPr>
        <w:tc>
          <w:tcPr>
            <w:tcW w:w="2080" w:type="dxa"/>
            <w:vAlign w:val="bottom"/>
          </w:tcPr>
          <w:p>
            <w:pPr>
              <w:spacing w:after="0" w:line="189" w:lineRule="exact"/>
              <w:rPr>
                <w:sz w:val="20"/>
                <w:szCs w:val="20"/>
                <w:color w:val="auto"/>
              </w:rPr>
            </w:pPr>
            <w:r>
              <w:rPr>
                <w:rFonts w:ascii="Arial" w:cs="Arial" w:eastAsia="Arial" w:hAnsi="Arial"/>
                <w:sz w:val="18"/>
                <w:szCs w:val="18"/>
                <w:color w:val="auto"/>
                <w:w w:val="90"/>
              </w:rPr>
              <w:t>Cash, Cash Equivalents and</w:t>
            </w:r>
          </w:p>
        </w:tc>
        <w:tc>
          <w:tcPr>
            <w:tcW w:w="1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0"/>
              </w:rPr>
              <w:t>Short-Term U.S.</w:t>
            </w:r>
          </w:p>
        </w:tc>
        <w:tc>
          <w:tcPr>
            <w:tcW w:w="2080" w:type="dxa"/>
            <w:vAlign w:val="bottom"/>
          </w:tcPr>
          <w:p>
            <w:pPr>
              <w:ind w:left="20"/>
              <w:spacing w:after="0" w:line="189" w:lineRule="exact"/>
              <w:rPr>
                <w:sz w:val="20"/>
                <w:szCs w:val="20"/>
                <w:color w:val="auto"/>
              </w:rPr>
            </w:pPr>
            <w:r>
              <w:rPr>
                <w:rFonts w:ascii="Arial" w:cs="Arial" w:eastAsia="Arial" w:hAnsi="Arial"/>
                <w:sz w:val="18"/>
                <w:szCs w:val="18"/>
                <w:color w:val="auto"/>
              </w:rPr>
              <w:t>Government</w:t>
            </w:r>
          </w:p>
        </w:tc>
        <w:tc>
          <w:tcPr>
            <w:tcW w:w="10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360" w:type="dxa"/>
            <w:vAlign w:val="bottom"/>
            <w:gridSpan w:val="3"/>
          </w:tcPr>
          <w:p>
            <w:pPr>
              <w:ind w:left="140"/>
              <w:spacing w:after="0"/>
              <w:rPr>
                <w:sz w:val="20"/>
                <w:szCs w:val="20"/>
                <w:color w:val="auto"/>
              </w:rPr>
            </w:pPr>
            <w:r>
              <w:rPr>
                <w:rFonts w:ascii="Arial" w:cs="Arial" w:eastAsia="Arial" w:hAnsi="Arial"/>
                <w:sz w:val="18"/>
                <w:szCs w:val="18"/>
                <w:color w:val="auto"/>
              </w:rPr>
              <w:t>Securities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Long-Term U.S. Government Securities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Performing First Lien Bank Loans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Performing Unitranche Loans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Performing Second Lien Bank Loans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Performing Cash Pay High Yield Securities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Performing Cash Pay Mezzanine Investments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Performing Non-Cash Pay High Yield Securities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Performing Non-Cash Pay Mezzanine Investments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Non-Performing First Lien Bank Loans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Non-Performing Unitranche Loans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Non-Performing Second Lien Bank Loans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Non-Performing High Yield Securities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Non-Performing Cash Pay Mezzanine Investments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Performing Common Equity (and zero cost or penny</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60" w:type="dxa"/>
            <w:vAlign w:val="bottom"/>
            <w:gridSpan w:val="3"/>
          </w:tcPr>
          <w:p>
            <w:pPr>
              <w:ind w:left="140"/>
              <w:spacing w:after="0"/>
              <w:rPr>
                <w:sz w:val="20"/>
                <w:szCs w:val="20"/>
                <w:color w:val="auto"/>
              </w:rPr>
            </w:pPr>
            <w:r>
              <w:rPr>
                <w:rFonts w:ascii="Arial" w:cs="Arial" w:eastAsia="Arial" w:hAnsi="Arial"/>
                <w:sz w:val="18"/>
                <w:szCs w:val="18"/>
                <w:color w:val="auto"/>
              </w:rPr>
              <w:t>warrants with performing debt)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Non-Performing Common Equity</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5360" w:type="dxa"/>
            <w:vAlign w:val="bottom"/>
            <w:gridSpan w:val="3"/>
          </w:tcPr>
          <w:p>
            <w:pPr>
              <w:spacing w:after="0"/>
              <w:rPr>
                <w:sz w:val="20"/>
                <w:szCs w:val="20"/>
                <w:color w:val="auto"/>
              </w:rPr>
            </w:pPr>
            <w:r>
              <w:rPr>
                <w:rFonts w:ascii="Arial" w:cs="Arial" w:eastAsia="Arial" w:hAnsi="Arial"/>
                <w:sz w:val="18"/>
                <w:szCs w:val="18"/>
                <w:color w:val="auto"/>
              </w:rPr>
              <w:t>Structured Finance Obligations and Finance Leases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242"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Loans</w:t>
      </w:r>
      <w:r>
        <w:rPr>
          <w:rFonts w:ascii="Arial" w:cs="Arial" w:eastAsia="Arial" w:hAnsi="Arial"/>
          <w:sz w:val="18"/>
          <w:szCs w:val="18"/>
          <w:color w:val="auto"/>
        </w:rPr>
        <w:t>” means debt obligations (including term loans,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w:t>
      </w:r>
    </w:p>
    <w:p>
      <w:pPr>
        <w:spacing w:after="0" w:line="181" w:lineRule="exact"/>
        <w:rPr>
          <w:sz w:val="20"/>
          <w:szCs w:val="20"/>
          <w:color w:val="auto"/>
        </w:rPr>
      </w:pPr>
    </w:p>
    <w:p>
      <w:pPr>
        <w:jc w:val="both"/>
        <w:ind w:firstLine="152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Stock</w:t>
      </w:r>
      <w:r>
        <w:rPr>
          <w:rFonts w:ascii="Arial" w:cs="Arial" w:eastAsia="Arial" w:hAnsi="Arial"/>
          <w:sz w:val="17"/>
          <w:szCs w:val="17"/>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4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Lease</w:t>
      </w:r>
      <w:r>
        <w:rPr>
          <w:rFonts w:ascii="Arial" w:cs="Arial" w:eastAsia="Arial" w:hAnsi="Arial"/>
          <w:sz w:val="18"/>
          <w:szCs w:val="18"/>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70"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Bank Loan</w:t>
      </w:r>
      <w:r>
        <w:rPr>
          <w:rFonts w:ascii="Arial" w:cs="Arial" w:eastAsia="Arial" w:hAnsi="Arial"/>
          <w:sz w:val="18"/>
          <w:szCs w:val="18"/>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81"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Yield Securities</w:t>
      </w:r>
      <w:r>
        <w:rPr>
          <w:rFonts w:ascii="Arial" w:cs="Arial" w:eastAsia="Arial" w:hAnsi="Arial"/>
          <w:sz w:val="18"/>
          <w:szCs w:val="18"/>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Long-Term U.S. Government Securities</w:t>
      </w:r>
      <w:r>
        <w:rPr>
          <w:rFonts w:ascii="Arial" w:cs="Arial" w:eastAsia="Arial" w:hAnsi="Arial"/>
          <w:sz w:val="16"/>
          <w:szCs w:val="16"/>
          <w:color w:val="auto"/>
        </w:rPr>
        <w:t>” means U.S. Government Securities maturing more than one year from the applicable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determination.</w:t>
      </w:r>
    </w:p>
    <w:p>
      <w:pPr>
        <w:spacing w:after="0" w:line="211"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Mezzanine Investments</w:t>
      </w:r>
      <w:r>
        <w:rPr>
          <w:rFonts w:ascii="Arial" w:cs="Arial" w:eastAsia="Arial" w:hAnsi="Arial"/>
          <w:sz w:val="18"/>
          <w:szCs w:val="18"/>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60</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5" w:name="page206"/>
    <w:bookmarkEnd w:id="205"/>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Common Equity</w:t>
      </w:r>
      <w:r>
        <w:rPr>
          <w:rFonts w:ascii="Arial" w:cs="Arial" w:eastAsia="Arial" w:hAnsi="Arial"/>
          <w:sz w:val="18"/>
          <w:szCs w:val="18"/>
          <w:color w:val="auto"/>
        </w:rPr>
        <w:t>” means Capital Stock (other than Preferred Stock) and warrants of an issuer having any debt outstanding that is non-Performing.</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First Lien Bank Loans</w:t>
      </w:r>
      <w:r>
        <w:rPr>
          <w:rFonts w:ascii="Arial" w:cs="Arial" w:eastAsia="Arial" w:hAnsi="Arial"/>
          <w:sz w:val="18"/>
          <w:szCs w:val="18"/>
          <w:color w:val="auto"/>
        </w:rPr>
        <w:t>” means First Lien Bank Loans other than Performing First Lien Bank Loans.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High Yield Securities</w:t>
      </w:r>
      <w:r>
        <w:rPr>
          <w:rFonts w:ascii="Arial" w:cs="Arial" w:eastAsia="Arial" w:hAnsi="Arial"/>
          <w:sz w:val="18"/>
          <w:szCs w:val="18"/>
          <w:color w:val="auto"/>
        </w:rPr>
        <w:t>” means High Yield Securities other than Performing High Yield Securities.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Mezzanine Investments</w:t>
      </w:r>
      <w:r>
        <w:rPr>
          <w:rFonts w:ascii="Arial" w:cs="Arial" w:eastAsia="Arial" w:hAnsi="Arial"/>
          <w:sz w:val="18"/>
          <w:szCs w:val="18"/>
          <w:color w:val="auto"/>
        </w:rPr>
        <w:t>” means Mezzanine Investments other than Performing Mezzanine Investments.</w:t>
      </w:r>
    </w:p>
    <w:p>
      <w:pPr>
        <w:spacing w:after="0" w:line="225"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Portfolio Investment</w:t>
      </w:r>
      <w:r>
        <w:rPr>
          <w:rFonts w:ascii="Arial" w:cs="Arial" w:eastAsia="Arial" w:hAnsi="Arial"/>
          <w:sz w:val="18"/>
          <w:szCs w:val="18"/>
          <w:color w:val="auto"/>
        </w:rPr>
        <w:t>” means Portfolio Investments for which the issuer is in default of any payment obligations of principal or interest in respect thereof after the expiration of any applicable grace period.</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Non-Performing Second Lien Bank Loans</w:t>
      </w:r>
      <w:r>
        <w:rPr>
          <w:rFonts w:ascii="Arial" w:cs="Arial" w:eastAsia="Arial" w:hAnsi="Arial"/>
          <w:sz w:val="17"/>
          <w:szCs w:val="17"/>
          <w:color w:val="auto"/>
        </w:rPr>
        <w:t>” means Second Lien Bank Loans other than Performing Second Lien Bank Loans.</w:t>
      </w:r>
    </w:p>
    <w:p>
      <w:pPr>
        <w:spacing w:after="0" w:line="23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Unitranche Loans</w:t>
      </w:r>
      <w:r>
        <w:rPr>
          <w:rFonts w:ascii="Arial" w:cs="Arial" w:eastAsia="Arial" w:hAnsi="Arial"/>
          <w:sz w:val="18"/>
          <w:szCs w:val="18"/>
          <w:color w:val="auto"/>
        </w:rPr>
        <w:t>” means Unitranche Loans other than Performing Unitranche Loans.</w:t>
      </w:r>
    </w:p>
    <w:p>
      <w:pPr>
        <w:spacing w:after="0" w:line="225"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w:t>
      </w:r>
      <w:r>
        <w:rPr>
          <w:rFonts w:ascii="Arial" w:cs="Arial" w:eastAsia="Arial" w:hAnsi="Arial"/>
          <w:sz w:val="18"/>
          <w:szCs w:val="18"/>
          <w:color w:val="auto"/>
        </w:rPr>
        <w:t>” 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87"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High Yield Securities</w:t>
      </w:r>
      <w:r>
        <w:rPr>
          <w:rFonts w:ascii="Arial" w:cs="Arial" w:eastAsia="Arial" w:hAnsi="Arial"/>
          <w:sz w:val="18"/>
          <w:szCs w:val="18"/>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81"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Mezzanine Investments</w:t>
      </w:r>
      <w:r>
        <w:rPr>
          <w:rFonts w:ascii="Arial" w:cs="Arial" w:eastAsia="Arial" w:hAnsi="Arial"/>
          <w:sz w:val="18"/>
          <w:szCs w:val="18"/>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Common Equity</w:t>
      </w:r>
      <w:r>
        <w:rPr>
          <w:rFonts w:ascii="Arial" w:cs="Arial" w:eastAsia="Arial" w:hAnsi="Arial"/>
          <w:sz w:val="16"/>
          <w:szCs w:val="16"/>
          <w:color w:val="auto"/>
        </w:rPr>
        <w:t>” means Capital Stock (other than Preferred Stock) and warrants of an issuer all of whose outstanding debt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 Performing.</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First Lien Bank Loans</w:t>
      </w:r>
      <w:r>
        <w:rPr>
          <w:rFonts w:ascii="Arial" w:cs="Arial" w:eastAsia="Arial" w:hAnsi="Arial"/>
          <w:sz w:val="18"/>
          <w:szCs w:val="18"/>
          <w:color w:val="auto"/>
        </w:rPr>
        <w:t>” means First Lien Bank Loans which are Performing.</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Non-Cash Pay High Yield Securities</w:t>
      </w:r>
      <w:r>
        <w:rPr>
          <w:rFonts w:ascii="Arial" w:cs="Arial" w:eastAsia="Arial" w:hAnsi="Arial"/>
          <w:sz w:val="16"/>
          <w:szCs w:val="16"/>
          <w:color w:val="auto"/>
        </w:rPr>
        <w:t>” means Performing High Yield Securities other than Performing Cash Pay High Yield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Non-Cash Pay Mezzanine Investments</w:t>
      </w:r>
      <w:r>
        <w:rPr>
          <w:rFonts w:ascii="Arial" w:cs="Arial" w:eastAsia="Arial" w:hAnsi="Arial"/>
          <w:sz w:val="18"/>
          <w:szCs w:val="18"/>
          <w:color w:val="auto"/>
        </w:rPr>
        <w:t>” means Performing Mezzanine Investments other than Performing Cash Pay Mezzanine Investments.</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Second Lien Bank Loans</w:t>
      </w:r>
      <w:r>
        <w:rPr>
          <w:rFonts w:ascii="Arial" w:cs="Arial" w:eastAsia="Arial" w:hAnsi="Arial"/>
          <w:sz w:val="18"/>
          <w:szCs w:val="18"/>
          <w:color w:val="auto"/>
        </w:rPr>
        <w:t>” means Second Lien Bank Loans which are Performing.</w:t>
      </w:r>
    </w:p>
    <w:p>
      <w:pPr>
        <w:spacing w:after="0" w:line="225"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87" w:lineRule="exact"/>
        <w:rPr>
          <w:sz w:val="20"/>
          <w:szCs w:val="20"/>
          <w:color w:val="auto"/>
        </w:rPr>
      </w:pPr>
    </w:p>
    <w:p>
      <w:pPr>
        <w:jc w:val="both"/>
        <w:ind w:firstLine="152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Lien Bank Loan</w:t>
      </w:r>
      <w:r>
        <w:rPr>
          <w:rFonts w:ascii="Arial" w:cs="Arial" w:eastAsia="Arial" w:hAnsi="Arial"/>
          <w:sz w:val="17"/>
          <w:szCs w:val="17"/>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200" w:lineRule="exact"/>
        <w:rPr>
          <w:sz w:val="20"/>
          <w:szCs w:val="20"/>
          <w:color w:val="auto"/>
        </w:rPr>
      </w:pPr>
    </w:p>
    <w:p>
      <w:pPr>
        <w:spacing w:after="0" w:line="379"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61</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6" w:name="page207"/>
    <w:bookmarkEnd w:id="206"/>
    <w:p>
      <w:pPr>
        <w:jc w:val="both"/>
        <w:ind w:firstLine="15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Short-Term U.S. Government Securities</w:t>
      </w:r>
      <w:r>
        <w:rPr>
          <w:rFonts w:ascii="Arial" w:cs="Arial" w:eastAsia="Arial" w:hAnsi="Arial"/>
          <w:sz w:val="17"/>
          <w:szCs w:val="17"/>
          <w:color w:val="auto"/>
        </w:rPr>
        <w:t>” means U.S. Government Securities maturing within one year of the applicable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determination.</w:t>
      </w:r>
    </w:p>
    <w:p>
      <w:pPr>
        <w:spacing w:after="0" w:line="211"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Structured Finance Obligation</w:t>
      </w:r>
      <w:r>
        <w:rPr>
          <w:rFonts w:ascii="Arial" w:cs="Arial" w:eastAsia="Arial" w:hAnsi="Arial"/>
          <w:sz w:val="18"/>
          <w:szCs w:val="18"/>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Unitranche Loan</w:t>
      </w:r>
      <w:r>
        <w:rPr>
          <w:rFonts w:ascii="Arial" w:cs="Arial" w:eastAsia="Arial" w:hAnsi="Arial"/>
          <w:sz w:val="18"/>
          <w:szCs w:val="18"/>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the Facility.</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Portfolio Investment, the lower of:</w:t>
      </w:r>
    </w:p>
    <w:p>
      <w:pPr>
        <w:spacing w:after="0" w:line="225" w:lineRule="exact"/>
        <w:rPr>
          <w:sz w:val="20"/>
          <w:szCs w:val="20"/>
          <w:color w:val="auto"/>
        </w:rPr>
      </w:pPr>
    </w:p>
    <w:p>
      <w:pPr>
        <w:ind w:left="1700" w:hanging="221"/>
        <w:spacing w:after="0"/>
        <w:tabs>
          <w:tab w:leader="none" w:pos="17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the most recent internal market value as determined pursuant to </w:t>
      </w:r>
      <w:r>
        <w:rPr>
          <w:rFonts w:ascii="Arial" w:cs="Arial" w:eastAsia="Arial" w:hAnsi="Arial"/>
          <w:sz w:val="18"/>
          <w:szCs w:val="18"/>
          <w:u w:val="single" w:color="auto"/>
          <w:color w:val="auto"/>
        </w:rPr>
        <w:t>Section 5.12(b)(ii)(C)</w:t>
      </w:r>
      <w:r>
        <w:rPr>
          <w:rFonts w:ascii="Arial" w:cs="Arial" w:eastAsia="Arial" w:hAnsi="Arial"/>
          <w:sz w:val="18"/>
          <w:szCs w:val="18"/>
          <w:color w:val="auto"/>
        </w:rPr>
        <w:t xml:space="preserve"> and</w:t>
      </w:r>
    </w:p>
    <w:p>
      <w:pPr>
        <w:spacing w:after="0" w:line="225" w:lineRule="exact"/>
        <w:rPr>
          <w:rFonts w:ascii="Arial" w:cs="Arial" w:eastAsia="Arial" w:hAnsi="Arial"/>
          <w:sz w:val="18"/>
          <w:szCs w:val="18"/>
          <w:color w:val="auto"/>
        </w:rPr>
      </w:pPr>
    </w:p>
    <w:p>
      <w:pPr>
        <w:ind w:left="1740" w:hanging="261"/>
        <w:spacing w:after="0"/>
        <w:tabs>
          <w:tab w:leader="none" w:pos="17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the most recent external market value as determined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8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Subject to the last sentence of this </w:t>
      </w:r>
      <w:r>
        <w:rPr>
          <w:rFonts w:ascii="Arial" w:cs="Arial" w:eastAsia="Arial" w:hAnsi="Arial"/>
          <w:sz w:val="17"/>
          <w:szCs w:val="17"/>
          <w:u w:val="single" w:color="auto"/>
          <w:color w:val="auto"/>
        </w:rPr>
        <w:t>Section 6.01</w:t>
      </w:r>
      <w:r>
        <w:rPr>
          <w:rFonts w:ascii="Arial" w:cs="Arial" w:eastAsia="Arial" w:hAnsi="Arial"/>
          <w:sz w:val="17"/>
          <w:szCs w:val="17"/>
          <w:color w:val="auto"/>
        </w:rPr>
        <w:t>, the Borrower will not, nor will it permit any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Subsidiary Guarantors to, create, incur, assume or permit to exist any Indebtedness, except:</w:t>
      </w:r>
    </w:p>
    <w:p>
      <w:pPr>
        <w:spacing w:after="0" w:line="211" w:lineRule="exact"/>
        <w:rPr>
          <w:sz w:val="20"/>
          <w:szCs w:val="20"/>
          <w:color w:val="auto"/>
        </w:rPr>
      </w:pPr>
    </w:p>
    <w:p>
      <w:pPr>
        <w:ind w:left="1780" w:hanging="251"/>
        <w:spacing w:after="0"/>
        <w:tabs>
          <w:tab w:leader="none" w:pos="17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Indebtedness created hereunder;</w:t>
      </w:r>
    </w:p>
    <w:p>
      <w:pPr>
        <w:spacing w:after="0" w:line="225" w:lineRule="exact"/>
        <w:rPr>
          <w:rFonts w:ascii="Arial" w:cs="Arial" w:eastAsia="Arial" w:hAnsi="Arial"/>
          <w:sz w:val="18"/>
          <w:szCs w:val="18"/>
          <w:color w:val="auto"/>
        </w:rPr>
      </w:pPr>
    </w:p>
    <w:p>
      <w:pPr>
        <w:jc w:val="both"/>
        <w:ind w:firstLine="1529"/>
        <w:spacing w:after="0" w:line="257" w:lineRule="auto"/>
        <w:tabs>
          <w:tab w:leader="none" w:pos="18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Arial" w:cs="Arial" w:eastAsia="Arial" w:hAnsi="Arial"/>
          <w:sz w:val="18"/>
          <w:szCs w:val="18"/>
          <w:u w:val="single" w:color="auto"/>
          <w:color w:val="auto"/>
        </w:rPr>
        <w:t>Section 6.07(b)</w:t>
      </w:r>
      <w:r>
        <w:rPr>
          <w:rFonts w:ascii="Arial" w:cs="Arial" w:eastAsia="Arial" w:hAnsi="Arial"/>
          <w:sz w:val="18"/>
          <w:szCs w:val="18"/>
          <w:color w:val="auto"/>
        </w:rPr>
        <w:t>, and (iii) prior to and immediately after giving effect to the incurrence of any Secured Longer-Term Indebtedness, the Covered Debt Amount does not or would not exceed the Borrowing Base then in effect;</w:t>
      </w:r>
    </w:p>
    <w:p>
      <w:pPr>
        <w:spacing w:after="0" w:line="188" w:lineRule="exact"/>
        <w:rPr>
          <w:rFonts w:ascii="Arial" w:cs="Arial" w:eastAsia="Arial" w:hAnsi="Arial"/>
          <w:sz w:val="18"/>
          <w:szCs w:val="18"/>
          <w:color w:val="auto"/>
        </w:rPr>
      </w:pPr>
    </w:p>
    <w:p>
      <w:pPr>
        <w:ind w:left="1780" w:hanging="251"/>
        <w:spacing w:after="0"/>
        <w:tabs>
          <w:tab w:leader="none" w:pos="17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Other Permitted Indebtedness;</w:t>
      </w:r>
    </w:p>
    <w:p>
      <w:pPr>
        <w:spacing w:after="0" w:line="225" w:lineRule="exact"/>
        <w:rPr>
          <w:rFonts w:ascii="Arial" w:cs="Arial" w:eastAsia="Arial" w:hAnsi="Arial"/>
          <w:sz w:val="18"/>
          <w:szCs w:val="18"/>
          <w:color w:val="auto"/>
        </w:rPr>
      </w:pPr>
    </w:p>
    <w:p>
      <w:pPr>
        <w:ind w:left="1780" w:hanging="251"/>
        <w:spacing w:after="0"/>
        <w:tabs>
          <w:tab w:leader="none" w:pos="17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Guarantees of Indebtedness otherwise permitted hereunder;</w:t>
      </w:r>
    </w:p>
    <w:p>
      <w:pPr>
        <w:spacing w:after="0" w:line="225" w:lineRule="exact"/>
        <w:rPr>
          <w:rFonts w:ascii="Arial" w:cs="Arial" w:eastAsia="Arial" w:hAnsi="Arial"/>
          <w:sz w:val="18"/>
          <w:szCs w:val="18"/>
          <w:color w:val="auto"/>
        </w:rPr>
      </w:pPr>
    </w:p>
    <w:p>
      <w:pPr>
        <w:ind w:firstLine="1529"/>
        <w:spacing w:after="0" w:line="277" w:lineRule="auto"/>
        <w:tabs>
          <w:tab w:leader="none" w:pos="176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Indebtedness of any Obligor owing to any other Obligor or, if such Indebtedness is subject to subordination terms and conditions that are satisfactory to the Administrative Agent, any other Subsidiary of the Borrower;</w:t>
      </w:r>
    </w:p>
    <w:p>
      <w:pPr>
        <w:spacing w:after="0" w:line="170" w:lineRule="exact"/>
        <w:rPr>
          <w:rFonts w:ascii="Arial" w:cs="Arial" w:eastAsia="Arial" w:hAnsi="Arial"/>
          <w:sz w:val="18"/>
          <w:szCs w:val="18"/>
          <w:color w:val="auto"/>
        </w:rPr>
      </w:pPr>
    </w:p>
    <w:p>
      <w:pPr>
        <w:ind w:left="1760" w:hanging="231"/>
        <w:spacing w:after="0"/>
        <w:tabs>
          <w:tab w:leader="none" w:pos="17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Indebtedness of Financing Subsidiaries;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62</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7" w:name="page208"/>
    <w:bookmarkEnd w:id="207"/>
    <w:p>
      <w:pPr>
        <w:ind w:left="1780" w:hanging="251"/>
        <w:spacing w:after="0"/>
        <w:tabs>
          <w:tab w:leader="none" w:pos="17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repurchase obligations arising in the ordinary course of business with respect to U.S. Government Securities;</w:t>
      </w:r>
    </w:p>
    <w:p>
      <w:pPr>
        <w:spacing w:after="0" w:line="225" w:lineRule="exact"/>
        <w:rPr>
          <w:rFonts w:ascii="Arial" w:cs="Arial" w:eastAsia="Arial" w:hAnsi="Arial"/>
          <w:sz w:val="18"/>
          <w:szCs w:val="18"/>
          <w:color w:val="auto"/>
        </w:rPr>
      </w:pPr>
    </w:p>
    <w:p>
      <w:pPr>
        <w:ind w:left="1800" w:hanging="271"/>
        <w:spacing w:after="0"/>
        <w:tabs>
          <w:tab w:leader="none" w:pos="18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obligations payable to clearing agencies, brokers or dealers in connection with the purchase or sale of securities in the ordinary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course of business;</w:t>
      </w:r>
    </w:p>
    <w:p>
      <w:pPr>
        <w:spacing w:after="0" w:line="211" w:lineRule="exact"/>
        <w:rPr>
          <w:sz w:val="20"/>
          <w:szCs w:val="20"/>
          <w:color w:val="auto"/>
        </w:rPr>
      </w:pPr>
    </w:p>
    <w:p>
      <w:pPr>
        <w:jc w:val="both"/>
        <w:ind w:firstLine="1529"/>
        <w:spacing w:after="0" w:line="276" w:lineRule="auto"/>
        <w:tabs>
          <w:tab w:leader="none" w:pos="1751"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Secured Shorter-Term Indebtedness so long as (i) no Default exists at the time of the incurrence thereof, (ii) the aggregate amount (determined at the time of the incurrence of such Indebtedness) of such Indebtedness does not exceed the greater of (A) $20,000,000 and (B) 5% of Shareholders’ Equity, (iii) the aggregate amount of such Indebtedness, taken together with other then-outstanding Indebtedness, does not exceed the amount required to comply with the provisions of </w:t>
      </w:r>
      <w:r>
        <w:rPr>
          <w:rFonts w:ascii="Arial" w:cs="Arial" w:eastAsia="Arial" w:hAnsi="Arial"/>
          <w:sz w:val="17"/>
          <w:szCs w:val="17"/>
          <w:u w:val="single" w:color="auto"/>
          <w:color w:val="auto"/>
        </w:rPr>
        <w:t>Section 6.07(b)</w:t>
      </w:r>
      <w:r>
        <w:rPr>
          <w:rFonts w:ascii="Arial" w:cs="Arial" w:eastAsia="Arial" w:hAnsi="Arial"/>
          <w:sz w:val="17"/>
          <w:szCs w:val="17"/>
          <w:color w:val="auto"/>
        </w:rPr>
        <w:t>, and (iv) prior to and immediately after giving effect to the incurrence of any such Indebtedness, the Covered Debt Amount does not or would not exceed the Borrowing Base then in effect;</w:t>
      </w:r>
    </w:p>
    <w:p>
      <w:pPr>
        <w:spacing w:after="0" w:line="172" w:lineRule="exact"/>
        <w:rPr>
          <w:rFonts w:ascii="Arial" w:cs="Arial" w:eastAsia="Arial" w:hAnsi="Arial"/>
          <w:sz w:val="17"/>
          <w:szCs w:val="17"/>
          <w:color w:val="auto"/>
        </w:rPr>
      </w:pPr>
    </w:p>
    <w:p>
      <w:pPr>
        <w:ind w:left="1740" w:hanging="211"/>
        <w:spacing w:after="0"/>
        <w:tabs>
          <w:tab w:leader="none" w:pos="17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obligations (including Guarantees) in respect of Standard Securitization Undertakings;</w:t>
      </w:r>
    </w:p>
    <w:p>
      <w:pPr>
        <w:spacing w:after="0" w:line="225" w:lineRule="exact"/>
        <w:rPr>
          <w:rFonts w:ascii="Arial" w:cs="Arial" w:eastAsia="Arial" w:hAnsi="Arial"/>
          <w:sz w:val="18"/>
          <w:szCs w:val="18"/>
          <w:color w:val="auto"/>
        </w:rPr>
      </w:pPr>
    </w:p>
    <w:p>
      <w:pPr>
        <w:ind w:left="1780" w:hanging="251"/>
        <w:spacing w:after="0"/>
        <w:tabs>
          <w:tab w:leader="none" w:pos="17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Permitted SBIC Guarantees;</w:t>
      </w:r>
    </w:p>
    <w:p>
      <w:pPr>
        <w:spacing w:after="0" w:line="225" w:lineRule="exact"/>
        <w:rPr>
          <w:rFonts w:ascii="Arial" w:cs="Arial" w:eastAsia="Arial" w:hAnsi="Arial"/>
          <w:sz w:val="18"/>
          <w:szCs w:val="18"/>
          <w:color w:val="auto"/>
        </w:rPr>
      </w:pPr>
    </w:p>
    <w:p>
      <w:pPr>
        <w:ind w:left="1740" w:hanging="211"/>
        <w:spacing w:after="0"/>
        <w:tabs>
          <w:tab w:leader="none" w:pos="17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Indebtedness incurred pursuant to the 2019 Convertible Notes;</w:t>
      </w:r>
    </w:p>
    <w:p>
      <w:pPr>
        <w:spacing w:after="0" w:line="225" w:lineRule="exact"/>
        <w:rPr>
          <w:rFonts w:ascii="Arial" w:cs="Arial" w:eastAsia="Arial" w:hAnsi="Arial"/>
          <w:sz w:val="18"/>
          <w:szCs w:val="18"/>
          <w:color w:val="auto"/>
        </w:rPr>
      </w:pPr>
    </w:p>
    <w:p>
      <w:pPr>
        <w:jc w:val="both"/>
        <w:ind w:firstLine="1529"/>
        <w:spacing w:after="0" w:line="272" w:lineRule="auto"/>
        <w:tabs>
          <w:tab w:leader="none" w:pos="1864"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Unsecured Shorter-Term Indebtedness (other than Special Unsecured Indebtedness that would otherwise constitute Unsecured Shorter-Term Indebtedness) so long as (i) no Default exists at the time of the incurrence thereof, (ii) the aggregate amount (determined at the time of the incurrence of such Indebtedness) of such Indebtedness does not exceed $150,000,000, (iii) the aggregate amount (determined at the time of the incurrence of such Indebtedness) of such Indebtedness, taken together with then-outstanding Special Unsecured Indebtedness incurred pursuant to </w:t>
      </w:r>
      <w:r>
        <w:rPr>
          <w:rFonts w:ascii="Arial" w:cs="Arial" w:eastAsia="Arial" w:hAnsi="Arial"/>
          <w:sz w:val="17"/>
          <w:szCs w:val="17"/>
          <w:u w:val="single" w:color="auto"/>
          <w:color w:val="auto"/>
        </w:rPr>
        <w:t>Section 6.01(n)</w:t>
      </w:r>
      <w:r>
        <w:rPr>
          <w:rFonts w:ascii="Arial" w:cs="Arial" w:eastAsia="Arial" w:hAnsi="Arial"/>
          <w:sz w:val="17"/>
          <w:szCs w:val="17"/>
          <w:color w:val="auto"/>
        </w:rPr>
        <w:t xml:space="preserve">, does not exceed $500,000,000, (iv) the aggregate amount of such Indebtedness, taken together with other then-outstanding Indebtedness, does not exceed the amount required to comply with the provisions of </w:t>
      </w:r>
      <w:r>
        <w:rPr>
          <w:rFonts w:ascii="Arial" w:cs="Arial" w:eastAsia="Arial" w:hAnsi="Arial"/>
          <w:sz w:val="17"/>
          <w:szCs w:val="17"/>
          <w:u w:val="single" w:color="auto"/>
          <w:color w:val="auto"/>
        </w:rPr>
        <w:t>Section 6.07(b)</w:t>
      </w:r>
      <w:r>
        <w:rPr>
          <w:rFonts w:ascii="Arial" w:cs="Arial" w:eastAsia="Arial" w:hAnsi="Arial"/>
          <w:sz w:val="17"/>
          <w:szCs w:val="17"/>
          <w:color w:val="auto"/>
        </w:rPr>
        <w:t>, and (v) prior to and immediately after giving effect to the incurrence of any such Indebtedness, the Covered Debt Amount does not or would not exceed the Borrowing Base then in effect;</w:t>
      </w:r>
    </w:p>
    <w:p>
      <w:pPr>
        <w:spacing w:after="0" w:line="177" w:lineRule="exact"/>
        <w:rPr>
          <w:rFonts w:ascii="Arial" w:cs="Arial" w:eastAsia="Arial" w:hAnsi="Arial"/>
          <w:sz w:val="17"/>
          <w:szCs w:val="17"/>
          <w:color w:val="auto"/>
        </w:rPr>
      </w:pPr>
    </w:p>
    <w:p>
      <w:pPr>
        <w:jc w:val="both"/>
        <w:ind w:firstLine="1529"/>
        <w:spacing w:after="0" w:line="293" w:lineRule="auto"/>
        <w:tabs>
          <w:tab w:leader="none" w:pos="180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Special Unsecured Indebtedness so long as (i) no Default exists at the time of the incurrence thereof, (ii) the aggregate amount (determined at the time of the incurrence of such Indebtedness) of such Indebtedness does not exceed $400,000,000, (iii) the aggregate amount (determined at the time of the incurrence of such Indebtedness) of such Indebtedness, taken together with then-outstanding Unsecured Shorter-Term Indebtedness incurred pursuant to </w:t>
      </w:r>
      <w:r>
        <w:rPr>
          <w:rFonts w:ascii="Arial" w:cs="Arial" w:eastAsia="Arial" w:hAnsi="Arial"/>
          <w:sz w:val="16"/>
          <w:szCs w:val="16"/>
          <w:u w:val="single" w:color="auto"/>
          <w:color w:val="auto"/>
        </w:rPr>
        <w:t>Section 6.01(m)</w:t>
      </w:r>
      <w:r>
        <w:rPr>
          <w:rFonts w:ascii="Arial" w:cs="Arial" w:eastAsia="Arial" w:hAnsi="Arial"/>
          <w:sz w:val="16"/>
          <w:szCs w:val="16"/>
          <w:color w:val="auto"/>
        </w:rPr>
        <w:t xml:space="preserve">, does not exceed $500,000,000, (iv) the aggregate amount of such Indebtedness, taken together with other then-outstanding Indebtedness, does not exceed the amount required to comply with the provisions of </w:t>
      </w:r>
      <w:r>
        <w:rPr>
          <w:rFonts w:ascii="Arial" w:cs="Arial" w:eastAsia="Arial" w:hAnsi="Arial"/>
          <w:sz w:val="16"/>
          <w:szCs w:val="16"/>
          <w:u w:val="single" w:color="auto"/>
          <w:color w:val="auto"/>
        </w:rPr>
        <w:t>Section 6.07(b)</w:t>
      </w:r>
      <w:r>
        <w:rPr>
          <w:rFonts w:ascii="Arial" w:cs="Arial" w:eastAsia="Arial" w:hAnsi="Arial"/>
          <w:sz w:val="16"/>
          <w:szCs w:val="16"/>
          <w:color w:val="auto"/>
        </w:rPr>
        <w:t>, and (v) prior to and immediately after giving effect to the incurrence of any such Indebtedness, the Covered Debt Amount does not or would not exceed the Borrowing Base then in effect; and</w:t>
      </w:r>
    </w:p>
    <w:p>
      <w:pPr>
        <w:spacing w:after="0" w:line="164" w:lineRule="exact"/>
        <w:rPr>
          <w:rFonts w:ascii="Arial" w:cs="Arial" w:eastAsia="Arial" w:hAnsi="Arial"/>
          <w:sz w:val="16"/>
          <w:szCs w:val="16"/>
          <w:color w:val="auto"/>
        </w:rPr>
      </w:pPr>
    </w:p>
    <w:p>
      <w:pPr>
        <w:ind w:left="1780" w:hanging="251"/>
        <w:spacing w:after="0"/>
        <w:tabs>
          <w:tab w:leader="none" w:pos="178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other Indebtedness not to exceed the greater of (i) $25,000,000 and (ii) 5% of Shareholders’ Equity at any time outstanding.</w:t>
      </w:r>
    </w:p>
    <w:p>
      <w:pPr>
        <w:spacing w:after="0" w:line="237"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181" w:lineRule="exact"/>
        <w:rPr>
          <w:sz w:val="20"/>
          <w:szCs w:val="20"/>
          <w:color w:val="auto"/>
        </w:rPr>
      </w:pPr>
    </w:p>
    <w:p>
      <w:pPr>
        <w:jc w:val="both"/>
        <w:ind w:firstLine="1529"/>
        <w:spacing w:after="0" w:line="259" w:lineRule="auto"/>
        <w:tabs>
          <w:tab w:leader="none" w:pos="177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the Borrower existing on the Original Effective Date and set forth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such Lien shall extend to any other property or asset of the Borrower or any of the Subsidiary Guarantors, and (ii) any such Lien shall secure only those obligations which it secures on the Original Effective Date and extensions, renewals and replacements thereof that do not increase the outstanding principal amount thereof;</w:t>
      </w:r>
    </w:p>
    <w:p>
      <w:pPr>
        <w:spacing w:after="0" w:line="186" w:lineRule="exact"/>
        <w:rPr>
          <w:rFonts w:ascii="Arial" w:cs="Arial" w:eastAsia="Arial" w:hAnsi="Arial"/>
          <w:sz w:val="18"/>
          <w:szCs w:val="18"/>
          <w:color w:val="auto"/>
        </w:rPr>
      </w:pPr>
    </w:p>
    <w:p>
      <w:pPr>
        <w:ind w:firstLine="1529"/>
        <w:spacing w:after="0" w:line="277" w:lineRule="auto"/>
        <w:tabs>
          <w:tab w:leader="none" w:pos="178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Liens created pursuant to this Agreement (including </w:t>
      </w:r>
      <w:r>
        <w:rPr>
          <w:rFonts w:ascii="Arial" w:cs="Arial" w:eastAsia="Arial" w:hAnsi="Arial"/>
          <w:sz w:val="18"/>
          <w:szCs w:val="18"/>
          <w:u w:val="single" w:color="auto"/>
          <w:color w:val="auto"/>
        </w:rPr>
        <w:t>Section 2.19</w:t>
      </w:r>
      <w:r>
        <w:rPr>
          <w:rFonts w:ascii="Arial" w:cs="Arial" w:eastAsia="Arial" w:hAnsi="Arial"/>
          <w:sz w:val="18"/>
          <w:szCs w:val="18"/>
          <w:color w:val="auto"/>
        </w:rPr>
        <w:t>) or any of the Security Documents (including Liens in favor of the Designated Indebtedness Holders (as defined in the Guarantee and Security Agreement));</w:t>
      </w:r>
    </w:p>
    <w:p>
      <w:pPr>
        <w:spacing w:after="0" w:line="170" w:lineRule="exact"/>
        <w:rPr>
          <w:rFonts w:ascii="Arial" w:cs="Arial" w:eastAsia="Arial" w:hAnsi="Arial"/>
          <w:sz w:val="18"/>
          <w:szCs w:val="18"/>
          <w:color w:val="auto"/>
        </w:rPr>
      </w:pPr>
    </w:p>
    <w:p>
      <w:pPr>
        <w:ind w:left="1780" w:hanging="251"/>
        <w:spacing w:after="0"/>
        <w:tabs>
          <w:tab w:leader="none" w:pos="17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Liens on the assets of a Financing Subsidiary securing obligations of such Financing Subsidiary;</w:t>
      </w:r>
    </w:p>
    <w:p>
      <w:pPr>
        <w:spacing w:after="0" w:line="225" w:lineRule="exact"/>
        <w:rPr>
          <w:rFonts w:ascii="Arial" w:cs="Arial" w:eastAsia="Arial" w:hAnsi="Arial"/>
          <w:sz w:val="18"/>
          <w:szCs w:val="18"/>
          <w:color w:val="auto"/>
        </w:rPr>
      </w:pPr>
    </w:p>
    <w:p>
      <w:pPr>
        <w:ind w:firstLine="1529"/>
        <w:spacing w:after="0" w:line="277" w:lineRule="auto"/>
        <w:tabs>
          <w:tab w:leader="none" w:pos="17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Liens on Special Equity Interests included in the Portfolio Investments of the Borrower but only to the extent securing obligations in the manner provided in the definition of “</w:t>
      </w:r>
      <w:r>
        <w:rPr>
          <w:rFonts w:ascii="Arial" w:cs="Arial" w:eastAsia="Arial" w:hAnsi="Arial"/>
          <w:sz w:val="18"/>
          <w:szCs w:val="18"/>
          <w:u w:val="single" w:color="auto"/>
          <w:color w:val="auto"/>
        </w:rPr>
        <w:t>Special Equity Interests</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63</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08" w:name="page209"/>
    <w:bookmarkEnd w:id="208"/>
    <w:p>
      <w:pPr>
        <w:ind w:left="1780" w:hanging="251"/>
        <w:spacing w:after="0"/>
        <w:tabs>
          <w:tab w:leader="none" w:pos="178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Liens securing Indebtedness or other obligations in an aggregate principal amount not exceeding the greater of (i) $25,000,000 and</w:t>
      </w:r>
    </w:p>
    <w:p>
      <w:pPr>
        <w:spacing w:after="0" w:line="46" w:lineRule="exact"/>
        <w:rPr>
          <w:rFonts w:ascii="Arial" w:cs="Arial" w:eastAsia="Arial" w:hAnsi="Arial"/>
          <w:sz w:val="16"/>
          <w:szCs w:val="16"/>
          <w:color w:val="auto"/>
        </w:rPr>
      </w:pPr>
    </w:p>
    <w:p>
      <w:pPr>
        <w:jc w:val="both"/>
        <w:ind w:firstLine="8"/>
        <w:spacing w:after="0" w:line="254" w:lineRule="auto"/>
        <w:tabs>
          <w:tab w:leader="none" w:pos="26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5% of Shareholders’ Equity at any one time outstanding (which may cover Portfolio Investments, but only to the extent released from the Lien in favor of the Collateral Agent pursuant to Section 10.03 of the Guarantee and Security Agreement), so long as at the time of incurrence of such Indebtedness or other obligations, the aggregate amount of Indebtedness permitted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does not exceed the lesser of (i) the Borrowing Base and (ii) the amount required to comply with the provisions of </w:t>
      </w:r>
      <w:r>
        <w:rPr>
          <w:rFonts w:ascii="Arial" w:cs="Arial" w:eastAsia="Arial" w:hAnsi="Arial"/>
          <w:sz w:val="18"/>
          <w:szCs w:val="18"/>
          <w:u w:val="single" w:color="auto"/>
          <w:color w:val="auto"/>
        </w:rPr>
        <w:t>Section 6.07(b)</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760" w:hanging="231"/>
        <w:spacing w:after="0"/>
        <w:tabs>
          <w:tab w:leader="none" w:pos="176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rFonts w:ascii="Arial" w:cs="Arial" w:eastAsia="Arial" w:hAnsi="Arial"/>
          <w:sz w:val="18"/>
          <w:szCs w:val="18"/>
          <w:color w:val="auto"/>
        </w:rPr>
      </w:pPr>
    </w:p>
    <w:p>
      <w:pPr>
        <w:ind w:left="1780" w:hanging="251"/>
        <w:spacing w:after="0"/>
        <w:tabs>
          <w:tab w:leader="none" w:pos="17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Liens on Equity Interests in any SBIC Subsidiary created in favor of the SBA;</w:t>
      </w:r>
    </w:p>
    <w:p>
      <w:pPr>
        <w:spacing w:after="0" w:line="225" w:lineRule="exact"/>
        <w:rPr>
          <w:rFonts w:ascii="Arial" w:cs="Arial" w:eastAsia="Arial" w:hAnsi="Arial"/>
          <w:sz w:val="18"/>
          <w:szCs w:val="18"/>
          <w:color w:val="auto"/>
        </w:rPr>
      </w:pPr>
    </w:p>
    <w:p>
      <w:pPr>
        <w:ind w:left="1780" w:hanging="251"/>
        <w:spacing w:after="0"/>
        <w:tabs>
          <w:tab w:leader="none" w:pos="17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529"/>
        <w:spacing w:after="0" w:line="270" w:lineRule="auto"/>
        <w:tabs>
          <w:tab w:leader="none" w:pos="1751" w:val="left"/>
        </w:tabs>
        <w:numPr>
          <w:ilvl w:val="1"/>
          <w:numId w:val="229"/>
        </w:numPr>
        <w:rPr>
          <w:rFonts w:ascii="Arial" w:cs="Arial" w:eastAsia="Arial" w:hAnsi="Arial"/>
          <w:sz w:val="17"/>
          <w:szCs w:val="17"/>
          <w:color w:val="auto"/>
        </w:rPr>
      </w:pPr>
      <w:r>
        <w:rPr>
          <w:rFonts w:ascii="Arial" w:cs="Arial" w:eastAsia="Arial" w:hAnsi="Arial"/>
          <w:sz w:val="17"/>
          <w:szCs w:val="17"/>
          <w:color w:val="auto"/>
        </w:rPr>
        <w:t xml:space="preserve">(x) Liens securing Hedging Agreements permitted under </w:t>
      </w:r>
      <w:r>
        <w:rPr>
          <w:rFonts w:ascii="Arial" w:cs="Arial" w:eastAsia="Arial" w:hAnsi="Arial"/>
          <w:sz w:val="17"/>
          <w:szCs w:val="17"/>
          <w:u w:val="single" w:color="auto"/>
          <w:color w:val="auto"/>
        </w:rPr>
        <w:t>Section 6.04(c)</w:t>
      </w:r>
      <w:r>
        <w:rPr>
          <w:rFonts w:ascii="Arial" w:cs="Arial" w:eastAsia="Arial" w:hAnsi="Arial"/>
          <w:sz w:val="17"/>
          <w:szCs w:val="17"/>
          <w:color w:val="auto"/>
        </w:rPr>
        <w:t xml:space="preserve"> and not otherwise permitted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Arial" w:cs="Arial" w:eastAsia="Arial" w:hAnsi="Arial"/>
          <w:sz w:val="17"/>
          <w:szCs w:val="17"/>
          <w:u w:val="single" w:color="auto"/>
          <w:color w:val="auto"/>
        </w:rPr>
        <w:t>sub-clause (y)</w:t>
      </w:r>
      <w:r>
        <w:rPr>
          <w:rFonts w:ascii="Arial" w:cs="Arial" w:eastAsia="Arial" w:hAnsi="Arial"/>
          <w:sz w:val="17"/>
          <w:szCs w:val="17"/>
          <w:color w:val="auto"/>
        </w:rPr>
        <w:t xml:space="preserve"> even if such Lender has assigned all of its Loans and other interests in the Credit Agreement and thus has ceased to be a Lender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Obligor be permitted to create, incur or assume any Lien pursuant to this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increase the aggregate amount of collateral securing any Liens previously permitted under this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spacing w:after="0" w:line="181" w:lineRule="exact"/>
        <w:rPr>
          <w:rFonts w:ascii="Arial" w:cs="Arial" w:eastAsia="Arial" w:hAnsi="Arial"/>
          <w:sz w:val="17"/>
          <w:szCs w:val="17"/>
          <w:color w:val="auto"/>
        </w:rPr>
      </w:pPr>
    </w:p>
    <w:p>
      <w:pPr>
        <w:ind w:left="1740" w:hanging="211"/>
        <w:spacing w:after="0"/>
        <w:tabs>
          <w:tab w:leader="none" w:pos="174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Liens securing repurchase obligations arising in the ordinary course of business with respect to U.S. Government Securities.</w:t>
      </w:r>
    </w:p>
    <w:p>
      <w:pPr>
        <w:spacing w:after="0" w:line="237" w:lineRule="exact"/>
        <w:rPr>
          <w:sz w:val="20"/>
          <w:szCs w:val="20"/>
          <w:color w:val="auto"/>
        </w:rPr>
      </w:pPr>
    </w:p>
    <w:p>
      <w:pPr>
        <w:jc w:val="both"/>
        <w:ind w:firstLine="1521"/>
        <w:spacing w:after="0" w:line="284"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w:t>
      </w:r>
    </w:p>
    <w:p>
      <w:pPr>
        <w:spacing w:after="0" w:line="1" w:lineRule="exact"/>
        <w:rPr>
          <w:sz w:val="20"/>
          <w:szCs w:val="20"/>
          <w:color w:val="auto"/>
        </w:rPr>
      </w:pPr>
    </w:p>
    <w:p>
      <w:pPr>
        <w:ind w:left="1520" w:right="5680" w:hanging="1512"/>
        <w:spacing w:after="0" w:line="554" w:lineRule="auto"/>
        <w:tabs>
          <w:tab w:leader="none" w:pos="25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clauses (d)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xml:space="preserve"> below, Portfolio Investments. Notwithstanding the foregoing provisions of this Section:</w:t>
      </w:r>
    </w:p>
    <w:p>
      <w:pPr>
        <w:jc w:val="both"/>
        <w:ind w:firstLine="1529"/>
        <w:spacing w:after="0" w:line="264" w:lineRule="auto"/>
        <w:tabs>
          <w:tab w:leader="none" w:pos="18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any Subsidiary Guarantor of the Borrower may be merged or consolidated with or into the Borrower or any 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transaction shall be between a Subsidiary Guarantor and a wholly owned Subsidiary Guarantor, the wholly owned Subsidiary Guarantor shall be the continuing or surviving corporation;</w:t>
      </w:r>
    </w:p>
    <w:p>
      <w:pPr>
        <w:spacing w:after="0" w:line="181" w:lineRule="exact"/>
        <w:rPr>
          <w:rFonts w:ascii="Arial" w:cs="Arial" w:eastAsia="Arial" w:hAnsi="Arial"/>
          <w:sz w:val="18"/>
          <w:szCs w:val="18"/>
          <w:color w:val="auto"/>
        </w:rPr>
      </w:pPr>
    </w:p>
    <w:p>
      <w:pPr>
        <w:ind w:firstLine="1529"/>
        <w:spacing w:after="0" w:line="277" w:lineRule="auto"/>
        <w:tabs>
          <w:tab w:leader="none" w:pos="1791"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Subsidiary Guarantor of the Borrower may sell, lease, transfer or otherwise dispose of any or all of its assets (upon voluntary liquidation or otherwise) to the Borrower or any wholly owned Subsidiary Guarantor of the Borrower;</w:t>
      </w:r>
    </w:p>
    <w:p>
      <w:pPr>
        <w:spacing w:after="0" w:line="170" w:lineRule="exact"/>
        <w:rPr>
          <w:rFonts w:ascii="Arial" w:cs="Arial" w:eastAsia="Arial" w:hAnsi="Arial"/>
          <w:sz w:val="18"/>
          <w:szCs w:val="18"/>
          <w:color w:val="auto"/>
        </w:rPr>
      </w:pPr>
    </w:p>
    <w:p>
      <w:pPr>
        <w:ind w:firstLine="1529"/>
        <w:spacing w:after="0" w:line="277" w:lineRule="auto"/>
        <w:tabs>
          <w:tab w:leader="none" w:pos="177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capital stock of any Subsidiary of the Borrower may be sold, transferred or otherwise disposed of to the Borrower or any wholly owned Subsidiary Guarantor of the Borrower;</w:t>
      </w:r>
    </w:p>
    <w:p>
      <w:pPr>
        <w:spacing w:after="0" w:line="170" w:lineRule="exact"/>
        <w:rPr>
          <w:rFonts w:ascii="Arial" w:cs="Arial" w:eastAsia="Arial" w:hAnsi="Arial"/>
          <w:sz w:val="18"/>
          <w:szCs w:val="18"/>
          <w:color w:val="auto"/>
        </w:rPr>
      </w:pPr>
    </w:p>
    <w:p>
      <w:pPr>
        <w:jc w:val="both"/>
        <w:ind w:firstLine="1529"/>
        <w:spacing w:after="0" w:line="259" w:lineRule="auto"/>
        <w:tabs>
          <w:tab w:leader="none" w:pos="1786"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64</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9" w:name="page210"/>
    <w:bookmarkEnd w:id="209"/>
    <w:p>
      <w:pPr>
        <w:jc w:val="both"/>
        <w:ind w:firstLine="1529"/>
        <w:spacing w:after="0" w:line="273" w:lineRule="auto"/>
        <w:tabs>
          <w:tab w:leader="none" w:pos="178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78" w:lineRule="exact"/>
        <w:rPr>
          <w:rFonts w:ascii="Arial" w:cs="Arial" w:eastAsia="Arial" w:hAnsi="Arial"/>
          <w:sz w:val="17"/>
          <w:szCs w:val="17"/>
          <w:color w:val="auto"/>
        </w:rPr>
      </w:pPr>
    </w:p>
    <w:p>
      <w:pPr>
        <w:jc w:val="both"/>
        <w:ind w:firstLine="1529"/>
        <w:spacing w:after="0" w:line="264" w:lineRule="auto"/>
        <w:tabs>
          <w:tab w:leader="none" w:pos="175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Borrower may merge or consolidate with, or acquire all or substantially all of the assets of, any other Person so long as (i) the Borrower is the continuing or surviving entity in such transaction and (ii) at the time thereof and after giving effect thereto, no Default shall have occurred or be continuing; and</w:t>
      </w:r>
    </w:p>
    <w:p>
      <w:pPr>
        <w:spacing w:after="0" w:line="181" w:lineRule="exact"/>
        <w:rPr>
          <w:rFonts w:ascii="Arial" w:cs="Arial" w:eastAsia="Arial" w:hAnsi="Arial"/>
          <w:sz w:val="18"/>
          <w:szCs w:val="18"/>
          <w:color w:val="auto"/>
        </w:rPr>
      </w:pPr>
    </w:p>
    <w:p>
      <w:pPr>
        <w:jc w:val="both"/>
        <w:ind w:firstLine="1529"/>
        <w:spacing w:after="0" w:line="264" w:lineRule="auto"/>
        <w:tabs>
          <w:tab w:leader="none" w:pos="178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Borrower and each of the Subsidiary Guarantors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181" w:lineRule="exact"/>
        <w:rPr>
          <w:sz w:val="20"/>
          <w:szCs w:val="20"/>
          <w:color w:val="auto"/>
        </w:rPr>
      </w:pPr>
    </w:p>
    <w:p>
      <w:pPr>
        <w:ind w:right="20" w:firstLine="1521"/>
        <w:spacing w:after="0" w:line="27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w:t>
      </w:r>
      <w:r>
        <w:rPr>
          <w:rFonts w:ascii="Arial" w:cs="Arial" w:eastAsia="Arial" w:hAnsi="Arial"/>
          <w:sz w:val="18"/>
          <w:szCs w:val="18"/>
          <w:color w:val="auto"/>
        </w:rPr>
        <w:t>. The Borrower will not, nor will it permit any of the Subsidiary Guarantors to, acquire, make or enter into, or hold, any Investments except:</w:t>
      </w:r>
    </w:p>
    <w:p>
      <w:pPr>
        <w:spacing w:after="0" w:line="170" w:lineRule="exact"/>
        <w:rPr>
          <w:sz w:val="20"/>
          <w:szCs w:val="20"/>
          <w:color w:val="auto"/>
        </w:rPr>
      </w:pPr>
    </w:p>
    <w:p>
      <w:pPr>
        <w:ind w:left="1780" w:hanging="251"/>
        <w:spacing w:after="0"/>
        <w:tabs>
          <w:tab w:leader="none" w:pos="1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operating deposit accounts with banks;</w:t>
      </w:r>
    </w:p>
    <w:p>
      <w:pPr>
        <w:spacing w:after="0" w:line="225" w:lineRule="exact"/>
        <w:rPr>
          <w:rFonts w:ascii="Arial" w:cs="Arial" w:eastAsia="Arial" w:hAnsi="Arial"/>
          <w:sz w:val="18"/>
          <w:szCs w:val="18"/>
          <w:color w:val="auto"/>
        </w:rPr>
      </w:pPr>
    </w:p>
    <w:p>
      <w:pPr>
        <w:ind w:left="1780" w:hanging="251"/>
        <w:spacing w:after="0"/>
        <w:tabs>
          <w:tab w:leader="none" w:pos="1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Investments by the Borrower and the Subsidiary Guarantors in the Borrower and the Subsidiary Guarantors;</w:t>
      </w:r>
    </w:p>
    <w:p>
      <w:pPr>
        <w:spacing w:after="0" w:line="225" w:lineRule="exact"/>
        <w:rPr>
          <w:rFonts w:ascii="Arial" w:cs="Arial" w:eastAsia="Arial" w:hAnsi="Arial"/>
          <w:sz w:val="18"/>
          <w:szCs w:val="18"/>
          <w:color w:val="auto"/>
        </w:rPr>
      </w:pPr>
    </w:p>
    <w:p>
      <w:pPr>
        <w:ind w:left="1780" w:hanging="251"/>
        <w:spacing w:after="0"/>
        <w:tabs>
          <w:tab w:leader="none" w:pos="17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Hedging Agreements entered into in the ordinary course of the Borrower’s financial planning and not for speculative purposes;</w:t>
      </w:r>
    </w:p>
    <w:p>
      <w:pPr>
        <w:spacing w:after="0" w:line="236" w:lineRule="exact"/>
        <w:rPr>
          <w:rFonts w:ascii="Arial" w:cs="Arial" w:eastAsia="Arial" w:hAnsi="Arial"/>
          <w:sz w:val="17"/>
          <w:szCs w:val="17"/>
          <w:color w:val="auto"/>
        </w:rPr>
      </w:pPr>
    </w:p>
    <w:p>
      <w:pPr>
        <w:ind w:right="20" w:firstLine="1529"/>
        <w:spacing w:after="0" w:line="277" w:lineRule="auto"/>
        <w:tabs>
          <w:tab w:leader="none" w:pos="181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70" w:lineRule="exact"/>
        <w:rPr>
          <w:rFonts w:ascii="Arial" w:cs="Arial" w:eastAsia="Arial" w:hAnsi="Arial"/>
          <w:sz w:val="18"/>
          <w:szCs w:val="18"/>
          <w:color w:val="auto"/>
        </w:rPr>
      </w:pPr>
    </w:p>
    <w:p>
      <w:pPr>
        <w:jc w:val="both"/>
        <w:ind w:firstLine="1529"/>
        <w:spacing w:after="0" w:line="312" w:lineRule="auto"/>
        <w:tabs>
          <w:tab w:leader="none" w:pos="179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Investments in Financing Subsidiaries so long as, (i) after giving effect to such Investment, the Covered Debt Amount does not exceed the Borrowing Base and (ii) the sum of (x) all Investments under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that occur after the Extended Commitment Termination Date and (y) all Investments under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below that occur after the Extended Commitment Termination Date, shall not exceed $10,000,000 in the aggregate;</w:t>
      </w:r>
    </w:p>
    <w:p>
      <w:pPr>
        <w:spacing w:after="0" w:line="146" w:lineRule="exact"/>
        <w:rPr>
          <w:rFonts w:ascii="Arial" w:cs="Arial" w:eastAsia="Arial" w:hAnsi="Arial"/>
          <w:sz w:val="16"/>
          <w:szCs w:val="16"/>
          <w:color w:val="auto"/>
        </w:rPr>
      </w:pPr>
    </w:p>
    <w:p>
      <w:pPr>
        <w:jc w:val="both"/>
        <w:ind w:firstLine="1529"/>
        <w:spacing w:after="0" w:line="264" w:lineRule="auto"/>
        <w:tabs>
          <w:tab w:leader="none" w:pos="175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additional Investments up to but not exceeding $15,000,000 in the aggregate;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sum of (x) all Investments under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that occur after the Extended Commitment Termination Date and (y) all Investments under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above that occur after the Extended Commitment Termination Date, shall not exceed $10,000,000 in the aggregate;</w:t>
      </w:r>
    </w:p>
    <w:p>
      <w:pPr>
        <w:spacing w:after="0" w:line="181" w:lineRule="exact"/>
        <w:rPr>
          <w:rFonts w:ascii="Arial" w:cs="Arial" w:eastAsia="Arial" w:hAnsi="Arial"/>
          <w:sz w:val="18"/>
          <w:szCs w:val="18"/>
          <w:color w:val="auto"/>
        </w:rPr>
      </w:pPr>
    </w:p>
    <w:p>
      <w:pPr>
        <w:ind w:left="1780" w:hanging="251"/>
        <w:spacing w:after="0"/>
        <w:tabs>
          <w:tab w:leader="none" w:pos="1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ind w:left="1780" w:hanging="251"/>
        <w:spacing w:after="0"/>
        <w:tabs>
          <w:tab w:leader="none" w:pos="1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Investments described on </w:t>
      </w:r>
      <w:r>
        <w:rPr>
          <w:rFonts w:ascii="Arial" w:cs="Arial" w:eastAsia="Arial" w:hAnsi="Arial"/>
          <w:sz w:val="18"/>
          <w:szCs w:val="18"/>
          <w:u w:val="single" w:color="auto"/>
          <w:color w:val="auto"/>
        </w:rPr>
        <w:t>Schedule 3.12(b)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40" w:hanging="211"/>
        <w:spacing w:after="0"/>
        <w:tabs>
          <w:tab w:leader="none" w:pos="17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Investments by a Financing Subsidiary; and</w:t>
      </w:r>
    </w:p>
    <w:p>
      <w:pPr>
        <w:spacing w:after="0" w:line="225" w:lineRule="exact"/>
        <w:rPr>
          <w:rFonts w:ascii="Arial" w:cs="Arial" w:eastAsia="Arial" w:hAnsi="Arial"/>
          <w:sz w:val="18"/>
          <w:szCs w:val="18"/>
          <w:color w:val="auto"/>
        </w:rPr>
      </w:pPr>
    </w:p>
    <w:p>
      <w:pPr>
        <w:ind w:left="1740" w:hanging="211"/>
        <w:spacing w:after="0"/>
        <w:tabs>
          <w:tab w:leader="none" w:pos="17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Investments in the form of Guarantees permitted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jc w:val="both"/>
        <w:ind w:firstLine="1521"/>
        <w:spacing w:after="0" w:line="273" w:lineRule="auto"/>
        <w:rPr>
          <w:sz w:val="20"/>
          <w:szCs w:val="20"/>
          <w:color w:val="auto"/>
        </w:rPr>
      </w:pPr>
      <w:r>
        <w:rPr>
          <w:rFonts w:ascii="Arial" w:cs="Arial" w:eastAsia="Arial" w:hAnsi="Arial"/>
          <w:sz w:val="17"/>
          <w:szCs w:val="17"/>
          <w:color w:val="auto"/>
        </w:rPr>
        <w:t xml:space="preserve">For purposes of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amount of dividends, distributions or other payments received in cash in respect of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65</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10" w:name="page211"/>
    <w:bookmarkEnd w:id="210"/>
    <w:p>
      <w:pPr>
        <w:ind w:right="20" w:firstLine="1521"/>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will not, nor will it permit any of the Subsidiary Guarantors to, declare or make, or agree to pay or make, directly or indirectly, any Restricted Payment, except that the Borrower may declare and pay:</w:t>
      </w:r>
    </w:p>
    <w:p>
      <w:pPr>
        <w:spacing w:after="0" w:line="170" w:lineRule="exact"/>
        <w:rPr>
          <w:sz w:val="20"/>
          <w:szCs w:val="20"/>
          <w:color w:val="auto"/>
        </w:rPr>
      </w:pPr>
    </w:p>
    <w:p>
      <w:pPr>
        <w:ind w:left="1780" w:hanging="251"/>
        <w:spacing w:after="0"/>
        <w:tabs>
          <w:tab w:leader="none" w:pos="1780" w:val="left"/>
        </w:tabs>
        <w:numPr>
          <w:ilvl w:val="3"/>
          <w:numId w:val="233"/>
        </w:numPr>
        <w:rPr>
          <w:rFonts w:ascii="Arial" w:cs="Arial" w:eastAsia="Arial" w:hAnsi="Arial"/>
          <w:sz w:val="17"/>
          <w:szCs w:val="17"/>
          <w:color w:val="auto"/>
        </w:rPr>
      </w:pPr>
      <w:r>
        <w:rPr>
          <w:rFonts w:ascii="Arial" w:cs="Arial" w:eastAsia="Arial" w:hAnsi="Arial"/>
          <w:sz w:val="17"/>
          <w:szCs w:val="17"/>
          <w:color w:val="auto"/>
        </w:rPr>
        <w:t>dividends with respect to the capital stock of the Borrower payable solely in additional shares of the Borrower’s common stock;</w:t>
      </w:r>
    </w:p>
    <w:p>
      <w:pPr>
        <w:spacing w:after="0" w:line="236" w:lineRule="exact"/>
        <w:rPr>
          <w:rFonts w:ascii="Arial" w:cs="Arial" w:eastAsia="Arial" w:hAnsi="Arial"/>
          <w:sz w:val="17"/>
          <w:szCs w:val="17"/>
          <w:color w:val="auto"/>
        </w:rPr>
      </w:pPr>
    </w:p>
    <w:p>
      <w:pPr>
        <w:jc w:val="both"/>
        <w:ind w:firstLine="1529"/>
        <w:spacing w:after="0" w:line="286" w:lineRule="auto"/>
        <w:tabs>
          <w:tab w:leader="none" w:pos="1781" w:val="left"/>
        </w:tabs>
        <w:numPr>
          <w:ilvl w:val="3"/>
          <w:numId w:val="233"/>
        </w:numPr>
        <w:rPr>
          <w:rFonts w:ascii="Arial" w:cs="Arial" w:eastAsia="Arial" w:hAnsi="Arial"/>
          <w:sz w:val="17"/>
          <w:szCs w:val="17"/>
          <w:color w:val="auto"/>
        </w:rPr>
      </w:pPr>
      <w:r>
        <w:rPr>
          <w:rFonts w:ascii="Arial" w:cs="Arial" w:eastAsia="Arial" w:hAnsi="Arial"/>
          <w:sz w:val="17"/>
          <w:szCs w:val="17"/>
          <w:color w:val="auto"/>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65" w:lineRule="exact"/>
        <w:rPr>
          <w:rFonts w:ascii="Arial" w:cs="Arial" w:eastAsia="Arial" w:hAnsi="Arial"/>
          <w:sz w:val="17"/>
          <w:szCs w:val="17"/>
          <w:color w:val="auto"/>
        </w:rPr>
      </w:pPr>
    </w:p>
    <w:p>
      <w:pPr>
        <w:jc w:val="both"/>
        <w:ind w:firstLine="1529"/>
        <w:spacing w:after="0" w:line="264" w:lineRule="auto"/>
        <w:tabs>
          <w:tab w:leader="none" w:pos="1791" w:val="left"/>
        </w:tabs>
        <w:numPr>
          <w:ilvl w:val="3"/>
          <w:numId w:val="233"/>
        </w:numPr>
        <w:rPr>
          <w:rFonts w:ascii="Arial" w:cs="Arial" w:eastAsia="Arial" w:hAnsi="Arial"/>
          <w:sz w:val="18"/>
          <w:szCs w:val="18"/>
          <w:color w:val="auto"/>
        </w:rPr>
      </w:pPr>
      <w:r>
        <w:rPr>
          <w:rFonts w:ascii="Arial" w:cs="Arial" w:eastAsia="Arial" w:hAnsi="Arial"/>
          <w:sz w:val="18"/>
          <w:szCs w:val="18"/>
          <w:color w:val="auto"/>
        </w:rPr>
        <w:t xml:space="preserve">dividends and distributions in each case in cash or other property (excluding for this purpose the Borrower’s common stock) in addition to the dividends and distributions permitted under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so long as on the date of such Restricted Payment and after giving effect thereto:</w:t>
      </w:r>
    </w:p>
    <w:p>
      <w:pPr>
        <w:spacing w:after="0" w:line="181" w:lineRule="exact"/>
        <w:rPr>
          <w:rFonts w:ascii="Arial" w:cs="Arial" w:eastAsia="Arial" w:hAnsi="Arial"/>
          <w:sz w:val="18"/>
          <w:szCs w:val="18"/>
          <w:color w:val="auto"/>
        </w:rPr>
      </w:pPr>
    </w:p>
    <w:p>
      <w:pPr>
        <w:ind w:left="1700" w:hanging="221"/>
        <w:spacing w:after="0"/>
        <w:tabs>
          <w:tab w:leader="none" w:pos="1700" w:val="left"/>
        </w:tabs>
        <w:numPr>
          <w:ilvl w:val="2"/>
          <w:numId w:val="234"/>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result therefrom; and</w:t>
      </w:r>
    </w:p>
    <w:p>
      <w:pPr>
        <w:spacing w:after="0" w:line="225" w:lineRule="exact"/>
        <w:rPr>
          <w:rFonts w:ascii="Arial" w:cs="Arial" w:eastAsia="Arial" w:hAnsi="Arial"/>
          <w:sz w:val="18"/>
          <w:szCs w:val="18"/>
          <w:color w:val="auto"/>
        </w:rPr>
      </w:pPr>
    </w:p>
    <w:p>
      <w:pPr>
        <w:ind w:left="1760" w:hanging="281"/>
        <w:spacing w:after="0"/>
        <w:tabs>
          <w:tab w:leader="none" w:pos="1760" w:val="left"/>
        </w:tabs>
        <w:numPr>
          <w:ilvl w:val="2"/>
          <w:numId w:val="234"/>
        </w:numPr>
        <w:rPr>
          <w:rFonts w:ascii="Arial" w:cs="Arial" w:eastAsia="Arial" w:hAnsi="Arial"/>
          <w:sz w:val="16"/>
          <w:szCs w:val="16"/>
          <w:color w:val="auto"/>
        </w:rPr>
      </w:pPr>
      <w:r>
        <w:rPr>
          <w:rFonts w:ascii="Arial" w:cs="Arial" w:eastAsia="Arial" w:hAnsi="Arial"/>
          <w:sz w:val="16"/>
          <w:szCs w:val="16"/>
          <w:color w:val="auto"/>
        </w:rPr>
        <w:t xml:space="preserve">the aggregate amount of Restricted Payments made during any taxable year of the Borrower after the date hereof under this </w:t>
      </w:r>
      <w:r>
        <w:rPr>
          <w:rFonts w:ascii="Arial" w:cs="Arial" w:eastAsia="Arial" w:hAnsi="Arial"/>
          <w:sz w:val="16"/>
          <w:szCs w:val="16"/>
          <w:u w:val="single" w:color="auto"/>
          <w:color w:val="auto"/>
        </w:rPr>
        <w:t>clause</w:t>
      </w:r>
    </w:p>
    <w:p>
      <w:pPr>
        <w:spacing w:after="0" w:line="46" w:lineRule="exact"/>
        <w:rPr>
          <w:rFonts w:ascii="Arial" w:cs="Arial" w:eastAsia="Arial" w:hAnsi="Arial"/>
          <w:sz w:val="16"/>
          <w:szCs w:val="16"/>
          <w:color w:val="auto"/>
        </w:rPr>
      </w:pPr>
    </w:p>
    <w:p>
      <w:pPr>
        <w:jc w:val="both"/>
        <w:ind w:left="760" w:firstLine="9"/>
        <w:spacing w:after="0" w:line="253" w:lineRule="auto"/>
        <w:tabs>
          <w:tab w:leader="none" w:pos="1017" w:val="left"/>
        </w:tabs>
        <w:numPr>
          <w:ilvl w:val="1"/>
          <w:numId w:val="235"/>
        </w:numPr>
        <w:rPr>
          <w:rFonts w:ascii="Arial" w:cs="Arial" w:eastAsia="Arial" w:hAnsi="Arial"/>
          <w:sz w:val="18"/>
          <w:szCs w:val="18"/>
          <w:u w:val="single" w:color="auto"/>
          <w:color w:val="auto"/>
        </w:rPr>
      </w:pPr>
      <w:r>
        <w:rPr>
          <w:rFonts w:ascii="Arial" w:cs="Arial" w:eastAsia="Arial" w:hAnsi="Arial"/>
          <w:sz w:val="18"/>
          <w:szCs w:val="18"/>
          <w:color w:val="auto"/>
        </w:rPr>
        <w:t xml:space="preserve">shall not exceed the difference of (x) an amount equal to 10% of the taxable income of the Borrower for such taxable year determined under section 852(b)(2) of the Code, but without regard to </w:t>
      </w:r>
      <w:r>
        <w:rPr>
          <w:rFonts w:ascii="Arial" w:cs="Arial" w:eastAsia="Arial" w:hAnsi="Arial"/>
          <w:sz w:val="18"/>
          <w:szCs w:val="18"/>
          <w:u w:val="single" w:color="auto"/>
          <w:color w:val="auto"/>
        </w:rPr>
        <w:t>subparagraphs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the amount, if any, by which dividends and distributions made during such taxable year pursuant to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such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for such taxable year.</w:t>
      </w:r>
    </w:p>
    <w:p>
      <w:pPr>
        <w:spacing w:after="0" w:line="191" w:lineRule="exact"/>
        <w:rPr>
          <w:rFonts w:ascii="Arial" w:cs="Arial" w:eastAsia="Arial" w:hAnsi="Arial"/>
          <w:sz w:val="18"/>
          <w:szCs w:val="18"/>
          <w:u w:val="single" w:color="auto"/>
          <w:color w:val="auto"/>
        </w:rPr>
      </w:pPr>
    </w:p>
    <w:p>
      <w:pPr>
        <w:jc w:val="both"/>
        <w:ind w:firstLine="1529"/>
        <w:spacing w:after="0" w:line="286" w:lineRule="auto"/>
        <w:tabs>
          <w:tab w:leader="none" w:pos="1782" w:val="left"/>
        </w:tabs>
        <w:numPr>
          <w:ilvl w:val="3"/>
          <w:numId w:val="235"/>
        </w:numPr>
        <w:rPr>
          <w:rFonts w:ascii="Arial" w:cs="Arial" w:eastAsia="Arial" w:hAnsi="Arial"/>
          <w:sz w:val="16"/>
          <w:szCs w:val="16"/>
          <w:color w:val="auto"/>
        </w:rPr>
      </w:pPr>
      <w:r>
        <w:rPr>
          <w:rFonts w:ascii="Arial" w:cs="Arial" w:eastAsia="Arial" w:hAnsi="Arial"/>
          <w:sz w:val="16"/>
          <w:szCs w:val="16"/>
          <w:color w:val="auto"/>
        </w:rPr>
        <w:t xml:space="preserve">other Restricted Payments so long as (i) on the date of such other Restricted Payment and after giving effect thereto (x) the Covered Debt Amount does not exceed 90% of the Borrowing Base and (y) no Default shall have occurred and be continuing or would result therefrom and (ii) on the date of such other Restricted Payment the Borrower delivers to the Administrative Agent and each Lender a Borrowing Base Certificate as at such date demonstrating compliance with </w:t>
      </w:r>
      <w:r>
        <w:rPr>
          <w:rFonts w:ascii="Arial" w:cs="Arial" w:eastAsia="Arial" w:hAnsi="Arial"/>
          <w:sz w:val="16"/>
          <w:szCs w:val="16"/>
          <w:u w:val="single" w:color="auto"/>
          <w:color w:val="auto"/>
        </w:rPr>
        <w:t>subclause (x)</w:t>
      </w:r>
      <w:r>
        <w:rPr>
          <w:rFonts w:ascii="Arial" w:cs="Arial" w:eastAsia="Arial" w:hAnsi="Arial"/>
          <w:sz w:val="16"/>
          <w:szCs w:val="16"/>
          <w:color w:val="auto"/>
        </w:rPr>
        <w:t xml:space="preserve"> after giving effect to such Restricted Payment. For purposes of preparing such Borrowing Base Certificate,</w:t>
      </w:r>
    </w:p>
    <w:p>
      <w:pPr>
        <w:spacing w:after="0" w:line="1" w:lineRule="exact"/>
        <w:rPr>
          <w:rFonts w:ascii="Arial" w:cs="Arial" w:eastAsia="Arial" w:hAnsi="Arial"/>
          <w:sz w:val="16"/>
          <w:szCs w:val="16"/>
          <w:color w:val="auto"/>
        </w:rPr>
      </w:pPr>
    </w:p>
    <w:p>
      <w:pPr>
        <w:jc w:val="both"/>
        <w:ind w:firstLine="8"/>
        <w:spacing w:after="0" w:line="271" w:lineRule="auto"/>
        <w:tabs>
          <w:tab w:leader="none" w:pos="314"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the fair market value of Portfolio Investments for which market quotations are readily available shall be the most recent quotation available for such Portfolio Investment and (B) the fair market value of Portfolio Investments for which market quotations are not readily available shall be the Value set forth in the Borrowing Base Certificate most recently delivered by the Borrower to the Administrative Agent and the Lenders pursuant to </w:t>
      </w:r>
      <w:r>
        <w:rPr>
          <w:rFonts w:ascii="Arial" w:cs="Arial" w:eastAsia="Arial" w:hAnsi="Arial"/>
          <w:sz w:val="17"/>
          <w:szCs w:val="17"/>
          <w:u w:val="single" w:color="auto"/>
          <w:color w:val="auto"/>
        </w:rPr>
        <w:t>Section 5.01(d)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reduce the Value of any Portfolio Investment referred to in this </w:t>
      </w:r>
      <w:r>
        <w:rPr>
          <w:rFonts w:ascii="Arial" w:cs="Arial" w:eastAsia="Arial" w:hAnsi="Arial"/>
          <w:sz w:val="17"/>
          <w:szCs w:val="17"/>
          <w:u w:val="single" w:color="auto"/>
          <w:color w:val="auto"/>
        </w:rPr>
        <w:t>sub-clause (B)</w:t>
      </w:r>
      <w:r>
        <w:rPr>
          <w:rFonts w:ascii="Arial" w:cs="Arial" w:eastAsia="Arial" w:hAnsi="Arial"/>
          <w:sz w:val="17"/>
          <w:szCs w:val="17"/>
          <w:color w:val="auto"/>
        </w:rPr>
        <w:t xml:space="preserve"> to the extent necessary to take into account any events of which the Borrower has knowledge that adversely affect the value of such Portfolio Investment.</w:t>
      </w:r>
    </w:p>
    <w:p>
      <w:pPr>
        <w:spacing w:after="0" w:line="179" w:lineRule="exact"/>
        <w:rPr>
          <w:sz w:val="20"/>
          <w:szCs w:val="20"/>
          <w:color w:val="auto"/>
        </w:rPr>
      </w:pPr>
    </w:p>
    <w:p>
      <w:pPr>
        <w:jc w:val="both"/>
        <w:ind w:right="20" w:firstLine="1521"/>
        <w:spacing w:after="0" w:line="277" w:lineRule="auto"/>
        <w:rPr>
          <w:sz w:val="20"/>
          <w:szCs w:val="20"/>
          <w:color w:val="auto"/>
        </w:rPr>
      </w:pPr>
      <w:r>
        <w:rPr>
          <w:rFonts w:ascii="Arial" w:cs="Arial" w:eastAsia="Arial" w:hAnsi="Arial"/>
          <w:sz w:val="18"/>
          <w:szCs w:val="18"/>
          <w:color w:val="auto"/>
        </w:rPr>
        <w:t>Nothing herein shall be deemed to prohibit the payment of Restricted Payments by any Subsidiary of the Borrower to the Borrower or to any other Subsidiary Guarantor.</w:t>
      </w:r>
    </w:p>
    <w:p>
      <w:pPr>
        <w:spacing w:after="0" w:line="170" w:lineRule="exact"/>
        <w:rPr>
          <w:sz w:val="20"/>
          <w:szCs w:val="20"/>
          <w:color w:val="auto"/>
        </w:rPr>
      </w:pPr>
    </w:p>
    <w:p>
      <w:pPr>
        <w:jc w:val="both"/>
        <w:ind w:firstLine="1521"/>
        <w:spacing w:after="0" w:line="270"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Certain Restrictions on Subsidiaries</w:t>
      </w:r>
      <w:r>
        <w:rPr>
          <w:rFonts w:ascii="Arial" w:cs="Arial" w:eastAsia="Arial" w:hAnsi="Arial"/>
          <w:sz w:val="17"/>
          <w:szCs w:val="17"/>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66</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1" w:name="page212"/>
    <w:bookmarkEnd w:id="211"/>
    <w:p>
      <w:pPr>
        <w:ind w:left="152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Certain Financial Covenants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64" w:lineRule="auto"/>
        <w:tabs>
          <w:tab w:leader="none" w:pos="1779"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Minimum Shareholders’ Equity</w:t>
      </w:r>
      <w:r>
        <w:rPr>
          <w:rFonts w:ascii="Arial" w:cs="Arial" w:eastAsia="Arial" w:hAnsi="Arial"/>
          <w:sz w:val="18"/>
          <w:szCs w:val="18"/>
          <w:color w:val="auto"/>
        </w:rPr>
        <w:t xml:space="preserve">. The Borrower will not permit Shareholders’ Equity at the last day of any fiscal quarter of the Borrower to be less than $500,000,000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25% of the net proceeds of the sale of Equity Interests by the Borrower and its Subsidiaries after the Fifth Amendment Effective Date (other than proceeds of sales of Equity Interests by and among the Borrower and its Subsidiaries).</w:t>
      </w:r>
    </w:p>
    <w:p>
      <w:pPr>
        <w:spacing w:after="0" w:line="181" w:lineRule="exact"/>
        <w:rPr>
          <w:rFonts w:ascii="Arial" w:cs="Arial" w:eastAsia="Arial" w:hAnsi="Arial"/>
          <w:sz w:val="18"/>
          <w:szCs w:val="18"/>
          <w:color w:val="auto"/>
        </w:rPr>
      </w:pPr>
    </w:p>
    <w:p>
      <w:pPr>
        <w:ind w:firstLine="1529"/>
        <w:spacing w:after="0" w:line="277" w:lineRule="auto"/>
        <w:tabs>
          <w:tab w:leader="none" w:pos="1776"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Asset Coverage Ratio</w:t>
      </w:r>
      <w:r>
        <w:rPr>
          <w:rFonts w:ascii="Arial" w:cs="Arial" w:eastAsia="Arial" w:hAnsi="Arial"/>
          <w:sz w:val="18"/>
          <w:szCs w:val="18"/>
          <w:color w:val="auto"/>
        </w:rPr>
        <w:t>. The Borrower will not permit the Asset Coverage Ratio at the last day of any fiscal quarter of the Borrower to be less than 2.00 to 1 at any time.</w:t>
      </w:r>
    </w:p>
    <w:p>
      <w:pPr>
        <w:spacing w:after="0" w:line="170" w:lineRule="exact"/>
        <w:rPr>
          <w:rFonts w:ascii="Arial" w:cs="Arial" w:eastAsia="Arial" w:hAnsi="Arial"/>
          <w:sz w:val="18"/>
          <w:szCs w:val="18"/>
          <w:color w:val="auto"/>
        </w:rPr>
      </w:pPr>
    </w:p>
    <w:p>
      <w:pPr>
        <w:jc w:val="both"/>
        <w:ind w:firstLine="1529"/>
        <w:spacing w:after="0" w:line="257" w:lineRule="auto"/>
        <w:tabs>
          <w:tab w:leader="none" w:pos="1779"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Liquidity Test</w:t>
      </w:r>
      <w:r>
        <w:rPr>
          <w:rFonts w:ascii="Arial" w:cs="Arial" w:eastAsia="Arial" w:hAnsi="Arial"/>
          <w:sz w:val="18"/>
          <w:szCs w:val="18"/>
          <w:color w:val="auto"/>
        </w:rPr>
        <w:t xml:space="preserve">. The Borrower will not permit (a) the sum of (i) the aggregate Value of the Portfolio Investments that are Cash (excluding Cash Collateral for outstanding Letters of Credit) or that can be converted to Cash in fewer than 10 Business Days without more than a 5% change in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amount of Relevant Available Funds that can be converted to Cash in fewer than 10 Business Days, to be less than (b) 10% of the Covered Debt Amount, for more than 30 consecutive Business Days during any period when the Adjusted Covered Debt Balance is greater than 90% of the Adjusted Borrowing Base.</w:t>
      </w:r>
    </w:p>
    <w:p>
      <w:pPr>
        <w:spacing w:after="0" w:line="188" w:lineRule="exact"/>
        <w:rPr>
          <w:sz w:val="20"/>
          <w:szCs w:val="20"/>
          <w:color w:val="auto"/>
        </w:rPr>
      </w:pPr>
    </w:p>
    <w:p>
      <w:pPr>
        <w:jc w:val="both"/>
        <w:ind w:firstLine="1521"/>
        <w:spacing w:after="0" w:line="271"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xml:space="preserve">.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(d) the transactions provided in the Affiliate Agreements, (e) transactions described on </w:t>
      </w:r>
      <w:r>
        <w:rPr>
          <w:rFonts w:ascii="Arial" w:cs="Arial" w:eastAsia="Arial" w:hAnsi="Arial"/>
          <w:sz w:val="17"/>
          <w:szCs w:val="17"/>
          <w:u w:val="single" w:color="auto"/>
          <w:color w:val="auto"/>
        </w:rPr>
        <w:t>Schedule 6.08</w:t>
      </w:r>
      <w:r>
        <w:rPr>
          <w:rFonts w:ascii="Arial" w:cs="Arial" w:eastAsia="Arial" w:hAnsi="Arial"/>
          <w:sz w:val="17"/>
          <w:szCs w:val="17"/>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not less favorable to the Obligors than could be obtained at the time on an arm’s-length basis from unrelated third parties.</w:t>
      </w:r>
    </w:p>
    <w:p>
      <w:pPr>
        <w:spacing w:after="0" w:line="179"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Lines of Business</w:t>
      </w:r>
      <w:r>
        <w:rPr>
          <w:rFonts w:ascii="Arial" w:cs="Arial" w:eastAsia="Arial" w:hAnsi="Arial"/>
          <w:sz w:val="18"/>
          <w:szCs w:val="18"/>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81" w:lineRule="exact"/>
        <w:rPr>
          <w:sz w:val="20"/>
          <w:szCs w:val="20"/>
          <w:color w:val="auto"/>
        </w:rPr>
      </w:pPr>
    </w:p>
    <w:p>
      <w:pPr>
        <w:jc w:val="both"/>
        <w:ind w:firstLine="1521"/>
        <w:spacing w:after="0" w:line="287"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No Further Negative Pledge</w:t>
      </w:r>
      <w:r>
        <w:rPr>
          <w:rFonts w:ascii="Arial" w:cs="Arial" w:eastAsia="Arial" w:hAnsi="Arial"/>
          <w:sz w:val="16"/>
          <w:szCs w:val="16"/>
          <w:color w:val="auto"/>
        </w:rPr>
        <w:t xml:space="preserve">. The Borrower will not, and will not permit any of the Subsidiary Guarantors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6.01(b), (i)</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(n)</w:t>
      </w:r>
      <w:r>
        <w:rPr>
          <w:rFonts w:ascii="Arial" w:cs="Arial" w:eastAsia="Arial" w:hAnsi="Arial"/>
          <w:sz w:val="16"/>
          <w:szCs w:val="16"/>
          <w:color w:val="auto"/>
        </w:rPr>
        <w:t xml:space="preserve">; (b) covenants in documents creating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73"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Modifications of Longer-Term Indebtedness Documents</w:t>
      </w:r>
      <w:r>
        <w:rPr>
          <w:rFonts w:ascii="Arial" w:cs="Arial" w:eastAsia="Arial" w:hAnsi="Arial"/>
          <w:sz w:val="18"/>
          <w:szCs w:val="18"/>
          <w:color w:val="auto"/>
        </w:rPr>
        <w:t>. The Borrower will not consent to any modification, supplement or waiver of:</w:t>
      </w:r>
    </w:p>
    <w:p>
      <w:pPr>
        <w:spacing w:after="0" w:line="170" w:lineRule="exact"/>
        <w:rPr>
          <w:sz w:val="20"/>
          <w:szCs w:val="20"/>
          <w:color w:val="auto"/>
        </w:rPr>
      </w:pPr>
    </w:p>
    <w:p>
      <w:pPr>
        <w:jc w:val="both"/>
        <w:ind w:firstLine="1529"/>
        <w:spacing w:after="0" w:line="289" w:lineRule="auto"/>
        <w:tabs>
          <w:tab w:leader="none" w:pos="181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Agreement, unless (i) in the case of Secured Longer 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200" w:lineRule="exact"/>
        <w:rPr>
          <w:sz w:val="20"/>
          <w:szCs w:val="20"/>
          <w:color w:val="auto"/>
        </w:rPr>
      </w:pPr>
    </w:p>
    <w:p>
      <w:pPr>
        <w:spacing w:after="0" w:line="399"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67</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2" w:name="page213"/>
    <w:bookmarkEnd w:id="212"/>
    <w:p>
      <w:pPr>
        <w:jc w:val="both"/>
        <w:ind w:firstLine="1529"/>
        <w:spacing w:after="0" w:line="264" w:lineRule="auto"/>
        <w:tabs>
          <w:tab w:leader="none" w:pos="177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81" w:lineRule="exact"/>
        <w:rPr>
          <w:sz w:val="20"/>
          <w:szCs w:val="20"/>
          <w:color w:val="auto"/>
        </w:rPr>
      </w:pPr>
    </w:p>
    <w:p>
      <w:pPr>
        <w:jc w:val="both"/>
        <w:ind w:firstLine="1521"/>
        <w:spacing w:after="0" w:line="285"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Payments of Longer-Term Indebtedness and 2019 Convertible Notes</w:t>
      </w:r>
      <w:r>
        <w:rPr>
          <w:rFonts w:ascii="Arial" w:cs="Arial" w:eastAsia="Arial" w:hAnsi="Arial"/>
          <w:sz w:val="16"/>
          <w:szCs w:val="16"/>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Special Unsecured Indebtedness or the 2019 Convertible Notes (other than the refinancing of Secured Longer-Term Indebtedness, Unsecured Longer-Term Indebtedness, Special Unsecured Indebtedness or the 2019 Convertible Notes with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except for (a) 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(b) so long as no Default shall exist or be continuing, any payment that, if treated as a Restricted Payment for purposes of </w:t>
      </w:r>
      <w:r>
        <w:rPr>
          <w:rFonts w:ascii="Arial" w:cs="Arial" w:eastAsia="Arial" w:hAnsi="Arial"/>
          <w:sz w:val="16"/>
          <w:szCs w:val="16"/>
          <w:u w:val="single" w:color="auto"/>
          <w:color w:val="auto"/>
        </w:rPr>
        <w:t>Section 6.05(d)</w:t>
      </w:r>
      <w:r>
        <w:rPr>
          <w:rFonts w:ascii="Arial" w:cs="Arial" w:eastAsia="Arial" w:hAnsi="Arial"/>
          <w:sz w:val="16"/>
          <w:szCs w:val="16"/>
          <w:color w:val="auto"/>
        </w:rPr>
        <w:t xml:space="preserve">, would be permitted to be made pursuant to the provisions set forth in </w:t>
      </w:r>
      <w:r>
        <w:rPr>
          <w:rFonts w:ascii="Arial" w:cs="Arial" w:eastAsia="Arial" w:hAnsi="Arial"/>
          <w:sz w:val="16"/>
          <w:szCs w:val="16"/>
          <w:u w:val="single" w:color="auto"/>
          <w:color w:val="auto"/>
        </w:rPr>
        <w:t>Section 6.05(d)</w:t>
      </w:r>
      <w:r>
        <w:rPr>
          <w:rFonts w:ascii="Arial" w:cs="Arial" w:eastAsia="Arial" w:hAnsi="Arial"/>
          <w:sz w:val="16"/>
          <w:szCs w:val="16"/>
          <w:color w:val="auto"/>
        </w:rPr>
        <w:t xml:space="preserve">; (c) voluntary payments or prepayments of Secured Longer-Term Indebtedness, so long as both before and after giving effect to such voluntary payment or prepayment (i) the Borrower is in pro forma compliance with the financial covenants set forth in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and (ii) no Default shall exist or be continuing; (d) mandatory payments, required prepayments or mandatory redemptions of the 2019 Convertible Notes and any other convertible notes constituting Unsecured Longer-Term Indebtedness or Special Unsecured Indebtedness in Cash (including any cash payment elected to be paid in connection with the settlement by the Borrower of any conversion at the option of any holder of such 2019 Convertible Notes or other convertible notes pursuant to the conversion features thereunder), so long as both before and after giving effect to such payment (i) no Event of Default shall exist or be continuing and (ii) the Covered Debt Amount does not exceed the Borrowing Base; and (e) 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spacing w:after="0" w:line="168"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Accounting Changes</w:t>
      </w:r>
      <w:r>
        <w:rPr>
          <w:rFonts w:ascii="Arial" w:cs="Arial" w:eastAsia="Arial" w:hAnsi="Arial"/>
          <w:sz w:val="18"/>
          <w:szCs w:val="18"/>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181" w:lineRule="exact"/>
        <w:rPr>
          <w:sz w:val="20"/>
          <w:szCs w:val="20"/>
          <w:color w:val="auto"/>
        </w:rPr>
      </w:pPr>
    </w:p>
    <w:p>
      <w:pPr>
        <w:jc w:val="both"/>
        <w:ind w:firstLine="1521"/>
        <w:spacing w:after="0" w:line="27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SBIC Guarantee</w:t>
      </w:r>
      <w:r>
        <w:rPr>
          <w:rFonts w:ascii="Arial" w:cs="Arial" w:eastAsia="Arial" w:hAnsi="Arial"/>
          <w:sz w:val="18"/>
          <w:szCs w:val="18"/>
          <w:color w:val="auto"/>
        </w:rPr>
        <w:t>. The Borrower will not, nor will it permit any of its Subsidiaries to, cause or permit the occurrence of any event or condition that would result in any recourse to any Obligor under any Permitted SBIC Guarantee.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225" w:lineRule="exact"/>
        <w:rPr>
          <w:sz w:val="20"/>
          <w:szCs w:val="20"/>
          <w:color w:val="auto"/>
        </w:rPr>
      </w:pPr>
    </w:p>
    <w:p>
      <w:pPr>
        <w:jc w:val="both"/>
        <w:ind w:firstLine="1529"/>
        <w:spacing w:after="0" w:line="259" w:lineRule="auto"/>
        <w:tabs>
          <w:tab w:leader="none" w:pos="176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on the Extended Commitment Termination Date or as required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2.20(b)</w:t>
      </w:r>
      <w:r>
        <w:rPr>
          <w:rFonts w:ascii="Arial" w:cs="Arial" w:eastAsia="Arial" w:hAnsi="Arial"/>
          <w:sz w:val="18"/>
          <w:szCs w:val="18"/>
          <w:color w:val="auto"/>
        </w:rPr>
        <w:t xml:space="preserve"> on the date so required;</w:t>
      </w:r>
    </w:p>
    <w:p>
      <w:pPr>
        <w:spacing w:after="0" w:line="186" w:lineRule="exact"/>
        <w:rPr>
          <w:rFonts w:ascii="Arial" w:cs="Arial" w:eastAsia="Arial" w:hAnsi="Arial"/>
          <w:sz w:val="18"/>
          <w:szCs w:val="18"/>
          <w:color w:val="auto"/>
        </w:rPr>
      </w:pPr>
    </w:p>
    <w:p>
      <w:pPr>
        <w:ind w:left="1800" w:hanging="271"/>
        <w:spacing w:after="0"/>
        <w:tabs>
          <w:tab w:leader="none" w:pos="180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 xml:space="preserve">the Borrower shall fail to pay any interest on any Loan or any fee or any other amount (other than an amount referred to in </w:t>
      </w:r>
      <w:r>
        <w:rPr>
          <w:rFonts w:ascii="Arial" w:cs="Arial" w:eastAsia="Arial" w:hAnsi="Arial"/>
          <w:sz w:val="16"/>
          <w:szCs w:val="16"/>
          <w:u w:val="single" w:color="auto"/>
          <w:color w:val="auto"/>
        </w:rPr>
        <w:t>clause</w:t>
      </w:r>
    </w:p>
    <w:p>
      <w:pPr>
        <w:spacing w:after="0" w:line="46" w:lineRule="exact"/>
        <w:rPr>
          <w:rFonts w:ascii="Arial" w:cs="Arial" w:eastAsia="Arial" w:hAnsi="Arial"/>
          <w:sz w:val="16"/>
          <w:szCs w:val="16"/>
          <w:color w:val="auto"/>
        </w:rPr>
      </w:pPr>
    </w:p>
    <w:p>
      <w:pPr>
        <w:ind w:firstLine="8"/>
        <w:spacing w:after="0" w:line="261" w:lineRule="auto"/>
        <w:tabs>
          <w:tab w:leader="none" w:pos="253" w:val="left"/>
        </w:tabs>
        <w:numPr>
          <w:ilvl w:val="0"/>
          <w:numId w:val="241"/>
        </w:numPr>
        <w:rPr>
          <w:rFonts w:ascii="Arial" w:cs="Arial" w:eastAsia="Arial" w:hAnsi="Arial"/>
          <w:sz w:val="18"/>
          <w:szCs w:val="18"/>
          <w:u w:val="single" w:color="auto"/>
          <w:color w:val="auto"/>
        </w:rPr>
      </w:pPr>
      <w:r>
        <w:rPr>
          <w:rFonts w:ascii="Arial" w:cs="Arial" w:eastAsia="Arial" w:hAnsi="Arial"/>
          <w:sz w:val="18"/>
          <w:szCs w:val="18"/>
          <w:color w:val="auto"/>
        </w:rPr>
        <w:t>of this Article) payable under this Agreement or under any other Loan Document, when and as the same shall become due and payable, and such failure shall continue unremedied for a period of five or more Business Days;</w:t>
      </w:r>
    </w:p>
    <w:p>
      <w:pPr>
        <w:spacing w:after="0" w:line="183" w:lineRule="exact"/>
        <w:rPr>
          <w:rFonts w:ascii="Arial" w:cs="Arial" w:eastAsia="Arial" w:hAnsi="Arial"/>
          <w:sz w:val="18"/>
          <w:szCs w:val="18"/>
          <w:u w:val="single" w:color="auto"/>
          <w:color w:val="auto"/>
        </w:rPr>
      </w:pPr>
    </w:p>
    <w:p>
      <w:pPr>
        <w:jc w:val="both"/>
        <w:ind w:firstLine="1529"/>
        <w:spacing w:after="0" w:line="279" w:lineRule="auto"/>
        <w:tabs>
          <w:tab w:leader="none" w:pos="1769" w:val="left"/>
        </w:tabs>
        <w:numPr>
          <w:ilvl w:val="1"/>
          <w:numId w:val="241"/>
        </w:numPr>
        <w:rPr>
          <w:rFonts w:ascii="Arial" w:cs="Arial" w:eastAsia="Arial" w:hAnsi="Arial"/>
          <w:sz w:val="17"/>
          <w:szCs w:val="17"/>
          <w:color w:val="auto"/>
        </w:rPr>
      </w:pPr>
      <w:r>
        <w:rPr>
          <w:rFonts w:ascii="Arial" w:cs="Arial" w:eastAsia="Arial" w:hAnsi="Arial"/>
          <w:sz w:val="17"/>
          <w:szCs w:val="17"/>
          <w:color w:val="auto"/>
        </w:rPr>
        <w:t>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68</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13" w:name="page214"/>
    <w:bookmarkEnd w:id="213"/>
    <w:p>
      <w:pPr>
        <w:jc w:val="both"/>
        <w:ind w:firstLine="1529"/>
        <w:spacing w:after="0" w:line="279" w:lineRule="auto"/>
        <w:tabs>
          <w:tab w:leader="none" w:pos="1781"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the Borrower shall fail to observe or perform any covenant, condition or agreement contained in (i)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(with respect to the Borrower’s existence) or </w:t>
      </w:r>
      <w:r>
        <w:rPr>
          <w:rFonts w:ascii="Arial" w:cs="Arial" w:eastAsia="Arial" w:hAnsi="Arial"/>
          <w:sz w:val="17"/>
          <w:szCs w:val="17"/>
          <w:u w:val="single" w:color="auto"/>
          <w:color w:val="auto"/>
        </w:rPr>
        <w:t>Sections 5.08(a)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any Obligor shall default in the performance of any of its obligations contained in Sections 3 and 7 of the Guarantee and Security Agreement or (ii) </w:t>
      </w:r>
      <w:r>
        <w:rPr>
          <w:rFonts w:ascii="Arial" w:cs="Arial" w:eastAsia="Arial" w:hAnsi="Arial"/>
          <w:sz w:val="17"/>
          <w:szCs w:val="17"/>
          <w:u w:val="single" w:color="auto"/>
          <w:color w:val="auto"/>
        </w:rPr>
        <w:t>Sections 5.01(e)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5.02</w:t>
      </w:r>
      <w:r>
        <w:rPr>
          <w:rFonts w:ascii="Arial" w:cs="Arial" w:eastAsia="Arial" w:hAnsi="Arial"/>
          <w:sz w:val="17"/>
          <w:szCs w:val="17"/>
          <w:color w:val="auto"/>
        </w:rPr>
        <w:t xml:space="preserve"> and such failure shall continue unremedied for a period of five or more days after notice thereof by the Administrative Agent (given at the request of any Lender) to the Borrower;</w:t>
      </w:r>
    </w:p>
    <w:p>
      <w:pPr>
        <w:spacing w:after="0" w:line="171" w:lineRule="exact"/>
        <w:rPr>
          <w:rFonts w:ascii="Arial" w:cs="Arial" w:eastAsia="Arial" w:hAnsi="Arial"/>
          <w:sz w:val="17"/>
          <w:szCs w:val="17"/>
          <w:color w:val="auto"/>
        </w:rPr>
      </w:pPr>
    </w:p>
    <w:p>
      <w:pPr>
        <w:jc w:val="both"/>
        <w:ind w:firstLine="1529"/>
        <w:spacing w:after="0" w:line="276" w:lineRule="auto"/>
        <w:tabs>
          <w:tab w:leader="none" w:pos="178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17"/>
          <w:szCs w:val="17"/>
          <w:u w:val="single" w:color="auto"/>
          <w:color w:val="auto"/>
        </w:rPr>
        <w:t>Section 5.01(e)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shall not be an Event of Default hereunder if the Borrower shall present the Administrative Agent with a reasonably feasible plan acceptable to the Required Lenders in their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72" w:lineRule="exact"/>
        <w:rPr>
          <w:rFonts w:ascii="Arial" w:cs="Arial" w:eastAsia="Arial" w:hAnsi="Arial"/>
          <w:sz w:val="17"/>
          <w:szCs w:val="17"/>
          <w:color w:val="auto"/>
        </w:rPr>
      </w:pPr>
    </w:p>
    <w:p>
      <w:pPr>
        <w:jc w:val="both"/>
        <w:ind w:firstLine="1529"/>
        <w:spacing w:after="0" w:line="286" w:lineRule="auto"/>
        <w:tabs>
          <w:tab w:leader="none" w:pos="1759"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the Borrower or any Obligor, as applicable, shall fail to observe or perform any covenant, condition or agreement contained in this Agreement (other than those specified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w:t>
      </w:r>
      <w:r>
        <w:rPr>
          <w:rFonts w:ascii="Arial" w:cs="Arial" w:eastAsia="Arial" w:hAnsi="Arial"/>
          <w:sz w:val="17"/>
          <w:szCs w:val="17"/>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65" w:lineRule="exact"/>
        <w:rPr>
          <w:rFonts w:ascii="Arial" w:cs="Arial" w:eastAsia="Arial" w:hAnsi="Arial"/>
          <w:sz w:val="17"/>
          <w:szCs w:val="17"/>
          <w:color w:val="auto"/>
        </w:rPr>
      </w:pPr>
    </w:p>
    <w:p>
      <w:pPr>
        <w:ind w:firstLine="1529"/>
        <w:spacing w:after="0" w:line="308" w:lineRule="auto"/>
        <w:tabs>
          <w:tab w:leader="none" w:pos="178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46" w:lineRule="exact"/>
        <w:rPr>
          <w:rFonts w:ascii="Arial" w:cs="Arial" w:eastAsia="Arial" w:hAnsi="Arial"/>
          <w:sz w:val="17"/>
          <w:szCs w:val="17"/>
          <w:color w:val="auto"/>
        </w:rPr>
      </w:pPr>
    </w:p>
    <w:p>
      <w:pPr>
        <w:jc w:val="both"/>
        <w:ind w:firstLine="1529"/>
        <w:spacing w:after="0" w:line="271" w:lineRule="auto"/>
        <w:tabs>
          <w:tab w:leader="none" w:pos="1777"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and that is not a result of a breach, default or other violation or failure in respect of such Material Indebtedness by the Borrower or any of its Subsidiaries after giving effect to any applicable grace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78" w:lineRule="exact"/>
        <w:rPr>
          <w:rFonts w:ascii="Arial" w:cs="Arial" w:eastAsia="Arial" w:hAnsi="Arial"/>
          <w:sz w:val="17"/>
          <w:szCs w:val="17"/>
          <w:color w:val="auto"/>
        </w:rPr>
      </w:pPr>
    </w:p>
    <w:p>
      <w:pPr>
        <w:jc w:val="both"/>
        <w:ind w:firstLine="1529"/>
        <w:spacing w:after="0" w:line="255" w:lineRule="auto"/>
        <w:tabs>
          <w:tab w:leader="none" w:pos="173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93" w:lineRule="exact"/>
        <w:rPr>
          <w:rFonts w:ascii="Arial" w:cs="Arial" w:eastAsia="Arial" w:hAnsi="Arial"/>
          <w:sz w:val="18"/>
          <w:szCs w:val="18"/>
          <w:color w:val="auto"/>
        </w:rPr>
      </w:pPr>
    </w:p>
    <w:p>
      <w:pPr>
        <w:jc w:val="both"/>
        <w:ind w:firstLine="1529"/>
        <w:spacing w:after="0" w:line="255" w:lineRule="auto"/>
        <w:tabs>
          <w:tab w:leader="none" w:pos="173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9" w:lineRule="exact"/>
        <w:rPr>
          <w:rFonts w:ascii="Arial" w:cs="Arial" w:eastAsia="Arial" w:hAnsi="Arial"/>
          <w:sz w:val="18"/>
          <w:szCs w:val="18"/>
          <w:color w:val="auto"/>
        </w:rPr>
      </w:pPr>
    </w:p>
    <w:p>
      <w:pPr>
        <w:ind w:right="20" w:firstLine="1529"/>
        <w:spacing w:after="0" w:line="277" w:lineRule="auto"/>
        <w:tabs>
          <w:tab w:leader="none" w:pos="17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Borrower or any of its Subsidiaries (other than Immaterial Subsidiaries) shall become unable, admit in writing its inability or fail generally to pay its debts as they become due;</w:t>
      </w:r>
    </w:p>
    <w:p>
      <w:pPr>
        <w:spacing w:after="0" w:line="170" w:lineRule="exact"/>
        <w:rPr>
          <w:rFonts w:ascii="Arial" w:cs="Arial" w:eastAsia="Arial" w:hAnsi="Arial"/>
          <w:sz w:val="18"/>
          <w:szCs w:val="18"/>
          <w:color w:val="auto"/>
        </w:rPr>
      </w:pPr>
    </w:p>
    <w:p>
      <w:pPr>
        <w:jc w:val="both"/>
        <w:ind w:firstLine="1529"/>
        <w:spacing w:after="0" w:line="259" w:lineRule="auto"/>
        <w:tabs>
          <w:tab w:leader="none" w:pos="175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$25,000,000 shall be rendered against the Borrower or any of its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69</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4" w:name="page215"/>
    <w:bookmarkEnd w:id="214"/>
    <w:p>
      <w:pPr>
        <w:ind w:right="20" w:firstLine="1529"/>
        <w:spacing w:after="0" w:line="277" w:lineRule="auto"/>
        <w:tabs>
          <w:tab w:leader="none" w:pos="183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170" w:lineRule="exact"/>
        <w:rPr>
          <w:rFonts w:ascii="Arial" w:cs="Arial" w:eastAsia="Arial" w:hAnsi="Arial"/>
          <w:sz w:val="18"/>
          <w:szCs w:val="18"/>
          <w:color w:val="auto"/>
        </w:rPr>
      </w:pPr>
    </w:p>
    <w:p>
      <w:pPr>
        <w:ind w:left="1780" w:hanging="251"/>
        <w:spacing w:after="0"/>
        <w:tabs>
          <w:tab w:leader="none" w:pos="17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ind w:left="1780" w:hanging="251"/>
        <w:spacing w:after="0"/>
        <w:tabs>
          <w:tab w:leader="none" w:pos="17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Borrower shall cease to be managed by the External Manager or an Affiliate thereof;</w:t>
      </w:r>
    </w:p>
    <w:p>
      <w:pPr>
        <w:spacing w:after="0" w:line="225" w:lineRule="exact"/>
        <w:rPr>
          <w:rFonts w:ascii="Arial" w:cs="Arial" w:eastAsia="Arial" w:hAnsi="Arial"/>
          <w:sz w:val="18"/>
          <w:szCs w:val="18"/>
          <w:color w:val="auto"/>
        </w:rPr>
      </w:pPr>
    </w:p>
    <w:p>
      <w:pPr>
        <w:jc w:val="both"/>
        <w:ind w:firstLine="1529"/>
        <w:spacing w:after="0" w:line="257" w:lineRule="auto"/>
        <w:tabs>
          <w:tab w:leader="none" w:pos="177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prior to the Extended Final Maturity Date, both of the principals of the External Manager (who initially will be Alan Waxman and Joshua Easterly) fail to remain actively involved in the investment activities of the Borrower and the other investment vehicles managed by TPG Capital, L.P.;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88" w:lineRule="exact"/>
        <w:rPr>
          <w:rFonts w:ascii="Arial" w:cs="Arial" w:eastAsia="Arial" w:hAnsi="Arial"/>
          <w:sz w:val="18"/>
          <w:szCs w:val="18"/>
          <w:color w:val="auto"/>
        </w:rPr>
      </w:pPr>
    </w:p>
    <w:p>
      <w:pPr>
        <w:jc w:val="both"/>
        <w:ind w:firstLine="1529"/>
        <w:spacing w:after="0" w:line="276" w:lineRule="auto"/>
        <w:tabs>
          <w:tab w:leader="none" w:pos="1789"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72" w:lineRule="exact"/>
        <w:rPr>
          <w:rFonts w:ascii="Arial" w:cs="Arial" w:eastAsia="Arial" w:hAnsi="Arial"/>
          <w:sz w:val="17"/>
          <w:szCs w:val="17"/>
          <w:color w:val="auto"/>
        </w:rPr>
      </w:pPr>
    </w:p>
    <w:p>
      <w:pPr>
        <w:ind w:firstLine="1529"/>
        <w:spacing w:after="0" w:line="277" w:lineRule="auto"/>
        <w:tabs>
          <w:tab w:leader="none" w:pos="175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170" w:lineRule="exact"/>
        <w:rPr>
          <w:rFonts w:ascii="Arial" w:cs="Arial" w:eastAsia="Arial" w:hAnsi="Arial"/>
          <w:sz w:val="18"/>
          <w:szCs w:val="18"/>
          <w:color w:val="auto"/>
        </w:rPr>
      </w:pPr>
    </w:p>
    <w:p>
      <w:pPr>
        <w:jc w:val="both"/>
        <w:ind w:firstLine="1529"/>
        <w:spacing w:after="0" w:line="264" w:lineRule="auto"/>
        <w:tabs>
          <w:tab w:leader="none" w:pos="177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the Obligors shall at any time, without the consent of the Required Lenders fail to comply with the covenant contained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81" w:lineRule="exact"/>
        <w:rPr>
          <w:rFonts w:ascii="Arial" w:cs="Arial" w:eastAsia="Arial" w:hAnsi="Arial"/>
          <w:sz w:val="18"/>
          <w:szCs w:val="18"/>
          <w:color w:val="auto"/>
        </w:rPr>
      </w:pPr>
    </w:p>
    <w:p>
      <w:pPr>
        <w:ind w:firstLine="1529"/>
        <w:spacing w:after="0" w:line="277" w:lineRule="auto"/>
        <w:tabs>
          <w:tab w:leader="none" w:pos="176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Borrower or any of its Subsidiaries shall cause or permit the occurrence of any condition or event that would result in any recourse to any Obligor under any Permitted SBIC Guarantee;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then, and in every such event (other than an event with respect to the Borrower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w:t>
      </w:r>
    </w:p>
    <w:p>
      <w:pPr>
        <w:jc w:val="both"/>
        <w:ind w:firstLine="8"/>
        <w:spacing w:after="0" w:line="252" w:lineRule="auto"/>
        <w:tabs>
          <w:tab w:leader="none" w:pos="27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92" w:lineRule="exact"/>
        <w:rPr>
          <w:sz w:val="20"/>
          <w:szCs w:val="20"/>
          <w:color w:val="auto"/>
        </w:rPr>
      </w:pPr>
    </w:p>
    <w:p>
      <w:pPr>
        <w:jc w:val="both"/>
        <w:ind w:firstLine="1521"/>
        <w:spacing w:after="0" w:line="273" w:lineRule="auto"/>
        <w:rPr>
          <w:sz w:val="20"/>
          <w:szCs w:val="20"/>
          <w:color w:val="auto"/>
        </w:rPr>
      </w:pPr>
      <w:r>
        <w:rPr>
          <w:rFonts w:ascii="Arial" w:cs="Arial" w:eastAsia="Arial" w:hAnsi="Arial"/>
          <w:sz w:val="17"/>
          <w:szCs w:val="17"/>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accrued and unpaid interest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this Article.</w:t>
      </w:r>
    </w:p>
    <w:p>
      <w:pPr>
        <w:spacing w:after="0" w:line="17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Notwithstanding anything to the contrary contained herein, on the CAM Exchange Date, to the extent not otherwise prohibited by law,</w:t>
      </w:r>
    </w:p>
    <w:p>
      <w:pPr>
        <w:spacing w:after="0" w:line="46" w:lineRule="exact"/>
        <w:rPr>
          <w:sz w:val="20"/>
          <w:szCs w:val="20"/>
          <w:color w:val="auto"/>
        </w:rPr>
      </w:pPr>
    </w:p>
    <w:p>
      <w:pPr>
        <w:jc w:val="both"/>
        <w:ind w:firstLine="8"/>
        <w:spacing w:after="0" w:line="254" w:lineRule="auto"/>
        <w:tabs>
          <w:tab w:leader="none" w:pos="26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the interests in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70</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15" w:name="page216"/>
    <w:bookmarkEnd w:id="215"/>
    <w:p>
      <w:pPr>
        <w:jc w:val="both"/>
        <w:spacing w:after="0" w:line="269" w:lineRule="auto"/>
        <w:rPr>
          <w:sz w:val="20"/>
          <w:szCs w:val="20"/>
          <w:color w:val="auto"/>
        </w:rPr>
      </w:pPr>
      <w:r>
        <w:rPr>
          <w:rFonts w:ascii="Arial" w:cs="Arial" w:eastAsia="Arial" w:hAnsi="Arial"/>
          <w:sz w:val="17"/>
          <w:szCs w:val="17"/>
          <w:color w:val="auto"/>
        </w:rPr>
        <w:t xml:space="preserve">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jc w:val="both"/>
        <w:ind w:firstLine="1521"/>
        <w:spacing w:after="0" w:line="273"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Appointment of the Administrative Agent</w:t>
      </w:r>
      <w:r>
        <w:rPr>
          <w:rFonts w:ascii="Arial" w:cs="Arial" w:eastAsia="Arial" w:hAnsi="Arial"/>
          <w:sz w:val="17"/>
          <w:szCs w:val="17"/>
          <w:color w:val="auto"/>
        </w:rPr>
        <w:t>.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78" w:lineRule="exact"/>
        <w:rPr>
          <w:sz w:val="20"/>
          <w:szCs w:val="20"/>
          <w:color w:val="auto"/>
        </w:rPr>
      </w:pPr>
    </w:p>
    <w:p>
      <w:pPr>
        <w:jc w:val="both"/>
        <w:ind w:firstLine="1521"/>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Capacity as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87" w:lineRule="exact"/>
        <w:rPr>
          <w:sz w:val="20"/>
          <w:szCs w:val="20"/>
          <w:color w:val="auto"/>
        </w:rPr>
      </w:pPr>
    </w:p>
    <w:p>
      <w:pPr>
        <w:jc w:val="both"/>
        <w:ind w:firstLine="1521"/>
        <w:spacing w:after="0" w:line="268"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Limitation of Duties; Exculpation</w:t>
      </w:r>
      <w:r>
        <w:rPr>
          <w:rFonts w:ascii="Arial" w:cs="Arial" w:eastAsia="Arial" w:hAnsi="Arial"/>
          <w:sz w:val="17"/>
          <w:szCs w:val="17"/>
          <w:color w:val="auto"/>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or therein, other than to confirm receipt of items expressly required to be delivered to the Administrative Agent.</w:t>
      </w:r>
    </w:p>
    <w:p>
      <w:pPr>
        <w:spacing w:after="0" w:line="181" w:lineRule="exact"/>
        <w:rPr>
          <w:sz w:val="20"/>
          <w:szCs w:val="20"/>
          <w:color w:val="auto"/>
        </w:rPr>
      </w:pPr>
    </w:p>
    <w:p>
      <w:pPr>
        <w:jc w:val="both"/>
        <w:ind w:firstLine="1521"/>
        <w:spacing w:after="0" w:line="273"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Reliance</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71</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6" w:name="page217"/>
    <w:bookmarkEnd w:id="216"/>
    <w:p>
      <w:pPr>
        <w:jc w:val="both"/>
        <w:ind w:firstLine="1521"/>
        <w:spacing w:after="0" w:line="272"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Sub-Agents</w:t>
      </w:r>
      <w:r>
        <w:rPr>
          <w:rFonts w:ascii="Arial" w:cs="Arial" w:eastAsia="Arial" w:hAnsi="Arial"/>
          <w:sz w:val="17"/>
          <w:szCs w:val="17"/>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fraud, gross negligence or willful misconduct in the selection of such sub-agents.</w:t>
      </w:r>
    </w:p>
    <w:p>
      <w:pPr>
        <w:spacing w:after="0" w:line="178" w:lineRule="exact"/>
        <w:rPr>
          <w:sz w:val="20"/>
          <w:szCs w:val="20"/>
          <w:color w:val="auto"/>
        </w:rPr>
      </w:pPr>
    </w:p>
    <w:p>
      <w:pPr>
        <w:jc w:val="both"/>
        <w:ind w:firstLine="1521"/>
        <w:spacing w:after="0" w:line="268"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Resignation; Successor Administrative Agent</w:t>
      </w:r>
      <w:r>
        <w:rPr>
          <w:rFonts w:ascii="Arial" w:cs="Arial" w:eastAsia="Arial" w:hAnsi="Arial"/>
          <w:sz w:val="17"/>
          <w:szCs w:val="17"/>
          <w:color w:val="auto"/>
        </w:rPr>
        <w:t xml:space="preserve">. The Administrative Agent may resign at any time by notifying the Lenders, the Issuing Banks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shall continue in effect for its benefit in respect of any actions taken or omitted to be taken by it while it was acting as Administrative Agent.</w:t>
      </w:r>
    </w:p>
    <w:p>
      <w:pPr>
        <w:spacing w:after="0" w:line="185" w:lineRule="exact"/>
        <w:rPr>
          <w:sz w:val="20"/>
          <w:szCs w:val="20"/>
          <w:color w:val="auto"/>
        </w:rPr>
      </w:pPr>
    </w:p>
    <w:p>
      <w:pPr>
        <w:jc w:val="both"/>
        <w:ind w:firstLine="1521"/>
        <w:spacing w:after="0" w:line="293" w:lineRule="auto"/>
        <w:rPr>
          <w:sz w:val="20"/>
          <w:szCs w:val="20"/>
          <w:color w:val="auto"/>
        </w:rPr>
      </w:pPr>
      <w:r>
        <w:rPr>
          <w:rFonts w:ascii="Arial" w:cs="Arial" w:eastAsia="Arial" w:hAnsi="Arial"/>
          <w:sz w:val="16"/>
          <w:szCs w:val="16"/>
          <w:color w:val="auto"/>
        </w:rPr>
        <w:t>Any resignation by SunTrust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65" w:lineRule="exact"/>
        <w:rPr>
          <w:sz w:val="20"/>
          <w:szCs w:val="20"/>
          <w:color w:val="auto"/>
        </w:rPr>
      </w:pPr>
    </w:p>
    <w:p>
      <w:pPr>
        <w:jc w:val="both"/>
        <w:ind w:firstLine="1521"/>
        <w:spacing w:after="0" w:line="270"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Reliance by Lenders</w:t>
      </w:r>
      <w:r>
        <w:rPr>
          <w:rFonts w:ascii="Arial" w:cs="Arial" w:eastAsia="Arial" w:hAnsi="Arial"/>
          <w:sz w:val="17"/>
          <w:szCs w:val="17"/>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82"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81" w:lineRule="exact"/>
        <w:rPr>
          <w:sz w:val="20"/>
          <w:szCs w:val="20"/>
          <w:color w:val="auto"/>
        </w:rPr>
      </w:pPr>
    </w:p>
    <w:p>
      <w:pPr>
        <w:jc w:val="both"/>
        <w:ind w:firstLine="1521"/>
        <w:spacing w:after="0" w:line="253"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Modifications to Loan Documents</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to release any Lien covering property that is the subject of either a disposition of property permitted hereunder or a disposition to which the Required Lenders have consented.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72</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 Electronic Communications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64" w:lineRule="auto"/>
        <w:tabs>
          <w:tab w:leader="none" w:pos="1766"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81" w:lineRule="exact"/>
        <w:rPr>
          <w:rFonts w:ascii="Arial" w:cs="Arial" w:eastAsia="Arial" w:hAnsi="Arial"/>
          <w:sz w:val="18"/>
          <w:szCs w:val="18"/>
          <w:color w:val="auto"/>
        </w:rPr>
      </w:pPr>
    </w:p>
    <w:p>
      <w:pPr>
        <w:ind w:left="2300" w:hanging="821"/>
        <w:spacing w:after="0"/>
        <w:tabs>
          <w:tab w:leader="none" w:pos="23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to the Borrower, to it at:</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TPG Specialty Lending, Inc.</w:t>
      </w:r>
    </w:p>
    <w:p>
      <w:pPr>
        <w:spacing w:after="0" w:line="2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888 Seventh Avenue, 35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Attention: Shari Withem</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Telecopy Number: (212) 430-7515</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Telephone: (212) 430-4115</w:t>
      </w:r>
    </w:p>
    <w:p>
      <w:pPr>
        <w:spacing w:after="0" w:line="211" w:lineRule="exact"/>
        <w:rPr>
          <w:sz w:val="20"/>
          <w:szCs w:val="20"/>
          <w:color w:val="auto"/>
        </w:rPr>
      </w:pPr>
    </w:p>
    <w:p>
      <w:pPr>
        <w:ind w:left="2340" w:hanging="861"/>
        <w:spacing w:after="0"/>
        <w:tabs>
          <w:tab w:leader="none" w:pos="23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to the Administrative Agent or SunTrust, in its capacity as a Swingline Lender, to it at:</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SunTrust Bank</w:t>
      </w:r>
    </w:p>
    <w:p>
      <w:pPr>
        <w:spacing w:after="0" w:line="2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3333 Peachtree Road, 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Atlanta, Georgia 30326</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Attention: Doug Kennedy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Telecopy Number: (404) 739-7390</w:t>
      </w:r>
    </w:p>
    <w:p>
      <w:pPr>
        <w:spacing w:after="0" w:line="21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Agency Services</w:t>
      </w:r>
    </w:p>
    <w:p>
      <w:pPr>
        <w:spacing w:after="0" w:line="8"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Telecopy Number: (404) 658-4906</w:t>
      </w:r>
    </w:p>
    <w:p>
      <w:pPr>
        <w:spacing w:after="0" w:line="211" w:lineRule="exact"/>
        <w:rPr>
          <w:sz w:val="20"/>
          <w:szCs w:val="20"/>
          <w:color w:val="auto"/>
        </w:rPr>
      </w:pPr>
    </w:p>
    <w:p>
      <w:pPr>
        <w:ind w:left="2400" w:hanging="921"/>
        <w:spacing w:after="0"/>
        <w:tabs>
          <w:tab w:leader="none" w:pos="24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to the SunTrust, in its capacity as Issuing Bank, to it at:</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SunTrust Bank</w:t>
      </w:r>
    </w:p>
    <w:p>
      <w:pPr>
        <w:spacing w:after="0" w:line="2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Telecopy Number: (404) 658-4906</w:t>
      </w:r>
    </w:p>
    <w:p>
      <w:pPr>
        <w:spacing w:after="0" w:line="211" w:lineRule="exact"/>
        <w:rPr>
          <w:sz w:val="20"/>
          <w:szCs w:val="20"/>
          <w:color w:val="auto"/>
        </w:rPr>
      </w:pPr>
    </w:p>
    <w:p>
      <w:pPr>
        <w:ind w:left="2380" w:hanging="901"/>
        <w:spacing w:after="0"/>
        <w:tabs>
          <w:tab w:leader="none" w:pos="23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if to JPMorgan Chase Bank, N.A., in its capacity as a Swingline Lender and an Issuing Bank:</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Ground floor, 1st to 6th floors, Platina 3, Kodbis, Floor 03</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Bengaluru, 560 103, India</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Attention: Sneha Machani</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Telecopy Number: (201) 244-3885</w:t>
      </w:r>
    </w:p>
    <w:p>
      <w:pPr>
        <w:spacing w:after="0" w:line="211" w:lineRule="exact"/>
        <w:rPr>
          <w:sz w:val="20"/>
          <w:szCs w:val="20"/>
          <w:color w:val="auto"/>
        </w:rPr>
      </w:pPr>
    </w:p>
    <w:p>
      <w:pPr>
        <w:ind w:left="2340" w:hanging="861"/>
        <w:spacing w:after="0"/>
        <w:tabs>
          <w:tab w:leader="none" w:pos="23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218" w:name="page219"/>
    <w:bookmarkEnd w:id="218"/>
    <w:p>
      <w:pPr>
        <w:jc w:val="both"/>
        <w:ind w:firstLine="1521"/>
        <w:spacing w:after="0" w:line="259" w:lineRule="auto"/>
        <w:rPr>
          <w:sz w:val="20"/>
          <w:szCs w:val="20"/>
          <w:color w:val="auto"/>
        </w:rPr>
      </w:pPr>
      <w:r>
        <w:rPr>
          <w:rFonts w:ascii="Arial" w:cs="Arial" w:eastAsia="Arial" w:hAnsi="Arial"/>
          <w:sz w:val="18"/>
          <w:szCs w:val="18"/>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said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187" w:lineRule="exact"/>
        <w:rPr>
          <w:sz w:val="20"/>
          <w:szCs w:val="20"/>
          <w:color w:val="auto"/>
        </w:rPr>
      </w:pPr>
    </w:p>
    <w:p>
      <w:pPr>
        <w:jc w:val="both"/>
        <w:ind w:firstLine="1529"/>
        <w:spacing w:after="0" w:line="293" w:lineRule="auto"/>
        <w:tabs>
          <w:tab w:leader="none" w:pos="1776"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any Issuing Bank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65" w:lineRule="exact"/>
        <w:rPr>
          <w:sz w:val="20"/>
          <w:szCs w:val="20"/>
          <w:color w:val="auto"/>
        </w:rPr>
      </w:pPr>
    </w:p>
    <w:p>
      <w:pPr>
        <w:jc w:val="both"/>
        <w:ind w:firstLine="1529"/>
        <w:spacing w:after="0" w:line="293" w:lineRule="auto"/>
        <w:tabs>
          <w:tab w:leader="none" w:pos="1801"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165" w:lineRule="exact"/>
        <w:rPr>
          <w:sz w:val="20"/>
          <w:szCs w:val="20"/>
          <w:color w:val="auto"/>
        </w:rPr>
      </w:pPr>
    </w:p>
    <w:p>
      <w:pPr>
        <w:jc w:val="both"/>
        <w:ind w:firstLine="1521"/>
        <w:spacing w:after="0" w:line="270" w:lineRule="auto"/>
        <w:rPr>
          <w:sz w:val="20"/>
          <w:szCs w:val="20"/>
          <w:color w:val="auto"/>
        </w:rPr>
      </w:pPr>
      <w:r>
        <w:rPr>
          <w:rFonts w:ascii="Arial" w:cs="Arial" w:eastAsia="Arial" w:hAnsi="Arial"/>
          <w:sz w:val="17"/>
          <w:szCs w:val="17"/>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82" w:lineRule="exact"/>
        <w:rPr>
          <w:sz w:val="20"/>
          <w:szCs w:val="20"/>
          <w:color w:val="auto"/>
        </w:rPr>
      </w:pPr>
    </w:p>
    <w:p>
      <w:pPr>
        <w:jc w:val="both"/>
        <w:ind w:firstLine="1529"/>
        <w:spacing w:after="0" w:line="290" w:lineRule="auto"/>
        <w:tabs>
          <w:tab w:leader="none" w:pos="1766"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Private Side Information Contacts</w:t>
      </w:r>
      <w:r>
        <w:rPr>
          <w:rFonts w:ascii="Arial" w:cs="Arial" w:eastAsia="Arial" w:hAnsi="Arial"/>
          <w:sz w:val="16"/>
          <w:szCs w:val="16"/>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66" w:lineRule="exact"/>
        <w:rPr>
          <w:rFonts w:ascii="Arial" w:cs="Arial" w:eastAsia="Arial" w:hAnsi="Arial"/>
          <w:sz w:val="16"/>
          <w:szCs w:val="16"/>
          <w:color w:val="auto"/>
        </w:rPr>
      </w:pPr>
    </w:p>
    <w:p>
      <w:pPr>
        <w:jc w:val="both"/>
        <w:ind w:firstLine="1529"/>
        <w:spacing w:after="0" w:line="257" w:lineRule="auto"/>
        <w:tabs>
          <w:tab w:leader="none" w:pos="1776"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Documents to be Delivered under Sections 5.01 and 5.12(a)</w:t>
      </w:r>
      <w:r>
        <w:rPr>
          <w:rFonts w:ascii="Arial" w:cs="Arial" w:eastAsia="Arial" w:hAnsi="Arial"/>
          <w:sz w:val="18"/>
          <w:szCs w:val="18"/>
          <w:color w:val="auto"/>
        </w:rPr>
        <w:t xml:space="preserve">. For so long as an Intralinks™ or equivalent website is available to each of the Lenders hereunder, the Borrower may satisfy its obligation to deliver documents to the Administrative Agent or the Lenders under </w:t>
      </w:r>
      <w:r>
        <w:rPr>
          <w:rFonts w:ascii="Arial" w:cs="Arial" w:eastAsia="Arial" w:hAnsi="Arial"/>
          <w:sz w:val="18"/>
          <w:szCs w:val="18"/>
          <w:u w:val="single" w:color="auto"/>
          <w:color w:val="auto"/>
        </w:rPr>
        <w:t>Sections 5.01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5.12(a)</w:t>
      </w:r>
      <w:r>
        <w:rPr>
          <w:rFonts w:ascii="Arial" w:cs="Arial" w:eastAsia="Arial" w:hAnsi="Arial"/>
          <w:sz w:val="18"/>
          <w:szCs w:val="18"/>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have no responsibility to maintain access to Intralinks™ or an equivalent website.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9" w:name="page220"/>
    <w:bookmarkEnd w:id="219"/>
    <w:p>
      <w:pPr>
        <w:ind w:left="152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89" w:lineRule="auto"/>
        <w:tabs>
          <w:tab w:leader="none" w:pos="1779"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No Deemed Waivers Remedies Cumulative</w:t>
      </w:r>
      <w:r>
        <w:rPr>
          <w:rFonts w:ascii="Arial" w:cs="Arial" w:eastAsia="Arial" w:hAnsi="Arial"/>
          <w:sz w:val="16"/>
          <w:szCs w:val="16"/>
          <w:color w:val="auto"/>
        </w:rPr>
        <w:t xml:space="preserve">.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spacing w:after="0" w:line="166" w:lineRule="exact"/>
        <w:rPr>
          <w:rFonts w:ascii="Arial" w:cs="Arial" w:eastAsia="Arial" w:hAnsi="Arial"/>
          <w:sz w:val="16"/>
          <w:szCs w:val="16"/>
          <w:color w:val="auto"/>
        </w:rPr>
      </w:pPr>
    </w:p>
    <w:p>
      <w:pPr>
        <w:jc w:val="both"/>
        <w:ind w:firstLine="1529"/>
        <w:spacing w:after="0" w:line="264" w:lineRule="auto"/>
        <w:tabs>
          <w:tab w:leader="none" w:pos="1789"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Amendments to this Agreement</w:t>
      </w:r>
      <w:r>
        <w:rPr>
          <w:rFonts w:ascii="Arial" w:cs="Arial" w:eastAsia="Arial" w:hAnsi="Arial"/>
          <w:sz w:val="18"/>
          <w:szCs w:val="18"/>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spacing w:after="0" w:line="181" w:lineRule="exact"/>
        <w:rPr>
          <w:rFonts w:ascii="Arial" w:cs="Arial" w:eastAsia="Arial" w:hAnsi="Arial"/>
          <w:sz w:val="18"/>
          <w:szCs w:val="18"/>
          <w:color w:val="auto"/>
        </w:rPr>
      </w:pPr>
    </w:p>
    <w:p>
      <w:pPr>
        <w:ind w:left="1700" w:hanging="221"/>
        <w:spacing w:after="0"/>
        <w:tabs>
          <w:tab w:leader="none" w:pos="17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increase the Commitment of any Lender without the written consent of such Lender,</w:t>
      </w:r>
    </w:p>
    <w:p>
      <w:pPr>
        <w:spacing w:after="0" w:line="225" w:lineRule="exact"/>
        <w:rPr>
          <w:rFonts w:ascii="Arial" w:cs="Arial" w:eastAsia="Arial" w:hAnsi="Arial"/>
          <w:sz w:val="18"/>
          <w:szCs w:val="18"/>
          <w:color w:val="auto"/>
        </w:rPr>
      </w:pPr>
    </w:p>
    <w:p>
      <w:pPr>
        <w:ind w:left="760" w:firstLine="719"/>
        <w:spacing w:after="0" w:line="277" w:lineRule="auto"/>
        <w:tabs>
          <w:tab w:leader="none" w:pos="176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reduce the principal amount of any Loan or LC Disbursement or reduce the rate of interest thereon, or reduce any fees payable hereunder, without the written consent of each Lender affected thereby,</w:t>
      </w:r>
    </w:p>
    <w:p>
      <w:pPr>
        <w:spacing w:after="0" w:line="170" w:lineRule="exact"/>
        <w:rPr>
          <w:rFonts w:ascii="Arial" w:cs="Arial" w:eastAsia="Arial" w:hAnsi="Arial"/>
          <w:sz w:val="18"/>
          <w:szCs w:val="18"/>
          <w:color w:val="auto"/>
        </w:rPr>
      </w:pPr>
    </w:p>
    <w:p>
      <w:pPr>
        <w:jc w:val="both"/>
        <w:ind w:left="760" w:firstLine="719"/>
        <w:spacing w:after="0" w:line="264" w:lineRule="auto"/>
        <w:tabs>
          <w:tab w:leader="none" w:pos="18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181" w:lineRule="exact"/>
        <w:rPr>
          <w:rFonts w:ascii="Arial" w:cs="Arial" w:eastAsia="Arial" w:hAnsi="Arial"/>
          <w:sz w:val="18"/>
          <w:szCs w:val="18"/>
          <w:color w:val="auto"/>
        </w:rPr>
      </w:pPr>
    </w:p>
    <w:p>
      <w:pPr>
        <w:ind w:left="760" w:firstLine="719"/>
        <w:spacing w:after="0" w:line="277" w:lineRule="auto"/>
        <w:tabs>
          <w:tab w:leader="none" w:pos="177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 a manner that would alter the pro rata sharing of payments required thereby without the written consent of each Lender affected thereby, or</w:t>
      </w:r>
    </w:p>
    <w:p>
      <w:pPr>
        <w:spacing w:after="0" w:line="170" w:lineRule="exact"/>
        <w:rPr>
          <w:rFonts w:ascii="Arial" w:cs="Arial" w:eastAsia="Arial" w:hAnsi="Arial"/>
          <w:sz w:val="18"/>
          <w:szCs w:val="18"/>
          <w:color w:val="auto"/>
        </w:rPr>
      </w:pPr>
    </w:p>
    <w:p>
      <w:pPr>
        <w:jc w:val="both"/>
        <w:ind w:left="760" w:firstLine="719"/>
        <w:spacing w:after="0" w:line="264" w:lineRule="auto"/>
        <w:tabs>
          <w:tab w:leader="none" w:pos="172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81" w:lineRule="exact"/>
        <w:rPr>
          <w:sz w:val="20"/>
          <w:szCs w:val="20"/>
          <w:color w:val="auto"/>
        </w:rPr>
      </w:pPr>
    </w:p>
    <w:p>
      <w:pPr>
        <w:jc w:val="both"/>
        <w:ind w:firstLine="1521"/>
        <w:spacing w:after="0" w:line="28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(x)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and (y) 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Arial" w:cs="Arial" w:eastAsia="Arial" w:hAnsi="Arial"/>
          <w:sz w:val="16"/>
          <w:szCs w:val="16"/>
          <w:u w:val="single" w:color="auto"/>
          <w:color w:val="auto"/>
        </w:rPr>
        <w:t>Section 5.12(b)(ii)(E)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but including changes to the provisions of </w:t>
      </w:r>
      <w:r>
        <w:rPr>
          <w:rFonts w:ascii="Arial" w:cs="Arial" w:eastAsia="Arial" w:hAnsi="Arial"/>
          <w:sz w:val="16"/>
          <w:szCs w:val="16"/>
          <w:u w:val="single" w:color="auto"/>
          <w:color w:val="auto"/>
        </w:rPr>
        <w:t>Section 5.12(c)(ii)</w:t>
      </w:r>
      <w:r>
        <w:rPr>
          <w:rFonts w:ascii="Arial" w:cs="Arial" w:eastAsia="Arial" w:hAnsi="Arial"/>
          <w:sz w:val="16"/>
          <w:szCs w:val="16"/>
          <w:color w:val="auto"/>
        </w:rPr>
        <w:t xml:space="preserve"> and the definitions set forth in </w:t>
      </w:r>
      <w:r>
        <w:rPr>
          <w:rFonts w:ascii="Arial" w:cs="Arial" w:eastAsia="Arial" w:hAnsi="Arial"/>
          <w:sz w:val="16"/>
          <w:szCs w:val="16"/>
          <w:u w:val="single" w:color="auto"/>
          <w:color w:val="auto"/>
        </w:rPr>
        <w:t>Section 5.13</w:t>
      </w:r>
      <w:r>
        <w:rPr>
          <w:rFonts w:ascii="Arial" w:cs="Arial" w:eastAsia="Arial" w:hAnsi="Arial"/>
          <w:sz w:val="16"/>
          <w:szCs w:val="16"/>
          <w:color w:val="auto"/>
        </w:rPr>
        <w:t>), and</w:t>
      </w:r>
    </w:p>
    <w:p>
      <w:pPr>
        <w:spacing w:after="0" w:line="2" w:lineRule="exact"/>
        <w:rPr>
          <w:sz w:val="20"/>
          <w:szCs w:val="20"/>
          <w:color w:val="auto"/>
        </w:rPr>
      </w:pPr>
    </w:p>
    <w:p>
      <w:pPr>
        <w:ind w:left="300" w:hanging="292"/>
        <w:spacing w:after="0"/>
        <w:tabs>
          <w:tab w:leader="none" w:pos="300" w:val="left"/>
        </w:tabs>
        <w:numPr>
          <w:ilvl w:val="0"/>
          <w:numId w:val="257"/>
        </w:numPr>
        <w:rPr>
          <w:rFonts w:ascii="Arial" w:cs="Arial" w:eastAsia="Arial" w:hAnsi="Arial"/>
          <w:sz w:val="16"/>
          <w:szCs w:val="16"/>
          <w:u w:val="single" w:color="auto"/>
          <w:color w:val="auto"/>
        </w:rPr>
      </w:pPr>
      <w:r>
        <w:rPr>
          <w:rFonts w:ascii="Arial" w:cs="Arial" w:eastAsia="Arial" w:hAnsi="Arial"/>
          <w:sz w:val="16"/>
          <w:szCs w:val="16"/>
          <w:color w:val="auto"/>
        </w:rPr>
        <w:t>for any release of any material portion of the Collateral other than for fair value or as otherwise permitted hereunder or under the other Loan Documents.</w:t>
      </w:r>
    </w:p>
    <w:p>
      <w:pPr>
        <w:spacing w:after="0" w:line="234" w:lineRule="exact"/>
        <w:rPr>
          <w:sz w:val="20"/>
          <w:szCs w:val="20"/>
          <w:color w:val="auto"/>
        </w:rPr>
      </w:pPr>
    </w:p>
    <w:p>
      <w:pPr>
        <w:jc w:val="both"/>
        <w:ind w:firstLine="1521"/>
        <w:spacing w:after="0" w:line="255" w:lineRule="auto"/>
        <w:rPr>
          <w:sz w:val="20"/>
          <w:szCs w:val="20"/>
          <w:color w:val="auto"/>
        </w:rPr>
      </w:pPr>
      <w:r>
        <w:rPr>
          <w:rFonts w:ascii="Arial" w:cs="Arial" w:eastAsia="Arial" w:hAnsi="Arial"/>
          <w:sz w:val="18"/>
          <w:szCs w:val="18"/>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spacing w:after="0" w:line="193" w:lineRule="exact"/>
        <w:rPr>
          <w:sz w:val="20"/>
          <w:szCs w:val="20"/>
          <w:color w:val="auto"/>
        </w:rPr>
      </w:pPr>
    </w:p>
    <w:p>
      <w:pPr>
        <w:jc w:val="both"/>
        <w:ind w:firstLine="1529"/>
        <w:spacing w:after="0" w:line="272" w:lineRule="auto"/>
        <w:tabs>
          <w:tab w:leader="none" w:pos="1766"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Amendments to Security Documents</w:t>
      </w:r>
      <w:r>
        <w:rPr>
          <w:rFonts w:ascii="Arial" w:cs="Arial" w:eastAsia="Arial" w:hAnsi="Arial"/>
          <w:sz w:val="17"/>
          <w:szCs w:val="17"/>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7"/>
          <w:szCs w:val="17"/>
          <w:u w:val="single" w:color="auto"/>
          <w:color w:val="auto"/>
        </w:rPr>
        <w:t>Section 2.08(e)</w:t>
      </w:r>
      <w:r>
        <w:rPr>
          <w:rFonts w:ascii="Arial" w:cs="Arial" w:eastAsia="Arial" w:hAnsi="Arial"/>
          <w:sz w:val="17"/>
          <w:szCs w:val="17"/>
          <w:color w:val="auto"/>
        </w:rPr>
        <w:t xml:space="preserve"> to an amount not greater than $1,250,000,000) except pursuant to an agreement or agreements in writing entered into by the Borrower, and by the Collateral Agent with the consent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75</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20" w:name="page221"/>
    <w:bookmarkEnd w:id="220"/>
    <w:p>
      <w:pPr>
        <w:jc w:val="both"/>
        <w:spacing w:after="0" w:line="255" w:lineRule="auto"/>
        <w:rPr>
          <w:sz w:val="20"/>
          <w:szCs w:val="20"/>
          <w:color w:val="auto"/>
        </w:rPr>
      </w:pPr>
      <w:r>
        <w:rPr>
          <w:rFonts w:ascii="Arial" w:cs="Arial" w:eastAsia="Arial" w:hAnsi="Arial"/>
          <w:sz w:val="18"/>
          <w:szCs w:val="18"/>
          <w:color w:val="auto"/>
        </w:rPr>
        <w:t>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to release any Lien covering property (and to release any such guarantor) that is the subject of either a disposition of property permitted hereunder or a disposition to which the Required Lenders have consented.</w:t>
      </w:r>
    </w:p>
    <w:p>
      <w:pPr>
        <w:spacing w:after="0" w:line="193" w:lineRule="exact"/>
        <w:rPr>
          <w:sz w:val="20"/>
          <w:szCs w:val="20"/>
          <w:color w:val="auto"/>
        </w:rPr>
      </w:pPr>
    </w:p>
    <w:p>
      <w:pPr>
        <w:jc w:val="both"/>
        <w:ind w:firstLine="1529"/>
        <w:spacing w:after="0" w:line="273" w:lineRule="auto"/>
        <w:tabs>
          <w:tab w:leader="none" w:pos="1776"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Replacement of Non-Consenting Lender</w:t>
      </w:r>
      <w:r>
        <w:rPr>
          <w:rFonts w:ascii="Arial" w:cs="Arial" w:eastAsia="Arial" w:hAnsi="Arial"/>
          <w:sz w:val="17"/>
          <w:szCs w:val="17"/>
          <w:color w:val="auto"/>
        </w:rPr>
        <w:t xml:space="preserve">. If, in connection with any proposed change, waiver, discharge or termination to any of the provisions of this Agreement as contemplated by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so long as at the time of such replacement, each such replacement Lender consents to the proposed change, waiver, discharge or termination.</w:t>
      </w:r>
    </w:p>
    <w:p>
      <w:pPr>
        <w:spacing w:after="0" w:line="17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86" w:lineRule="auto"/>
        <w:tabs>
          <w:tab w:leader="none" w:pos="1779"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74" w:lineRule="exact"/>
        <w:rPr>
          <w:rFonts w:ascii="Arial" w:cs="Arial" w:eastAsia="Arial" w:hAnsi="Arial"/>
          <w:sz w:val="16"/>
          <w:szCs w:val="16"/>
          <w:color w:val="auto"/>
        </w:rPr>
      </w:pPr>
    </w:p>
    <w:p>
      <w:pPr>
        <w:jc w:val="both"/>
        <w:ind w:firstLine="1529"/>
        <w:spacing w:after="0" w:line="284" w:lineRule="auto"/>
        <w:tabs>
          <w:tab w:leader="none" w:pos="1803"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xml:space="preserve">. The Borrower shall indemnify the Administrative Agent, each Issuing Bank, each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fraud, willful misconduct or gross negligence of such Indemnitee. Notwithstanding the foregoing, it is understood and agreed that indemnification for Taxes is subject to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76</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1" w:name="page222"/>
    <w:bookmarkEnd w:id="221"/>
    <w:p>
      <w:pPr>
        <w:jc w:val="both"/>
        <w:ind w:firstLine="1521"/>
        <w:spacing w:after="0" w:line="264" w:lineRule="auto"/>
        <w:rPr>
          <w:sz w:val="20"/>
          <w:szCs w:val="20"/>
          <w:color w:val="auto"/>
        </w:rPr>
      </w:pPr>
      <w:r>
        <w:rPr>
          <w:rFonts w:ascii="Arial" w:cs="Arial" w:eastAsia="Arial" w:hAnsi="Arial"/>
          <w:sz w:val="18"/>
          <w:szCs w:val="18"/>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 shall not be deemed to impair or affect the Obligations of the Borrower under the preceding provisions of this subsection.</w:t>
      </w:r>
    </w:p>
    <w:p>
      <w:pPr>
        <w:spacing w:after="0" w:line="181" w:lineRule="exact"/>
        <w:rPr>
          <w:sz w:val="20"/>
          <w:szCs w:val="20"/>
          <w:color w:val="auto"/>
        </w:rPr>
      </w:pPr>
    </w:p>
    <w:p>
      <w:pPr>
        <w:jc w:val="both"/>
        <w:ind w:firstLine="1529"/>
        <w:spacing w:after="0" w:line="255" w:lineRule="auto"/>
        <w:tabs>
          <w:tab w:leader="none" w:pos="1766"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 fails to pay any amount required to be paid by it to the Administrative Agent, any Issuing Bank or any Swingline Lender under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each Lender severally agrees to pay to the Administrative Agent, the applicable Issuing Bank or the applicable Swingline Lender, as the case may be,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the applicable Issuing Bank or the applicable Swingline Lender in its capacity as such.</w:t>
      </w:r>
    </w:p>
    <w:p>
      <w:pPr>
        <w:spacing w:after="0" w:line="193" w:lineRule="exact"/>
        <w:rPr>
          <w:rFonts w:ascii="Arial" w:cs="Arial" w:eastAsia="Arial" w:hAnsi="Arial"/>
          <w:sz w:val="18"/>
          <w:szCs w:val="18"/>
          <w:color w:val="auto"/>
        </w:rPr>
      </w:pPr>
    </w:p>
    <w:p>
      <w:pPr>
        <w:jc w:val="both"/>
        <w:ind w:firstLine="1529"/>
        <w:spacing w:after="0" w:line="291" w:lineRule="auto"/>
        <w:tabs>
          <w:tab w:leader="none" w:pos="1776"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67" w:lineRule="exact"/>
        <w:rPr>
          <w:rFonts w:ascii="Arial" w:cs="Arial" w:eastAsia="Arial" w:hAnsi="Arial"/>
          <w:sz w:val="16"/>
          <w:szCs w:val="16"/>
          <w:color w:val="auto"/>
        </w:rPr>
      </w:pPr>
    </w:p>
    <w:p>
      <w:pPr>
        <w:ind w:left="1780" w:hanging="251"/>
        <w:spacing w:after="0"/>
        <w:tabs>
          <w:tab w:leader="none" w:pos="178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written demand therefor.</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71" w:lineRule="auto"/>
        <w:tabs>
          <w:tab w:leader="none" w:pos="1779" w:val="left"/>
        </w:tabs>
        <w:numPr>
          <w:ilvl w:val="1"/>
          <w:numId w:val="262"/>
        </w:numPr>
        <w:rPr>
          <w:rFonts w:ascii="Arial" w:cs="Arial" w:eastAsia="Arial" w:hAnsi="Arial"/>
          <w:sz w:val="17"/>
          <w:szCs w:val="17"/>
          <w:color w:val="auto"/>
        </w:rPr>
      </w:pPr>
      <w:r>
        <w:rPr>
          <w:rFonts w:ascii="Arial" w:cs="Arial" w:eastAsia="Arial" w:hAnsi="Arial"/>
          <w:sz w:val="17"/>
          <w:szCs w:val="17"/>
          <w:u w:val="single" w:color="auto"/>
          <w:color w:val="auto"/>
        </w:rPr>
        <w:t>Assignments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spacing w:after="0" w:line="178" w:lineRule="exact"/>
        <w:rPr>
          <w:rFonts w:ascii="Arial" w:cs="Arial" w:eastAsia="Arial" w:hAnsi="Arial"/>
          <w:sz w:val="17"/>
          <w:szCs w:val="17"/>
          <w:color w:val="auto"/>
        </w:rPr>
      </w:pPr>
    </w:p>
    <w:p>
      <w:pPr>
        <w:ind w:left="1780" w:hanging="251"/>
        <w:spacing w:after="0"/>
        <w:tabs>
          <w:tab w:leader="none" w:pos="1780"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719"/>
        <w:spacing w:after="0" w:line="259" w:lineRule="auto"/>
        <w:tabs>
          <w:tab w:leader="none" w:pos="168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Assignments Generally</w:t>
      </w:r>
      <w:r>
        <w:rPr>
          <w:rFonts w:ascii="Arial" w:cs="Arial" w:eastAsia="Arial" w:hAnsi="Arial"/>
          <w:sz w:val="18"/>
          <w:szCs w:val="18"/>
          <w:color w:val="auto"/>
        </w:rPr>
        <w:t xml:space="preserve">. Subject to the conditions set forth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any Lender may assign to one or more assignees (other than natural persons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86" w:lineRule="exact"/>
        <w:rPr>
          <w:rFonts w:ascii="Arial" w:cs="Arial" w:eastAsia="Arial" w:hAnsi="Arial"/>
          <w:sz w:val="18"/>
          <w:szCs w:val="18"/>
          <w:color w:val="auto"/>
        </w:rPr>
      </w:pPr>
    </w:p>
    <w:p>
      <w:pPr>
        <w:jc w:val="both"/>
        <w:ind w:left="1520" w:firstLine="669"/>
        <w:spacing w:after="0" w:line="259" w:lineRule="auto"/>
        <w:tabs>
          <w:tab w:leader="none" w:pos="2484" w:val="left"/>
        </w:tabs>
        <w:numPr>
          <w:ilvl w:val="2"/>
          <w:numId w:val="263"/>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or, if an Event of Default has occurred and is continuing, any other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be deemed to have consented to any such assignment unless it shall have objected thereto by written notice to the Administrative Agent within ten Business Days after having received notice thereof; and</w:t>
      </w:r>
    </w:p>
    <w:p>
      <w:pPr>
        <w:spacing w:after="0" w:line="186" w:lineRule="exact"/>
        <w:rPr>
          <w:rFonts w:ascii="Arial" w:cs="Arial" w:eastAsia="Arial" w:hAnsi="Arial"/>
          <w:sz w:val="18"/>
          <w:szCs w:val="18"/>
          <w:color w:val="auto"/>
        </w:rPr>
      </w:pPr>
    </w:p>
    <w:p>
      <w:pPr>
        <w:ind w:left="1520" w:right="20" w:firstLine="669"/>
        <w:spacing w:after="0" w:line="277" w:lineRule="auto"/>
        <w:tabs>
          <w:tab w:leader="none" w:pos="2490" w:val="left"/>
        </w:tabs>
        <w:numPr>
          <w:ilvl w:val="2"/>
          <w:numId w:val="263"/>
        </w:numPr>
        <w:rPr>
          <w:rFonts w:ascii="Arial" w:cs="Arial" w:eastAsia="Arial" w:hAnsi="Arial"/>
          <w:sz w:val="18"/>
          <w:szCs w:val="18"/>
          <w:color w:val="auto"/>
        </w:rPr>
      </w:pPr>
      <w:r>
        <w:rPr>
          <w:rFonts w:ascii="Arial" w:cs="Arial" w:eastAsia="Arial" w:hAnsi="Arial"/>
          <w:sz w:val="18"/>
          <w:szCs w:val="18"/>
          <w:color w:val="auto"/>
        </w:rPr>
        <w:t xml:space="preserve">the Administrative Agent and each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or the Issuing Banks shall be required for an assignment by a Lender to an Affiliate of such Lender.</w:t>
      </w:r>
    </w:p>
    <w:p>
      <w:pPr>
        <w:spacing w:after="0" w:line="170" w:lineRule="exact"/>
        <w:rPr>
          <w:rFonts w:ascii="Arial" w:cs="Arial" w:eastAsia="Arial" w:hAnsi="Arial"/>
          <w:sz w:val="18"/>
          <w:szCs w:val="18"/>
          <w:color w:val="auto"/>
        </w:rPr>
      </w:pPr>
    </w:p>
    <w:p>
      <w:pPr>
        <w:ind w:left="1740" w:hanging="261"/>
        <w:spacing w:after="0"/>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Certain Conditions to Assignments</w:t>
      </w:r>
      <w:r>
        <w:rPr>
          <w:rFonts w:ascii="Arial" w:cs="Arial" w:eastAsia="Arial" w:hAnsi="Arial"/>
          <w:sz w:val="18"/>
          <w:szCs w:val="18"/>
          <w:color w:val="auto"/>
        </w:rPr>
        <w:t>. Assignments shall be subject to the following additional conditions: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77</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2" w:name="page223"/>
    <w:bookmarkEnd w:id="222"/>
    <w:p>
      <w:pPr>
        <w:jc w:val="both"/>
        <w:ind w:left="1520" w:firstLine="669"/>
        <w:spacing w:after="0" w:line="273" w:lineRule="auto"/>
        <w:tabs>
          <w:tab w:leader="none" w:pos="2475" w:val="left"/>
        </w:tabs>
        <w:numPr>
          <w:ilvl w:val="1"/>
          <w:numId w:val="264"/>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has occurred and is continuing;</w:t>
      </w:r>
    </w:p>
    <w:p>
      <w:pPr>
        <w:spacing w:after="0" w:line="178" w:lineRule="exact"/>
        <w:rPr>
          <w:rFonts w:ascii="Arial" w:cs="Arial" w:eastAsia="Arial" w:hAnsi="Arial"/>
          <w:sz w:val="17"/>
          <w:szCs w:val="17"/>
          <w:color w:val="auto"/>
        </w:rPr>
      </w:pPr>
    </w:p>
    <w:p>
      <w:pPr>
        <w:jc w:val="both"/>
        <w:ind w:left="1520" w:firstLine="669"/>
        <w:spacing w:after="0" w:line="264" w:lineRule="auto"/>
        <w:tabs>
          <w:tab w:leader="none" w:pos="2486" w:val="left"/>
        </w:tabs>
        <w:numPr>
          <w:ilvl w:val="1"/>
          <w:numId w:val="264"/>
        </w:numPr>
        <w:rPr>
          <w:rFonts w:ascii="Arial" w:cs="Arial" w:eastAsia="Arial" w:hAnsi="Arial"/>
          <w:sz w:val="18"/>
          <w:szCs w:val="18"/>
          <w:color w:val="auto"/>
        </w:rPr>
      </w:pPr>
      <w:r>
        <w:rPr>
          <w:rFonts w:ascii="Arial" w:cs="Arial" w:eastAsia="Arial" w:hAnsi="Arial"/>
          <w:sz w:val="18"/>
          <w:szCs w:val="18"/>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81" w:lineRule="exact"/>
        <w:rPr>
          <w:rFonts w:ascii="Arial" w:cs="Arial" w:eastAsia="Arial" w:hAnsi="Arial"/>
          <w:sz w:val="18"/>
          <w:szCs w:val="18"/>
          <w:color w:val="auto"/>
        </w:rPr>
      </w:pPr>
    </w:p>
    <w:p>
      <w:pPr>
        <w:jc w:val="both"/>
        <w:ind w:left="1520" w:firstLine="669"/>
        <w:spacing w:after="0" w:line="259" w:lineRule="auto"/>
        <w:tabs>
          <w:tab w:leader="none" w:pos="248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Assumption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together with a processing and recordation fee of U.S. $3,500 (which fee shall not be payable in connection with an assignment to a Lender or to an Affiliate of a Lender), for which the Borrower and the Guarantors shall not be obligated;</w:t>
      </w:r>
    </w:p>
    <w:p>
      <w:pPr>
        <w:spacing w:after="0" w:line="186" w:lineRule="exact"/>
        <w:rPr>
          <w:rFonts w:ascii="Arial" w:cs="Arial" w:eastAsia="Arial" w:hAnsi="Arial"/>
          <w:sz w:val="18"/>
          <w:szCs w:val="18"/>
          <w:color w:val="auto"/>
        </w:rPr>
      </w:pPr>
    </w:p>
    <w:p>
      <w:pPr>
        <w:ind w:left="1520" w:right="20" w:firstLine="669"/>
        <w:spacing w:after="0" w:line="277" w:lineRule="auto"/>
        <w:tabs>
          <w:tab w:leader="none" w:pos="250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assignee, if it shall not already be a Lender of the applicable Class, shall deliver to the Administrative Agent an Administrative Questionnaire; and</w:t>
      </w:r>
    </w:p>
    <w:p>
      <w:pPr>
        <w:spacing w:after="0" w:line="170" w:lineRule="exact"/>
        <w:rPr>
          <w:rFonts w:ascii="Arial" w:cs="Arial" w:eastAsia="Arial" w:hAnsi="Arial"/>
          <w:sz w:val="18"/>
          <w:szCs w:val="18"/>
          <w:color w:val="auto"/>
        </w:rPr>
      </w:pPr>
    </w:p>
    <w:p>
      <w:pPr>
        <w:ind w:left="2460" w:hanging="271"/>
        <w:spacing w:after="0"/>
        <w:tabs>
          <w:tab w:leader="none" w:pos="246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the assignee shall deliver to the Borrower and the Administrative Agent those documents specified in Section 2.16(f).</w:t>
      </w:r>
    </w:p>
    <w:p>
      <w:pPr>
        <w:spacing w:after="0" w:line="236" w:lineRule="exact"/>
        <w:rPr>
          <w:rFonts w:ascii="Arial" w:cs="Arial" w:eastAsia="Arial" w:hAnsi="Arial"/>
          <w:sz w:val="17"/>
          <w:szCs w:val="17"/>
          <w:color w:val="auto"/>
        </w:rPr>
      </w:pPr>
    </w:p>
    <w:p>
      <w:pPr>
        <w:jc w:val="both"/>
        <w:ind w:left="760" w:firstLine="719"/>
        <w:spacing w:after="0" w:line="285" w:lineRule="auto"/>
        <w:tabs>
          <w:tab w:leader="none" w:pos="1785"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Effectiveness of Assignments</w:t>
      </w:r>
      <w:r>
        <w:rPr>
          <w:rFonts w:ascii="Arial" w:cs="Arial" w:eastAsia="Arial" w:hAnsi="Arial"/>
          <w:sz w:val="16"/>
          <w:szCs w:val="16"/>
          <w:color w:val="auto"/>
        </w:rPr>
        <w:t xml:space="preserve">. Subject to acceptance and recording thereof pursuant to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6"/>
          <w:szCs w:val="16"/>
          <w:u w:val="single" w:color="auto"/>
          <w:color w:val="auto"/>
        </w:rPr>
        <w:t>Section 9.04(b)(ii)</w:t>
      </w:r>
      <w:r>
        <w:rPr>
          <w:rFonts w:ascii="Arial" w:cs="Arial" w:eastAsia="Arial" w:hAnsi="Arial"/>
          <w:sz w:val="16"/>
          <w:szCs w:val="16"/>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387" w:lineRule="exact"/>
        <w:rPr>
          <w:sz w:val="20"/>
          <w:szCs w:val="20"/>
          <w:color w:val="auto"/>
        </w:rPr>
      </w:pPr>
    </w:p>
    <w:p>
      <w:pPr>
        <w:jc w:val="both"/>
        <w:ind w:firstLine="1529"/>
        <w:spacing w:after="0" w:line="291" w:lineRule="auto"/>
        <w:tabs>
          <w:tab w:leader="none" w:pos="1766"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Maintenance of Registers by Administrative Agent</w:t>
      </w:r>
      <w:r>
        <w:rPr>
          <w:rFonts w:ascii="Arial" w:cs="Arial" w:eastAsia="Arial" w:hAnsi="Arial"/>
          <w:sz w:val="16"/>
          <w:szCs w:val="16"/>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6"/>
          <w:szCs w:val="16"/>
          <w:u w:val="single" w:color="auto"/>
          <w:color w:val="auto"/>
        </w:rPr>
        <w:t>Registers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pacing w:after="0" w:line="200" w:lineRule="exact"/>
        <w:rPr>
          <w:sz w:val="20"/>
          <w:szCs w:val="20"/>
          <w:color w:val="auto"/>
        </w:rPr>
      </w:pPr>
    </w:p>
    <w:p>
      <w:pPr>
        <w:spacing w:after="0" w:line="399"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78</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23" w:name="page224"/>
    <w:bookmarkEnd w:id="223"/>
    <w:p>
      <w:pPr>
        <w:jc w:val="both"/>
        <w:ind w:firstLine="1529"/>
        <w:spacing w:after="0" w:line="297" w:lineRule="auto"/>
        <w:tabs>
          <w:tab w:leader="none" w:pos="1776"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Acceptance of Assignments by Administrative Agent</w:t>
      </w:r>
      <w:r>
        <w:rPr>
          <w:rFonts w:ascii="Arial" w:cs="Arial" w:eastAsia="Arial" w:hAnsi="Arial"/>
          <w:sz w:val="16"/>
          <w:szCs w:val="16"/>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any written consent to such assignment required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8" w:lineRule="exact"/>
        <w:rPr>
          <w:rFonts w:ascii="Arial" w:cs="Arial" w:eastAsia="Arial" w:hAnsi="Arial"/>
          <w:sz w:val="16"/>
          <w:szCs w:val="16"/>
          <w:color w:val="auto"/>
        </w:rPr>
      </w:pPr>
    </w:p>
    <w:p>
      <w:pPr>
        <w:jc w:val="both"/>
        <w:ind w:firstLine="1529"/>
        <w:spacing w:after="0" w:line="269" w:lineRule="auto"/>
        <w:tabs>
          <w:tab w:leader="none" w:pos="1766"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Special Purposes Vehicles</w:t>
      </w:r>
      <w:r>
        <w:rPr>
          <w:rFonts w:ascii="Arial" w:cs="Arial" w:eastAsia="Arial" w:hAnsi="Arial"/>
          <w:sz w:val="17"/>
          <w:szCs w:val="17"/>
          <w:color w:val="auto"/>
        </w:rPr>
        <w:t>. Notwithstanding anything to the contrary contained herein, any Lender (a “</w:t>
      </w:r>
      <w:r>
        <w:rPr>
          <w:rFonts w:ascii="Arial" w:cs="Arial" w:eastAsia="Arial" w:hAnsi="Arial"/>
          <w:sz w:val="17"/>
          <w:szCs w:val="17"/>
          <w:u w:val="single" w:color="auto"/>
          <w:color w:val="auto"/>
        </w:rPr>
        <w:t>Granting Lender</w:t>
      </w:r>
      <w:r>
        <w:rPr>
          <w:rFonts w:ascii="Arial" w:cs="Arial" w:eastAsia="Arial" w:hAnsi="Arial"/>
          <w:sz w:val="17"/>
          <w:szCs w:val="17"/>
          <w:color w:val="auto"/>
        </w:rPr>
        <w:t>”) may grant to a special purpose funding vehicle (an “</w:t>
      </w:r>
      <w:r>
        <w:rPr>
          <w:rFonts w:ascii="Arial" w:cs="Arial" w:eastAsia="Arial" w:hAnsi="Arial"/>
          <w:sz w:val="17"/>
          <w:szCs w:val="17"/>
          <w:u w:val="single" w:color="auto"/>
          <w:color w:val="auto"/>
        </w:rPr>
        <w:t>SPC</w:t>
      </w:r>
      <w:r>
        <w:rPr>
          <w:rFonts w:ascii="Arial" w:cs="Arial" w:eastAsia="Arial" w:hAnsi="Arial"/>
          <w:sz w:val="17"/>
          <w:szCs w:val="17"/>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80" w:lineRule="exact"/>
        <w:rPr>
          <w:sz w:val="20"/>
          <w:szCs w:val="20"/>
          <w:color w:val="auto"/>
        </w:rPr>
      </w:pPr>
    </w:p>
    <w:p>
      <w:pPr>
        <w:jc w:val="both"/>
        <w:ind w:firstLine="1521"/>
        <w:spacing w:after="0" w:line="268" w:lineRule="auto"/>
        <w:rPr>
          <w:sz w:val="20"/>
          <w:szCs w:val="20"/>
          <w:color w:val="auto"/>
        </w:rPr>
      </w:pPr>
      <w:r>
        <w:rPr>
          <w:rFonts w:ascii="Arial" w:cs="Arial" w:eastAsia="Arial" w:hAnsi="Arial"/>
          <w:sz w:val="17"/>
          <w:szCs w:val="17"/>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17"/>
          <w:szCs w:val="17"/>
          <w:u w:val="single" w:color="auto"/>
          <w:color w:val="auto"/>
        </w:rPr>
        <w:t>paragraph (1)</w:t>
      </w:r>
      <w:r>
        <w:rPr>
          <w:rFonts w:ascii="Arial" w:cs="Arial" w:eastAsia="Arial" w:hAnsi="Arial"/>
          <w:sz w:val="17"/>
          <w:szCs w:val="17"/>
          <w:color w:val="auto"/>
        </w:rPr>
        <w:t xml:space="preserve"> below, and (ii) disclose on a confidential basis (in the same manner described in </w:t>
      </w:r>
      <w:r>
        <w:rPr>
          <w:rFonts w:ascii="Arial" w:cs="Arial" w:eastAsia="Arial" w:hAnsi="Arial"/>
          <w:sz w:val="17"/>
          <w:szCs w:val="17"/>
          <w:u w:val="single" w:color="auto"/>
          <w:color w:val="auto"/>
        </w:rPr>
        <w:t>Section 9.13(b)</w:t>
      </w:r>
      <w:r>
        <w:rPr>
          <w:rFonts w:ascii="Arial" w:cs="Arial" w:eastAsia="Arial" w:hAnsi="Arial"/>
          <w:sz w:val="17"/>
          <w:szCs w:val="17"/>
          <w:color w:val="auto"/>
        </w:rPr>
        <w:t>) any non-public information relating to its Loans to any rating agency, commercial paper dealer or provider of a surety, guarantee or credit or liquidity enhancement to such SPC.</w:t>
      </w:r>
    </w:p>
    <w:p>
      <w:pPr>
        <w:spacing w:after="0" w:line="188" w:lineRule="exact"/>
        <w:rPr>
          <w:sz w:val="20"/>
          <w:szCs w:val="20"/>
          <w:color w:val="auto"/>
        </w:rPr>
      </w:pPr>
    </w:p>
    <w:p>
      <w:pPr>
        <w:jc w:val="both"/>
        <w:ind w:firstLine="1529"/>
        <w:spacing w:after="0" w:line="285" w:lineRule="auto"/>
        <w:tabs>
          <w:tab w:leader="none" w:pos="1759"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with the consent of the Borrower (such consent not to be unreasonably withheld or delayed),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Banks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not be entitled to receive any greater payment under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Participant shall be entitled to the benefits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unless the Borrower is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79</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24" w:name="page225"/>
    <w:bookmarkEnd w:id="224"/>
    <w:p>
      <w:pPr>
        <w:jc w:val="both"/>
        <w:spacing w:after="0" w:line="269" w:lineRule="auto"/>
        <w:rPr>
          <w:sz w:val="20"/>
          <w:szCs w:val="20"/>
          <w:color w:val="auto"/>
        </w:rPr>
      </w:pPr>
      <w:r>
        <w:rPr>
          <w:rFonts w:ascii="Arial" w:cs="Arial" w:eastAsia="Arial" w:hAnsi="Arial"/>
          <w:sz w:val="17"/>
          <w:szCs w:val="17"/>
          <w:color w:val="auto"/>
        </w:rPr>
        <w:t xml:space="preserve">notified of the participation granted to such Participant and such Participant shall have complied with the requirements of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as if such Participant is a Lender. To the extent permitted by law, each Participant also shall be entitled to the benefits of </w:t>
      </w:r>
      <w:r>
        <w:rPr>
          <w:rFonts w:ascii="Arial" w:cs="Arial" w:eastAsia="Arial" w:hAnsi="Arial"/>
          <w:sz w:val="17"/>
          <w:szCs w:val="17"/>
          <w:u w:val="single" w:color="auto"/>
          <w:color w:val="auto"/>
        </w:rPr>
        <w:t>Section 9.08</w:t>
      </w:r>
      <w:r>
        <w:rPr>
          <w:rFonts w:ascii="Arial" w:cs="Arial" w:eastAsia="Arial" w:hAnsi="Arial"/>
          <w:sz w:val="17"/>
          <w:szCs w:val="17"/>
          <w:color w:val="auto"/>
        </w:rPr>
        <w:t xml:space="preserve"> as though it were a Lender; provided such Participant agrees to be subject to </w:t>
      </w:r>
      <w:r>
        <w:rPr>
          <w:rFonts w:ascii="Arial" w:cs="Arial" w:eastAsia="Arial" w:hAnsi="Arial"/>
          <w:sz w:val="17"/>
          <w:szCs w:val="17"/>
          <w:u w:val="single" w:color="auto"/>
          <w:color w:val="auto"/>
        </w:rPr>
        <w:t>Section 2.17(d)</w:t>
      </w:r>
      <w:r>
        <w:rPr>
          <w:rFonts w:ascii="Arial" w:cs="Arial" w:eastAsia="Arial" w:hAnsi="Arial"/>
          <w:sz w:val="17"/>
          <w:szCs w:val="17"/>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0" w:lineRule="exact"/>
        <w:rPr>
          <w:sz w:val="20"/>
          <w:szCs w:val="20"/>
          <w:color w:val="auto"/>
        </w:rPr>
      </w:pPr>
    </w:p>
    <w:p>
      <w:pPr>
        <w:jc w:val="both"/>
        <w:ind w:firstLine="1529"/>
        <w:spacing w:after="0" w:line="254" w:lineRule="auto"/>
        <w:tabs>
          <w:tab w:leader="none" w:pos="1776"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Limitations on Rights of Participants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paragraphs (e)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92" w:lineRule="exact"/>
        <w:rPr>
          <w:rFonts w:ascii="Arial" w:cs="Arial" w:eastAsia="Arial" w:hAnsi="Arial"/>
          <w:sz w:val="18"/>
          <w:szCs w:val="18"/>
          <w:color w:val="auto"/>
        </w:rPr>
      </w:pPr>
    </w:p>
    <w:p>
      <w:pPr>
        <w:jc w:val="both"/>
        <w:ind w:firstLine="1529"/>
        <w:spacing w:after="0" w:line="302" w:lineRule="auto"/>
        <w:tabs>
          <w:tab w:leader="none" w:pos="1803"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assignee for such Lender as a party hereto.</w:t>
      </w:r>
    </w:p>
    <w:p>
      <w:pPr>
        <w:spacing w:after="0" w:line="154" w:lineRule="exact"/>
        <w:rPr>
          <w:rFonts w:ascii="Arial" w:cs="Arial" w:eastAsia="Arial" w:hAnsi="Arial"/>
          <w:sz w:val="16"/>
          <w:szCs w:val="16"/>
          <w:color w:val="auto"/>
        </w:rPr>
      </w:pPr>
    </w:p>
    <w:p>
      <w:pPr>
        <w:jc w:val="both"/>
        <w:ind w:firstLine="1529"/>
        <w:spacing w:after="0" w:line="264" w:lineRule="auto"/>
        <w:tabs>
          <w:tab w:leader="none" w:pos="1749"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No Assignments to the Borrower or Affiliates</w:t>
      </w:r>
      <w:r>
        <w:rPr>
          <w:rFonts w:ascii="Arial" w:cs="Arial" w:eastAsia="Arial" w:hAnsi="Arial"/>
          <w:sz w:val="18"/>
          <w:szCs w:val="18"/>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81" w:lineRule="exact"/>
        <w:rPr>
          <w:sz w:val="20"/>
          <w:szCs w:val="20"/>
          <w:color w:val="auto"/>
        </w:rPr>
      </w:pPr>
    </w:p>
    <w:p>
      <w:pPr>
        <w:jc w:val="both"/>
        <w:ind w:firstLine="1521"/>
        <w:spacing w:after="0" w:line="270"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7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90" w:lineRule="auto"/>
        <w:tabs>
          <w:tab w:leader="none" w:pos="1793"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200" w:lineRule="exact"/>
        <w:rPr>
          <w:sz w:val="20"/>
          <w:szCs w:val="20"/>
          <w:color w:val="auto"/>
        </w:rPr>
      </w:pPr>
    </w:p>
    <w:p>
      <w:pPr>
        <w:spacing w:after="0" w:line="398"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80</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5" w:name="page226"/>
    <w:bookmarkEnd w:id="225"/>
    <w:p>
      <w:pPr>
        <w:jc w:val="both"/>
        <w:ind w:firstLine="1529"/>
        <w:spacing w:after="0" w:line="276" w:lineRule="auto"/>
        <w:tabs>
          <w:tab w:leader="none" w:pos="1789"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Electronic Execution of Assignments</w:t>
      </w:r>
      <w:r>
        <w:rPr>
          <w:rFonts w:ascii="Arial" w:cs="Arial" w:eastAsia="Arial" w:hAnsi="Arial"/>
          <w:sz w:val="17"/>
          <w:szCs w:val="17"/>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3" w:lineRule="exact"/>
        <w:rPr>
          <w:sz w:val="20"/>
          <w:szCs w:val="20"/>
          <w:color w:val="auto"/>
        </w:rPr>
      </w:pPr>
    </w:p>
    <w:p>
      <w:pPr>
        <w:jc w:val="both"/>
        <w:ind w:firstLine="1521"/>
        <w:spacing w:after="0" w:line="312"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47" w:lineRule="exact"/>
        <w:rPr>
          <w:sz w:val="20"/>
          <w:szCs w:val="20"/>
          <w:color w:val="auto"/>
        </w:rPr>
      </w:pPr>
    </w:p>
    <w:p>
      <w:pPr>
        <w:jc w:val="both"/>
        <w:ind w:firstLine="1521"/>
        <w:spacing w:after="0" w:line="269"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7"/>
          <w:szCs w:val="17"/>
          <w:u w:val="single" w:color="auto"/>
          <w:color w:val="auto"/>
        </w:rPr>
        <w:t>Sections 2.17(d)</w:t>
      </w:r>
      <w:r>
        <w:rPr>
          <w:rFonts w:ascii="Arial" w:cs="Arial" w:eastAsia="Arial" w:hAnsi="Arial"/>
          <w:sz w:val="17"/>
          <w:szCs w:val="17"/>
          <w:color w:val="auto"/>
        </w:rPr>
        <w:t xml:space="preserve"> 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8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225" w:lineRule="exact"/>
        <w:rPr>
          <w:sz w:val="20"/>
          <w:szCs w:val="20"/>
          <w:color w:val="auto"/>
        </w:rPr>
      </w:pPr>
    </w:p>
    <w:p>
      <w:pPr>
        <w:ind w:left="1780" w:hanging="251"/>
        <w:spacing w:after="0"/>
        <w:tabs>
          <w:tab w:leader="none" w:pos="1780"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construed in accordance with and governed by the law of the State of New York.</w:t>
      </w:r>
    </w:p>
    <w:p>
      <w:pPr>
        <w:spacing w:after="0" w:line="236" w:lineRule="exact"/>
        <w:rPr>
          <w:rFonts w:ascii="Arial" w:cs="Arial" w:eastAsia="Arial" w:hAnsi="Arial"/>
          <w:sz w:val="17"/>
          <w:szCs w:val="17"/>
          <w:color w:val="auto"/>
        </w:rPr>
      </w:pPr>
    </w:p>
    <w:p>
      <w:pPr>
        <w:jc w:val="both"/>
        <w:ind w:firstLine="1529"/>
        <w:spacing w:after="0" w:line="290" w:lineRule="auto"/>
        <w:tabs>
          <w:tab w:leader="none" w:pos="1776"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pacing w:after="0" w:line="166" w:lineRule="exact"/>
        <w:rPr>
          <w:rFonts w:ascii="Arial" w:cs="Arial" w:eastAsia="Arial" w:hAnsi="Arial"/>
          <w:sz w:val="16"/>
          <w:szCs w:val="16"/>
          <w:color w:val="auto"/>
        </w:rPr>
      </w:pPr>
    </w:p>
    <w:p>
      <w:pPr>
        <w:jc w:val="both"/>
        <w:ind w:firstLine="1529"/>
        <w:spacing w:after="0" w:line="259" w:lineRule="auto"/>
        <w:tabs>
          <w:tab w:leader="none" w:pos="1766"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jc w:val="both"/>
        <w:ind w:firstLine="1529"/>
        <w:spacing w:after="0" w:line="259" w:lineRule="auto"/>
        <w:tabs>
          <w:tab w:leader="none" w:pos="1776"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to this Agreement (i) irrevocably consents to service of process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and (ii) agrees that service as provided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6" w:name="page227"/>
    <w:bookmarkEnd w:id="226"/>
    <w:p>
      <w:pPr>
        <w:jc w:val="both"/>
        <w:ind w:firstLine="1521"/>
        <w:spacing w:after="0" w:line="254"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jc w:val="both"/>
        <w:ind w:firstLine="1521"/>
        <w:spacing w:after="0" w:line="285"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This is an international loan transaction in which the specification of Dollars or any Foreign Currency, as the case may be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and payment in New York City or the country of the Specified Currency, as the case may be (the “</w:t>
      </w:r>
      <w:r>
        <w:rPr>
          <w:rFonts w:ascii="Arial" w:cs="Arial" w:eastAsia="Arial" w:hAnsi="Arial"/>
          <w:sz w:val="16"/>
          <w:szCs w:val="16"/>
          <w:u w:val="single" w:color="auto"/>
          <w:color w:val="auto"/>
        </w:rPr>
        <w:t>Specified Place</w:t>
      </w:r>
      <w:r>
        <w:rPr>
          <w:rFonts w:ascii="Arial" w:cs="Arial" w:eastAsia="Arial" w:hAnsi="Arial"/>
          <w:sz w:val="16"/>
          <w:szCs w:val="16"/>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w:t>
      </w:r>
      <w:r>
        <w:rPr>
          <w:rFonts w:ascii="Arial" w:cs="Arial" w:eastAsia="Arial" w:hAnsi="Arial"/>
          <w:sz w:val="16"/>
          <w:szCs w:val="16"/>
          <w:u w:val="single" w:color="auto"/>
          <w:color w:val="auto"/>
        </w:rPr>
        <w:t>Currency</w:t>
      </w:r>
      <w:r>
        <w:rPr>
          <w:rFonts w:ascii="Arial" w:cs="Arial" w:eastAsia="Arial" w:hAnsi="Arial"/>
          <w:sz w:val="16"/>
          <w:szCs w:val="16"/>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Arial" w:cs="Arial" w:eastAsia="Arial" w:hAnsi="Arial"/>
          <w:sz w:val="16"/>
          <w:szCs w:val="16"/>
          <w:u w:val="single" w:color="auto"/>
          <w:color w:val="auto"/>
        </w:rPr>
        <w:t>Entitled Person</w:t>
      </w:r>
      <w:r>
        <w:rPr>
          <w:rFonts w:ascii="Arial" w:cs="Arial" w:eastAsia="Arial" w:hAnsi="Arial"/>
          <w:sz w:val="16"/>
          <w:szCs w:val="16"/>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78" w:lineRule="exact"/>
        <w:rPr>
          <w:sz w:val="20"/>
          <w:szCs w:val="20"/>
          <w:color w:val="auto"/>
        </w:rPr>
      </w:pPr>
    </w:p>
    <w:p>
      <w:pPr>
        <w:jc w:val="both"/>
        <w:ind w:firstLine="1521"/>
        <w:spacing w:after="0" w:line="308"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Treatment of Certain Information; No Fiduciary Duty; Confidentiality</w:t>
      </w:r>
      <w:r>
        <w:rPr>
          <w:rFonts w:ascii="Arial" w:cs="Arial" w:eastAsia="Arial" w:hAnsi="Arial"/>
          <w:sz w:val="18"/>
          <w:szCs w:val="18"/>
          <w:color w:val="auto"/>
        </w:rPr>
        <w:t>.</w:t>
      </w:r>
    </w:p>
    <w:p>
      <w:pPr>
        <w:spacing w:after="0" w:line="225" w:lineRule="exact"/>
        <w:rPr>
          <w:sz w:val="20"/>
          <w:szCs w:val="20"/>
          <w:color w:val="auto"/>
        </w:rPr>
      </w:pPr>
    </w:p>
    <w:p>
      <w:pPr>
        <w:jc w:val="both"/>
        <w:ind w:firstLine="1529"/>
        <w:spacing w:after="0" w:line="285" w:lineRule="auto"/>
        <w:tabs>
          <w:tab w:leader="none" w:pos="1779"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Treatment of Certain Information</w:t>
      </w:r>
      <w:r>
        <w:rPr>
          <w:rFonts w:ascii="Arial" w:cs="Arial" w:eastAsia="Arial" w:hAnsi="Arial"/>
          <w:sz w:val="16"/>
          <w:szCs w:val="16"/>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82</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7" w:name="page228"/>
    <w:bookmarkEnd w:id="227"/>
    <w:p>
      <w:pPr>
        <w:jc w:val="both"/>
        <w:spacing w:after="0" w:line="255" w:lineRule="auto"/>
        <w:rPr>
          <w:sz w:val="20"/>
          <w:szCs w:val="20"/>
          <w:color w:val="auto"/>
        </w:rPr>
      </w:pPr>
      <w:r>
        <w:rPr>
          <w:rFonts w:ascii="Arial" w:cs="Arial" w:eastAsia="Arial" w:hAnsi="Arial"/>
          <w:sz w:val="18"/>
          <w:szCs w:val="18"/>
          <w:color w:val="auto"/>
        </w:rPr>
        <w:t>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93" w:lineRule="exact"/>
        <w:rPr>
          <w:sz w:val="20"/>
          <w:szCs w:val="20"/>
          <w:color w:val="auto"/>
        </w:rPr>
      </w:pPr>
    </w:p>
    <w:p>
      <w:pPr>
        <w:jc w:val="both"/>
        <w:ind w:firstLine="1529"/>
        <w:spacing w:after="0" w:line="284" w:lineRule="auto"/>
        <w:tabs>
          <w:tab w:leader="none" w:pos="1776" w:val="left"/>
        </w:tabs>
        <w:numPr>
          <w:ilvl w:val="1"/>
          <w:numId w:val="274"/>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w:t>
      </w:r>
    </w:p>
    <w:p>
      <w:pPr>
        <w:spacing w:after="0" w:line="2" w:lineRule="exact"/>
        <w:rPr>
          <w:rFonts w:ascii="Arial" w:cs="Arial" w:eastAsia="Arial" w:hAnsi="Arial"/>
          <w:sz w:val="16"/>
          <w:szCs w:val="16"/>
          <w:color w:val="auto"/>
        </w:rPr>
      </w:pPr>
    </w:p>
    <w:p>
      <w:pPr>
        <w:jc w:val="both"/>
        <w:ind w:firstLine="8"/>
        <w:spacing w:after="0" w:line="288" w:lineRule="auto"/>
        <w:tabs>
          <w:tab w:leader="none" w:pos="31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w:t>
      </w:r>
    </w:p>
    <w:p>
      <w:pPr>
        <w:spacing w:after="0" w:line="169" w:lineRule="exact"/>
        <w:rPr>
          <w:sz w:val="20"/>
          <w:szCs w:val="20"/>
          <w:color w:val="auto"/>
        </w:rPr>
      </w:pPr>
    </w:p>
    <w:p>
      <w:pPr>
        <w:jc w:val="both"/>
        <w:ind w:firstLine="1521"/>
        <w:spacing w:after="0" w:line="255"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 disclosure by the Borrower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9" w:lineRule="exact"/>
        <w:rPr>
          <w:sz w:val="20"/>
          <w:szCs w:val="20"/>
          <w:color w:val="auto"/>
        </w:rPr>
      </w:pPr>
    </w:p>
    <w:p>
      <w:pPr>
        <w:jc w:val="both"/>
        <w:ind w:firstLine="1521"/>
        <w:spacing w:after="0" w:line="219" w:lineRule="exact"/>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the Borrower that pursuant to the requirements of the USA PATRIOT Act (Title III of Pub. L. 107</w:t>
      </w:r>
      <w:r>
        <w:rPr>
          <w:rFonts w:ascii="MS PGothic" w:cs="MS PGothic" w:eastAsia="MS PGothic" w:hAnsi="MS PGothic"/>
          <w:sz w:val="18"/>
          <w:szCs w:val="18"/>
          <w:color w:val="auto"/>
        </w:rPr>
        <w:t>‑</w:t>
      </w:r>
      <w:r>
        <w:rPr>
          <w:rFonts w:ascii="Arial" w:cs="Arial" w:eastAsia="Arial" w:hAnsi="Arial"/>
          <w:sz w:val="18"/>
          <w:szCs w:val="18"/>
          <w:color w:val="auto"/>
        </w:rPr>
        <w:t>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spacing w:after="0" w:line="206" w:lineRule="exact"/>
        <w:rPr>
          <w:sz w:val="20"/>
          <w:szCs w:val="20"/>
          <w:color w:val="auto"/>
        </w:rPr>
      </w:pPr>
    </w:p>
    <w:p>
      <w:pPr>
        <w:jc w:val="both"/>
        <w:ind w:firstLine="1521"/>
        <w:spacing w:after="0" w:line="291"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Effect of Amendment and Restatement of the Existing Credit Agreement</w:t>
      </w:r>
      <w:r>
        <w:rPr>
          <w:rFonts w:ascii="Arial" w:cs="Arial" w:eastAsia="Arial" w:hAnsi="Arial"/>
          <w:sz w:val="16"/>
          <w:szCs w:val="16"/>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67" w:lineRule="exact"/>
        <w:rPr>
          <w:sz w:val="20"/>
          <w:szCs w:val="20"/>
          <w:color w:val="auto"/>
        </w:rPr>
      </w:pPr>
    </w:p>
    <w:p>
      <w:pPr>
        <w:jc w:val="both"/>
        <w:ind w:firstLine="1521"/>
        <w:spacing w:after="0" w:line="264"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Reaffirmation of Guarantee and Security Agreement</w:t>
      </w:r>
      <w:r>
        <w:rPr>
          <w:rFonts w:ascii="Arial" w:cs="Arial" w:eastAsia="Arial" w:hAnsi="Arial"/>
          <w:sz w:val="18"/>
          <w:szCs w:val="18"/>
          <w:color w:val="auto"/>
        </w:rPr>
        <w:t>. TC Lending, LLC hereby consents to the terms of this Agreement, confirms that its Guarantee under the Guarantee and Security Agreement remains unaltered and in full force and effect and hereby reaffirms, ratifies and confirms the terms and conditions of the Guarantee and Security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83</w:t>
      </w:r>
      <w:r>
        <w:rPr>
          <w:sz w:val="20"/>
          <w:szCs w:val="20"/>
          <w:color w:val="auto"/>
        </w:rPr>
        <w:tab/>
      </w: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28" w:name="page229"/>
    <w:bookmarkEnd w:id="228"/>
    <w:p>
      <w:pPr>
        <w:jc w:val="both"/>
        <w:ind w:firstLine="1521"/>
        <w:spacing w:after="0" w:line="279"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firstLine="1529"/>
        <w:spacing w:after="0" w:line="277" w:lineRule="auto"/>
        <w:tabs>
          <w:tab w:leader="none" w:pos="1771"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780" w:hanging="251"/>
        <w:spacing w:after="0"/>
        <w:tabs>
          <w:tab w:leader="none" w:pos="17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700" w:hanging="221"/>
        <w:spacing w:after="0"/>
        <w:tabs>
          <w:tab w:leader="none" w:pos="17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760" w:right="20" w:firstLine="719"/>
        <w:spacing w:after="0" w:line="286" w:lineRule="auto"/>
        <w:tabs>
          <w:tab w:leader="none" w:pos="1742"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5" w:lineRule="exact"/>
        <w:rPr>
          <w:rFonts w:ascii="Arial" w:cs="Arial" w:eastAsia="Arial" w:hAnsi="Arial"/>
          <w:sz w:val="17"/>
          <w:szCs w:val="17"/>
          <w:color w:val="auto"/>
        </w:rPr>
      </w:pPr>
    </w:p>
    <w:p>
      <w:pPr>
        <w:ind w:left="760" w:right="420" w:firstLine="719"/>
        <w:spacing w:after="0" w:line="277" w:lineRule="auto"/>
        <w:tabs>
          <w:tab w:leader="none" w:pos="178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620" w:val="left"/>
          <w:tab w:leader="none" w:pos="9360" w:val="left"/>
        </w:tabs>
        <w:rPr>
          <w:sz w:val="20"/>
          <w:szCs w:val="20"/>
          <w:color w:val="auto"/>
        </w:rPr>
      </w:pPr>
      <w:r>
        <w:rPr>
          <w:rFonts w:ascii="Arial" w:cs="Arial" w:eastAsia="Arial" w:hAnsi="Arial"/>
          <w:sz w:val="18"/>
          <w:szCs w:val="18"/>
          <w:color w:val="auto"/>
        </w:rPr>
        <w:t>722276124 11299570</w:t>
      </w:r>
      <w:r>
        <w:rPr>
          <w:sz w:val="20"/>
          <w:szCs w:val="20"/>
          <w:color w:val="auto"/>
        </w:rPr>
        <w:tab/>
      </w:r>
      <w:r>
        <w:rPr>
          <w:rFonts w:ascii="Arial" w:cs="Arial" w:eastAsia="Arial" w:hAnsi="Arial"/>
          <w:sz w:val="18"/>
          <w:szCs w:val="18"/>
          <w:color w:val="auto"/>
        </w:rPr>
        <w:t>84</w:t>
      </w:r>
      <w:r>
        <w:rPr>
          <w:sz w:val="20"/>
          <w:szCs w:val="20"/>
          <w:color w:val="auto"/>
        </w:rPr>
        <w:tab/>
      </w:r>
      <w:r>
        <w:rPr>
          <w:rFonts w:ascii="Arial" w:cs="Arial" w:eastAsia="Arial" w:hAnsi="Arial"/>
          <w:sz w:val="16"/>
          <w:szCs w:val="16"/>
          <w:i w:val="1"/>
          <w:iCs w:val="1"/>
          <w:color w:val="auto"/>
        </w:rPr>
        <w:t>Revolving Credit Agreement</w:t>
      </w:r>
    </w:p>
    <w:p>
      <w:pPr>
        <w:sectPr>
          <w:pgSz w:w="11900" w:h="16838" w:orient="portrait"/>
          <w:cols w:equalWidth="0" w:num="1">
            <w:col w:w="11420"/>
          </w:cols>
          <w:pgMar w:left="240" w:top="558"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2"/>
          <w:szCs w:val="22"/>
          <w:b w:val="1"/>
          <w:bCs w:val="1"/>
          <w:color w:val="auto"/>
        </w:rPr>
        <w:t>Exhibit 10.16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TPG SPECIALTY LENDING,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TSL ADVISERS, LLC</w:t>
      </w:r>
    </w:p>
    <w:p>
      <w:pPr>
        <w:spacing w:after="0" w:line="212" w:lineRule="exact"/>
        <w:rPr>
          <w:sz w:val="20"/>
          <w:szCs w:val="20"/>
          <w:color w:val="auto"/>
        </w:rPr>
      </w:pPr>
    </w:p>
    <w:p>
      <w:pPr>
        <w:ind w:right="180" w:firstLine="877"/>
        <w:spacing w:after="0" w:line="238" w:lineRule="auto"/>
        <w:rPr>
          <w:sz w:val="20"/>
          <w:szCs w:val="20"/>
          <w:color w:val="auto"/>
        </w:rPr>
      </w:pPr>
      <w:r>
        <w:rPr>
          <w:rFonts w:ascii="Arial" w:cs="Arial" w:eastAsia="Arial" w:hAnsi="Arial"/>
          <w:sz w:val="22"/>
          <w:szCs w:val="22"/>
          <w:color w:val="auto"/>
        </w:rPr>
        <w:t>This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February 22, 2017 by and between TPG SPECIALTY LENDING,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TSL ADVISERS, LLC, a Delaware limited liability company (the “</w:t>
      </w:r>
      <w:r>
        <w:rPr>
          <w:rFonts w:ascii="Arial" w:cs="Arial" w:eastAsia="Arial" w:hAnsi="Arial"/>
          <w:sz w:val="22"/>
          <w:szCs w:val="22"/>
          <w:u w:val="single" w:color="auto"/>
          <w:color w:val="auto"/>
        </w:rPr>
        <w:t>Administrator</w:t>
      </w:r>
      <w:r>
        <w:rPr>
          <w:rFonts w:ascii="Arial" w:cs="Arial" w:eastAsia="Arial" w:hAnsi="Arial"/>
          <w:sz w:val="22"/>
          <w:szCs w:val="22"/>
          <w:color w:val="auto"/>
        </w:rPr>
        <w:t>”), amending and restating, in its entirety the initial administration agreement, dated as of March 15, 2011, by and between the Company and the Administrator (the “</w:t>
      </w:r>
      <w:r>
        <w:rPr>
          <w:rFonts w:ascii="Arial" w:cs="Arial" w:eastAsia="Arial" w:hAnsi="Arial"/>
          <w:sz w:val="22"/>
          <w:szCs w:val="22"/>
          <w:u w:val="single" w:color="auto"/>
          <w:color w:val="auto"/>
        </w:rPr>
        <w:t>Initial Agreement</w:t>
      </w:r>
      <w:r>
        <w:rPr>
          <w:rFonts w:ascii="Arial" w:cs="Arial" w:eastAsia="Arial" w:hAnsi="Arial"/>
          <w:sz w:val="22"/>
          <w:szCs w:val="22"/>
          <w:color w:val="auto"/>
        </w:rPr>
        <w:t>”).</w:t>
      </w:r>
    </w:p>
    <w:p>
      <w:pPr>
        <w:spacing w:after="0" w:line="185" w:lineRule="exact"/>
        <w:rPr>
          <w:sz w:val="20"/>
          <w:szCs w:val="20"/>
          <w:color w:val="auto"/>
        </w:rPr>
      </w:pPr>
    </w:p>
    <w:p>
      <w:pPr>
        <w:ind w:right="240" w:firstLine="877"/>
        <w:spacing w:after="0" w:line="274" w:lineRule="auto"/>
        <w:rPr>
          <w:sz w:val="20"/>
          <w:szCs w:val="20"/>
          <w:color w:val="auto"/>
        </w:rPr>
      </w:pPr>
      <w:r>
        <w:rPr>
          <w:rFonts w:ascii="Arial" w:cs="Arial" w:eastAsia="Arial" w:hAnsi="Arial"/>
          <w:sz w:val="21"/>
          <w:szCs w:val="21"/>
          <w:color w:val="auto"/>
        </w:rPr>
        <w:t>WHEREAS, the Company is a closed-end management investment fund that intends to elect to be treated as a business development company (“</w:t>
      </w:r>
      <w:r>
        <w:rPr>
          <w:rFonts w:ascii="Arial" w:cs="Arial" w:eastAsia="Arial" w:hAnsi="Arial"/>
          <w:sz w:val="21"/>
          <w:szCs w:val="21"/>
          <w:u w:val="single" w:color="auto"/>
          <w:color w:val="auto"/>
        </w:rPr>
        <w:t>BDC</w:t>
      </w:r>
      <w:r>
        <w:rPr>
          <w:rFonts w:ascii="Arial" w:cs="Arial" w:eastAsia="Arial" w:hAnsi="Arial"/>
          <w:sz w:val="21"/>
          <w:szCs w:val="21"/>
          <w:color w:val="auto"/>
        </w:rPr>
        <w:t>”) under the Investment Company Act of 1940 (the “</w:t>
      </w:r>
      <w:r>
        <w:rPr>
          <w:rFonts w:ascii="Arial" w:cs="Arial" w:eastAsia="Arial" w:hAnsi="Arial"/>
          <w:sz w:val="21"/>
          <w:szCs w:val="21"/>
          <w:u w:val="single" w:color="auto"/>
          <w:color w:val="auto"/>
        </w:rPr>
        <w:t>Investment Company Act</w:t>
      </w:r>
      <w:r>
        <w:rPr>
          <w:rFonts w:ascii="Arial" w:cs="Arial" w:eastAsia="Arial" w:hAnsi="Arial"/>
          <w:sz w:val="21"/>
          <w:szCs w:val="21"/>
          <w:color w:val="auto"/>
        </w:rPr>
        <w:t>”);</w:t>
      </w:r>
    </w:p>
    <w:p>
      <w:pPr>
        <w:spacing w:after="0" w:line="151" w:lineRule="exact"/>
        <w:rPr>
          <w:sz w:val="20"/>
          <w:szCs w:val="20"/>
          <w:color w:val="auto"/>
        </w:rPr>
      </w:pPr>
    </w:p>
    <w:p>
      <w:pPr>
        <w:ind w:right="240" w:firstLine="877"/>
        <w:spacing w:after="0" w:line="251" w:lineRule="auto"/>
        <w:rPr>
          <w:sz w:val="20"/>
          <w:szCs w:val="20"/>
          <w:color w:val="auto"/>
        </w:rPr>
      </w:pPr>
      <w:r>
        <w:rPr>
          <w:rFonts w:ascii="Arial" w:cs="Arial" w:eastAsia="Arial" w:hAnsi="Arial"/>
          <w:sz w:val="22"/>
          <w:szCs w:val="22"/>
          <w:color w:val="auto"/>
        </w:rPr>
        <w:t>WHEREAS, the Company retained the Administrator to provide administrative services to the Company in the manner and on the terms set forth in the Initial Agreement;</w:t>
      </w:r>
    </w:p>
    <w:p>
      <w:pPr>
        <w:spacing w:after="0" w:line="173" w:lineRule="exact"/>
        <w:rPr>
          <w:sz w:val="20"/>
          <w:szCs w:val="20"/>
          <w:color w:val="auto"/>
        </w:rPr>
      </w:pPr>
    </w:p>
    <w:p>
      <w:pPr>
        <w:ind w:right="60" w:firstLine="877"/>
        <w:spacing w:after="0" w:line="251" w:lineRule="auto"/>
        <w:rPr>
          <w:sz w:val="20"/>
          <w:szCs w:val="20"/>
          <w:color w:val="auto"/>
        </w:rPr>
      </w:pPr>
      <w:r>
        <w:rPr>
          <w:rFonts w:ascii="Arial" w:cs="Arial" w:eastAsia="Arial" w:hAnsi="Arial"/>
          <w:sz w:val="22"/>
          <w:szCs w:val="22"/>
          <w:color w:val="auto"/>
        </w:rPr>
        <w:t>WHEREAS, the Administrator is willing to continue to provide administrative services to the Company on the terms and conditions set forth in the Initial Agreement;</w:t>
      </w:r>
    </w:p>
    <w:p>
      <w:pPr>
        <w:spacing w:after="0" w:line="173" w:lineRule="exact"/>
        <w:rPr>
          <w:sz w:val="20"/>
          <w:szCs w:val="20"/>
          <w:color w:val="auto"/>
        </w:rPr>
      </w:pPr>
    </w:p>
    <w:p>
      <w:pPr>
        <w:ind w:right="740" w:firstLine="877"/>
        <w:spacing w:after="0" w:line="251" w:lineRule="auto"/>
        <w:rPr>
          <w:sz w:val="20"/>
          <w:szCs w:val="20"/>
          <w:color w:val="auto"/>
        </w:rPr>
      </w:pPr>
      <w:r>
        <w:rPr>
          <w:rFonts w:ascii="Arial" w:cs="Arial" w:eastAsia="Arial" w:hAnsi="Arial"/>
          <w:sz w:val="22"/>
          <w:szCs w:val="22"/>
          <w:color w:val="auto"/>
        </w:rPr>
        <w:t>WHEREAS, the Company has entered into an Investment Advisory Management Agreement by and between the Company and the Adviser, as amended from time to time (the “</w:t>
      </w:r>
      <w:r>
        <w:rPr>
          <w:rFonts w:ascii="Arial" w:cs="Arial" w:eastAsia="Arial" w:hAnsi="Arial"/>
          <w:sz w:val="22"/>
          <w:szCs w:val="22"/>
          <w:u w:val="single" w:color="auto"/>
          <w:color w:val="auto"/>
        </w:rPr>
        <w:t>Advisory Agreement</w:t>
      </w:r>
      <w:r>
        <w:rPr>
          <w:rFonts w:ascii="Arial" w:cs="Arial" w:eastAsia="Arial" w:hAnsi="Arial"/>
          <w:sz w:val="22"/>
          <w:szCs w:val="22"/>
          <w:color w:val="auto"/>
        </w:rPr>
        <w:t>”);</w:t>
      </w:r>
    </w:p>
    <w:p>
      <w:pPr>
        <w:spacing w:after="0" w:line="173" w:lineRule="exact"/>
        <w:rPr>
          <w:sz w:val="20"/>
          <w:szCs w:val="20"/>
          <w:color w:val="auto"/>
        </w:rPr>
      </w:pPr>
    </w:p>
    <w:p>
      <w:pPr>
        <w:ind w:right="240" w:firstLine="877"/>
        <w:spacing w:after="0" w:line="328" w:lineRule="auto"/>
        <w:rPr>
          <w:sz w:val="20"/>
          <w:szCs w:val="20"/>
          <w:color w:val="auto"/>
        </w:rPr>
      </w:pPr>
      <w:r>
        <w:rPr>
          <w:rFonts w:ascii="Arial" w:cs="Arial" w:eastAsia="Arial" w:hAnsi="Arial"/>
          <w:sz w:val="19"/>
          <w:szCs w:val="19"/>
          <w:color w:val="auto"/>
        </w:rPr>
        <w:t>WHEREAS, the Company bears all costs and expenses incurred in its operation, administration and transactions which are not specifically assumed by the Adviser pursuant to the Advisory Agreement or the Initial Agreement;</w:t>
      </w:r>
    </w:p>
    <w:p>
      <w:pPr>
        <w:spacing w:after="0" w:line="105" w:lineRule="exact"/>
        <w:rPr>
          <w:sz w:val="20"/>
          <w:szCs w:val="20"/>
          <w:color w:val="auto"/>
        </w:rPr>
      </w:pPr>
    </w:p>
    <w:p>
      <w:pPr>
        <w:ind w:right="480" w:firstLine="877"/>
        <w:spacing w:after="0" w:line="251" w:lineRule="auto"/>
        <w:rPr>
          <w:sz w:val="20"/>
          <w:szCs w:val="20"/>
          <w:color w:val="auto"/>
        </w:rPr>
      </w:pPr>
      <w:r>
        <w:rPr>
          <w:rFonts w:ascii="Arial" w:cs="Arial" w:eastAsia="Arial" w:hAnsi="Arial"/>
          <w:sz w:val="22"/>
          <w:szCs w:val="22"/>
          <w:color w:val="auto"/>
        </w:rPr>
        <w:t>WHEREAS, the Advisory Agreement and the Initial Agreement each set forth a non-exclusive list of expenses to be borne by the Company; and</w:t>
      </w:r>
    </w:p>
    <w:p>
      <w:pPr>
        <w:spacing w:after="0" w:line="173"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WHEREAS, the Company and the Administrator wish to amend and restate the Initial Agreement in its entirety to make certain clarifications to the agreement, including with respect to the scope of the costs and expenses of the Administrator’s services, pursuant to the terms and conditions hereinafter set forth.</w:t>
      </w:r>
    </w:p>
    <w:p>
      <w:pPr>
        <w:spacing w:after="0" w:line="186" w:lineRule="exact"/>
        <w:rPr>
          <w:sz w:val="20"/>
          <w:szCs w:val="20"/>
          <w:color w:val="auto"/>
        </w:rPr>
      </w:pPr>
    </w:p>
    <w:p>
      <w:pPr>
        <w:jc w:val="both"/>
        <w:ind w:right="300" w:firstLine="877"/>
        <w:spacing w:after="0"/>
        <w:rPr>
          <w:sz w:val="20"/>
          <w:szCs w:val="20"/>
          <w:color w:val="auto"/>
        </w:rPr>
      </w:pPr>
      <w:r>
        <w:rPr>
          <w:rFonts w:ascii="Arial" w:cs="Arial" w:eastAsia="Arial" w:hAnsi="Arial"/>
          <w:sz w:val="22"/>
          <w:szCs w:val="22"/>
          <w:color w:val="auto"/>
        </w:rPr>
        <w:t>NOW, THEREFORE, in consideration of the premises and the covenants hereinafter contained and for other good and valuable consideration, the receipt and adequacy of which is hereby acknowledged, the Company and the Administrator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30" w:name="page231"/>
    <w:bookmarkEnd w:id="230"/>
    <w:p>
      <w:pPr>
        <w:ind w:left="880" w:hanging="872"/>
        <w:spacing w:after="0"/>
        <w:tabs>
          <w:tab w:leader="none" w:pos="880" w:val="left"/>
        </w:tabs>
        <w:numPr>
          <w:ilvl w:val="0"/>
          <w:numId w:val="2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Duties of the Administrator</w:t>
      </w:r>
    </w:p>
    <w:p>
      <w:pPr>
        <w:spacing w:after="0" w:line="212" w:lineRule="exact"/>
        <w:rPr>
          <w:rFonts w:ascii="Arial" w:cs="Arial" w:eastAsia="Arial" w:hAnsi="Arial"/>
          <w:sz w:val="22"/>
          <w:szCs w:val="22"/>
          <w:b w:val="1"/>
          <w:bCs w:val="1"/>
          <w:color w:val="auto"/>
        </w:rPr>
      </w:pPr>
    </w:p>
    <w:p>
      <w:pPr>
        <w:ind w:firstLine="1763"/>
        <w:spacing w:after="0" w:line="275" w:lineRule="auto"/>
        <w:tabs>
          <w:tab w:leader="none" w:pos="2643" w:val="left"/>
        </w:tabs>
        <w:numPr>
          <w:ilvl w:val="1"/>
          <w:numId w:val="278"/>
        </w:numPr>
        <w:rPr>
          <w:rFonts w:ascii="Arial" w:cs="Arial" w:eastAsia="Arial" w:hAnsi="Arial"/>
          <w:sz w:val="19"/>
          <w:szCs w:val="19"/>
          <w:color w:val="auto"/>
        </w:rPr>
      </w:pPr>
      <w:r>
        <w:rPr>
          <w:rFonts w:ascii="Arial" w:cs="Arial" w:eastAsia="Arial" w:hAnsi="Arial"/>
          <w:sz w:val="19"/>
          <w:szCs w:val="19"/>
          <w:u w:val="single" w:color="auto"/>
          <w:color w:val="auto"/>
        </w:rPr>
        <w:t>Employment of Administrator.</w:t>
      </w:r>
      <w:r>
        <w:rPr>
          <w:rFonts w:ascii="Arial" w:cs="Arial" w:eastAsia="Arial" w:hAnsi="Arial"/>
          <w:sz w:val="19"/>
          <w:szCs w:val="19"/>
          <w:color w:val="auto"/>
        </w:rPr>
        <w:t xml:space="preserve"> The Company hereby employs the Administrator to act as administrator of the Company, and to furnish, or arrange for others to furnish, the administrative services, personnel and facilities described below, subject to review by and the overall control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Company in any way or otherwise be deemed agents of the Company.</w:t>
      </w:r>
    </w:p>
    <w:p>
      <w:pPr>
        <w:spacing w:after="0" w:line="158" w:lineRule="exact"/>
        <w:rPr>
          <w:rFonts w:ascii="Arial" w:cs="Arial" w:eastAsia="Arial" w:hAnsi="Arial"/>
          <w:sz w:val="19"/>
          <w:szCs w:val="19"/>
          <w:color w:val="auto"/>
        </w:rPr>
      </w:pPr>
    </w:p>
    <w:p>
      <w:pPr>
        <w:ind w:firstLine="1763"/>
        <w:spacing w:after="0" w:line="270" w:lineRule="auto"/>
        <w:tabs>
          <w:tab w:leader="none" w:pos="2655" w:val="left"/>
        </w:tabs>
        <w:numPr>
          <w:ilvl w:val="1"/>
          <w:numId w:val="278"/>
        </w:numPr>
        <w:rPr>
          <w:rFonts w:ascii="Arial" w:cs="Arial" w:eastAsia="Arial" w:hAnsi="Arial"/>
          <w:sz w:val="19"/>
          <w:szCs w:val="19"/>
          <w:color w:val="auto"/>
        </w:rPr>
      </w:pPr>
      <w:r>
        <w:rPr>
          <w:rFonts w:ascii="Arial" w:cs="Arial" w:eastAsia="Arial" w:hAnsi="Arial"/>
          <w:sz w:val="19"/>
          <w:szCs w:val="19"/>
          <w:u w:val="single" w:color="auto"/>
          <w:color w:val="auto"/>
        </w:rPr>
        <w:t>Services.</w:t>
      </w:r>
      <w:r>
        <w:rPr>
          <w:rFonts w:ascii="Arial" w:cs="Arial" w:eastAsia="Arial" w:hAnsi="Arial"/>
          <w:sz w:val="19"/>
          <w:szCs w:val="19"/>
          <w:color w:val="auto"/>
        </w:rPr>
        <w:t xml:space="preserve"> The Administrator shall perform (or oversee, or arrange for, the performance of) the administrative services necessary for the operation of the Company. Without limiting the generality of the foregoing, the Administrator shall provide the Company with office facilities, equipment, clerical, bookkeeping and record keeping services at such facilities and such other services as the Administrator, subject to review by the Board, shall from time to time determine to be necessary or useful to perform its obligations under this Agreement. The Administrator shall also, on behalf of the Company,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Board of its performance of obligations hereunder and furnish advice and recommendations with respect to such other aspects of the business and affairs of the Company as it shall determine to be desirable; provided that nothing herein shall be construed to require the Administrator to, and the Administrator shall not, in its capacity as Administrator pursuant to this Agreement, provide any advice or recommendation relating to the securities and other assets that the Company should purchase, retain or sell or any other investment advisory services to the Company. The Administrator shall be responsible for the financial and other records that the Company is required to maintain and shall prepare, print and disseminate reports to stockholders, and reports and other materials filed with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The Administrator will provide on the Company’s behalf significant managerial assistance to those portfolio companies to which the Company is required to provide such assistance. In addition, the Administrator will assist the Company in determining and publishing (as necessary or appropriate) the Company’s net asset value, overseeing the preparation and filing of the Company’s tax returns, and generally overseeing the payment of the Company’s expenses and the performance of administrative and professional services rendered to the Company by others.</w:t>
      </w:r>
    </w:p>
    <w:p>
      <w:pPr>
        <w:spacing w:after="0" w:line="158" w:lineRule="exact"/>
        <w:rPr>
          <w:rFonts w:ascii="Arial" w:cs="Arial" w:eastAsia="Arial" w:hAnsi="Arial"/>
          <w:sz w:val="19"/>
          <w:szCs w:val="19"/>
          <w:color w:val="auto"/>
        </w:rPr>
      </w:pPr>
    </w:p>
    <w:p>
      <w:pPr>
        <w:ind w:left="880" w:hanging="872"/>
        <w:spacing w:after="0"/>
        <w:tabs>
          <w:tab w:leader="none" w:pos="880" w:val="left"/>
        </w:tabs>
        <w:numPr>
          <w:ilvl w:val="0"/>
          <w:numId w:val="2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Records</w:t>
      </w:r>
    </w:p>
    <w:p>
      <w:pPr>
        <w:spacing w:after="0" w:line="212" w:lineRule="exact"/>
        <w:rPr>
          <w:sz w:val="20"/>
          <w:szCs w:val="20"/>
          <w:color w:val="auto"/>
        </w:rPr>
      </w:pPr>
    </w:p>
    <w:p>
      <w:pPr>
        <w:ind w:right="280" w:firstLine="877"/>
        <w:spacing w:after="0" w:line="297" w:lineRule="auto"/>
        <w:rPr>
          <w:sz w:val="20"/>
          <w:szCs w:val="20"/>
          <w:color w:val="auto"/>
        </w:rPr>
      </w:pPr>
      <w:r>
        <w:rPr>
          <w:rFonts w:ascii="Arial" w:cs="Arial" w:eastAsia="Arial" w:hAnsi="Arial"/>
          <w:sz w:val="19"/>
          <w:szCs w:val="19"/>
          <w:color w:val="auto"/>
        </w:rPr>
        <w:t>The Administrator agrees to maintain and keep all books, accounts and other records of the Company that relate to activities performed by the Administrator hereunder and will maintain and keep such books, accounts and records in accordance with the Investment Company Act. In compliance with the requirements of Rule 31a-3 under the Investment Company Act, the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231" w:name="page232"/>
    <w:bookmarkEnd w:id="231"/>
    <w:p>
      <w:pPr>
        <w:ind w:right="60"/>
        <w:spacing w:after="0" w:line="247" w:lineRule="auto"/>
        <w:rPr>
          <w:sz w:val="20"/>
          <w:szCs w:val="20"/>
          <w:color w:val="auto"/>
        </w:rPr>
      </w:pPr>
      <w:r>
        <w:rPr>
          <w:rFonts w:ascii="Arial" w:cs="Arial" w:eastAsia="Arial" w:hAnsi="Arial"/>
          <w:sz w:val="21"/>
          <w:szCs w:val="21"/>
          <w:color w:val="auto"/>
        </w:rPr>
        <w:t>Administrator agrees that all records which it maintains for the Company shall at all times remain the property of the Company, shall be readily accessible during normal business hours, and shall be promptly surrendered upon the termination of the Agreement or otherwise on written request. The Administrator further agrees that all records which it maintains for the Company pursuant to Rule 31a-1 under the Investment Company Act will be preserved for the periods prescribed by Rule 31a-2 under the Investment Company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172" w:lineRule="exact"/>
        <w:rPr>
          <w:sz w:val="20"/>
          <w:szCs w:val="20"/>
          <w:color w:val="auto"/>
        </w:rPr>
      </w:pPr>
    </w:p>
    <w:p>
      <w:pPr>
        <w:ind w:left="880" w:hanging="872"/>
        <w:spacing w:after="0"/>
        <w:tabs>
          <w:tab w:leader="none" w:pos="880" w:val="left"/>
        </w:tabs>
        <w:numPr>
          <w:ilvl w:val="0"/>
          <w:numId w:val="2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p>
    <w:p>
      <w:pPr>
        <w:spacing w:after="0" w:line="212" w:lineRule="exact"/>
        <w:rPr>
          <w:sz w:val="20"/>
          <w:szCs w:val="20"/>
          <w:color w:val="auto"/>
        </w:rPr>
      </w:pPr>
    </w:p>
    <w:p>
      <w:pPr>
        <w:ind w:right="220" w:firstLine="877"/>
        <w:spacing w:after="0" w:line="275" w:lineRule="auto"/>
        <w:rPr>
          <w:sz w:val="20"/>
          <w:szCs w:val="20"/>
          <w:color w:val="auto"/>
        </w:rPr>
      </w:pPr>
      <w:r>
        <w:rPr>
          <w:rFonts w:ascii="Arial" w:cs="Arial" w:eastAsia="Arial" w:hAnsi="Arial"/>
          <w:sz w:val="19"/>
          <w:szCs w:val="19"/>
          <w:color w:val="auto"/>
        </w:rPr>
        <w:t>The parties hereto agree that each shall treat confidentially the terms and conditions of this Agreement and all information provided by each party to the other regarding its business and operations. All confidential information provided by a party hereto, including nonpublic personal information (regulated pursuant to Regulation S-P of the SEC),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152" w:lineRule="exact"/>
        <w:rPr>
          <w:sz w:val="20"/>
          <w:szCs w:val="20"/>
          <w:color w:val="auto"/>
        </w:rPr>
      </w:pPr>
    </w:p>
    <w:p>
      <w:pPr>
        <w:ind w:left="880" w:hanging="872"/>
        <w:spacing w:after="0"/>
        <w:tabs>
          <w:tab w:leader="none" w:pos="880" w:val="left"/>
        </w:tabs>
        <w:numPr>
          <w:ilvl w:val="0"/>
          <w:numId w:val="2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Allocation of Costs and Expenses</w:t>
      </w:r>
    </w:p>
    <w:p>
      <w:pPr>
        <w:spacing w:after="0" w:line="212" w:lineRule="exact"/>
        <w:rPr>
          <w:sz w:val="20"/>
          <w:szCs w:val="20"/>
          <w:color w:val="auto"/>
        </w:rPr>
      </w:pPr>
    </w:p>
    <w:p>
      <w:pPr>
        <w:ind w:firstLine="877"/>
        <w:spacing w:after="0" w:line="234" w:lineRule="auto"/>
        <w:rPr>
          <w:sz w:val="20"/>
          <w:szCs w:val="20"/>
          <w:color w:val="auto"/>
        </w:rPr>
      </w:pPr>
      <w:r>
        <w:rPr>
          <w:rFonts w:ascii="Arial" w:cs="Arial" w:eastAsia="Arial" w:hAnsi="Arial"/>
          <w:sz w:val="22"/>
          <w:szCs w:val="22"/>
          <w:color w:val="auto"/>
        </w:rPr>
        <w:t>In full consideration of the provision of the services of the Administrator, the Company shall reimburse the Administrator for the costs and expenses incurred by the Administrator in performing its obligations and providing personnel and facilities hereunder, it being understood and agreed that, except as otherwise provided herein or in the Advisory Agreement, the Administrator shall be solely responsible for the compensation of its investment professionals and its allocable portion of the compensation of any personnel that provide it operational or administrative services, as well as the allocable portion of overhead expenses (including rent, office equipment and utilities) attributable thereto. The Company will bear all costs and expenses that are incurred in its operation, administration and transactions and not specifically assumed by the Adviser pursuant to the Advisory Agreement.</w:t>
      </w:r>
    </w:p>
    <w:p>
      <w:pPr>
        <w:spacing w:after="0" w:line="188" w:lineRule="exact"/>
        <w:rPr>
          <w:sz w:val="20"/>
          <w:szCs w:val="20"/>
          <w:color w:val="auto"/>
        </w:rPr>
      </w:pPr>
    </w:p>
    <w:p>
      <w:pPr>
        <w:ind w:right="100" w:firstLine="877"/>
        <w:spacing w:after="0" w:line="246" w:lineRule="auto"/>
        <w:rPr>
          <w:sz w:val="20"/>
          <w:szCs w:val="20"/>
          <w:color w:val="auto"/>
        </w:rPr>
      </w:pPr>
      <w:r>
        <w:rPr>
          <w:rFonts w:ascii="Arial" w:cs="Arial" w:eastAsia="Arial" w:hAnsi="Arial"/>
          <w:sz w:val="21"/>
          <w:szCs w:val="21"/>
          <w:color w:val="auto"/>
        </w:rPr>
        <w:t>Costs and expenses to be borne by the Company include, but are not limited to, those relating to: calculating the Company’s net asset value (including the cost and expenses of any independent valuation firm); expenses incurred by the Adviser payable to third parties, including agents, consultants or other advisors, in monitoring financial and legal affairs for the Company and in providing operational and administrative services, monitoring the Company’s investments and performing due diligence on its prospective portfolio companies; interest payable on debt, if any, incurred to finance the Company’s investments; sales and purchases of the Company’s common stock and other securities; investment advisory and management fees; administration fees, if any, payable under this Agreement or the Advisory Agreement; fees payable to third parties, including agents, consultants or other advisors, relating to, or associated with, evaluating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32" w:name="page233"/>
    <w:bookmarkEnd w:id="232"/>
    <w:p>
      <w:pPr>
        <w:spacing w:after="0" w:line="272" w:lineRule="auto"/>
        <w:rPr>
          <w:sz w:val="20"/>
          <w:szCs w:val="20"/>
          <w:color w:val="auto"/>
        </w:rPr>
      </w:pPr>
      <w:r>
        <w:rPr>
          <w:rFonts w:ascii="Arial" w:cs="Arial" w:eastAsia="Arial" w:hAnsi="Arial"/>
          <w:sz w:val="19"/>
          <w:szCs w:val="19"/>
          <w:color w:val="auto"/>
        </w:rPr>
        <w:t>and making or holding investments; transfer agent and custodial fees; federal and state registration fees; all costs of registration and listing the Company’s shares on any securities exchange; federal, state and local taxes; independent directors’ fees and expenses; costs of preparing financial statements and maintaining books and records and filing reports or other documents with the SEC (or other regulatory bodies) and other reporting, legal and compliance costs; costs of any reports, proxy statements or other notices to stockholders, including printing and mailing costs and the costs of any stockholders’ meetings; the Company’s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the Company’s allocable portion of the compensation of any personnel that provide it operational or administrative services hereunder, as well as the allocable portion of overhead expenses (including rent, office equipment and utilities) attributable thereto; and all other expenses incurred by the Company or the Administrator in connection with making investments, overseeing administrators, and administering the Company’s business not otherwise expressly payable by the Administrator pursuant to the Advisory Agreement or pursuant hereto.</w:t>
      </w:r>
    </w:p>
    <w:p>
      <w:pPr>
        <w:spacing w:after="0" w:line="162" w:lineRule="exact"/>
        <w:rPr>
          <w:sz w:val="20"/>
          <w:szCs w:val="20"/>
          <w:color w:val="auto"/>
        </w:rPr>
      </w:pPr>
    </w:p>
    <w:p>
      <w:pPr>
        <w:ind w:firstLine="877"/>
        <w:spacing w:after="0" w:line="275" w:lineRule="auto"/>
        <w:rPr>
          <w:sz w:val="20"/>
          <w:szCs w:val="20"/>
          <w:color w:val="auto"/>
        </w:rPr>
      </w:pPr>
      <w:r>
        <w:rPr>
          <w:rFonts w:ascii="Arial" w:cs="Arial" w:eastAsia="Arial" w:hAnsi="Arial"/>
          <w:sz w:val="19"/>
          <w:szCs w:val="19"/>
          <w:color w:val="auto"/>
        </w:rPr>
        <w:t>For the avoidance of doubt, the Company will bear its allocable portion of the costs of the compensation, benefits, and related administrative expenses (including travel expenses) of the Company’s officers who provide operational and administrative services hereunder, their respective staffs and other professionals who provide services to the Company (including, in each case, employees of the Administrator or an affiliate) who assist with the preparation, coordination, and administration of the foregoing or provide other “back office” or “middle office” financial or operational services to the Company. Notwithstanding anything to the contrary contained herein, the Company shall reimburse the Adviser (or its affiliates) for an allocable portion of the compensation paid by the Adviser (or its affiliates) to such individuals (based on a percentage of time such individuals devote, on an estimated basis, to the business and affairs of the Company and in acting on behalf of the Company).</w:t>
      </w:r>
    </w:p>
    <w:p>
      <w:pPr>
        <w:spacing w:after="0" w:line="152" w:lineRule="exact"/>
        <w:rPr>
          <w:sz w:val="20"/>
          <w:szCs w:val="20"/>
          <w:color w:val="auto"/>
        </w:rPr>
      </w:pPr>
    </w:p>
    <w:p>
      <w:pPr>
        <w:ind w:left="880" w:hanging="872"/>
        <w:spacing w:after="0"/>
        <w:tabs>
          <w:tab w:leader="none" w:pos="880" w:val="left"/>
        </w:tabs>
        <w:numPr>
          <w:ilvl w:val="0"/>
          <w:numId w:val="2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Limitation of Liability of the Administrator; Indemnification</w:t>
      </w:r>
    </w:p>
    <w:p>
      <w:pPr>
        <w:spacing w:after="0" w:line="212" w:lineRule="exact"/>
        <w:rPr>
          <w:sz w:val="20"/>
          <w:szCs w:val="20"/>
          <w:color w:val="auto"/>
        </w:rPr>
      </w:pPr>
    </w:p>
    <w:p>
      <w:pPr>
        <w:ind w:right="100" w:firstLine="877"/>
        <w:spacing w:after="0" w:line="273" w:lineRule="auto"/>
        <w:rPr>
          <w:sz w:val="20"/>
          <w:szCs w:val="20"/>
          <w:color w:val="auto"/>
        </w:rPr>
      </w:pPr>
      <w:r>
        <w:rPr>
          <w:rFonts w:ascii="Arial" w:cs="Arial" w:eastAsia="Arial" w:hAnsi="Arial"/>
          <w:sz w:val="19"/>
          <w:szCs w:val="19"/>
          <w:color w:val="auto"/>
        </w:rPr>
        <w:t>The Administrator (and its members, managers, officers, employees, agents, controlling persons and any other person or entity affiliated with it) shall not be liable to the Company for any action taken or omitted to be taken by the Administrator in connection with the performance of any of its duties or obligations under this Agreement or otherwise as administrator for the Company. As permitted by Article VIII of the Certificate of Incorporation,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or any other person or entity affiliated with the Administrator (each such person hereinafter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on the same general terms set forth in Article VIII of the Certificate of Incorporation, the terms of which are incorporated herein </w:t>
      </w:r>
      <w:r>
        <w:rPr>
          <w:rFonts w:ascii="Arial" w:cs="Arial" w:eastAsia="Arial" w:hAnsi="Arial"/>
          <w:sz w:val="19"/>
          <w:szCs w:val="19"/>
          <w:i w:val="1"/>
          <w:iCs w:val="1"/>
          <w:color w:val="auto"/>
        </w:rPr>
        <w:t>mutatis mutandi</w:t>
      </w:r>
      <w:r>
        <w:rPr>
          <w:rFonts w:ascii="Arial" w:cs="Arial" w:eastAsia="Arial" w:hAnsi="Arial"/>
          <w:sz w:val="19"/>
          <w:szCs w:val="19"/>
          <w:color w:val="auto"/>
        </w:rPr>
        <w:t xml:space="preserve"> as applied to the Indemnitees.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233" w:name="page234"/>
    <w:bookmarkEnd w:id="233"/>
    <w:p>
      <w:pPr>
        <w:ind w:left="880" w:hanging="872"/>
        <w:spacing w:after="0"/>
        <w:tabs>
          <w:tab w:leader="none" w:pos="880" w:val="left"/>
        </w:tabs>
        <w:numPr>
          <w:ilvl w:val="0"/>
          <w:numId w:val="2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Activities of the Administrator</w:t>
      </w:r>
    </w:p>
    <w:p>
      <w:pPr>
        <w:spacing w:after="0" w:line="212" w:lineRule="exact"/>
        <w:rPr>
          <w:sz w:val="20"/>
          <w:szCs w:val="20"/>
          <w:color w:val="auto"/>
        </w:rPr>
      </w:pPr>
    </w:p>
    <w:p>
      <w:pPr>
        <w:ind w:firstLine="877"/>
        <w:spacing w:after="0" w:line="235" w:lineRule="auto"/>
        <w:rPr>
          <w:sz w:val="20"/>
          <w:szCs w:val="20"/>
          <w:color w:val="auto"/>
        </w:rPr>
      </w:pPr>
      <w:r>
        <w:rPr>
          <w:rFonts w:ascii="Arial" w:cs="Arial" w:eastAsia="Arial" w:hAnsi="Arial"/>
          <w:sz w:val="22"/>
          <w:szCs w:val="22"/>
          <w:color w:val="auto"/>
        </w:rPr>
        <w:t>The services of the Administrator to the Company are not to be deemed to be exclusive, and the Administrator and each affiliate is free to render services to others. It is understood that directors, officers, employees and stockholders of the Company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Company as stockholders or otherwise.</w:t>
      </w:r>
    </w:p>
    <w:p>
      <w:pPr>
        <w:spacing w:after="0" w:line="182" w:lineRule="exact"/>
        <w:rPr>
          <w:sz w:val="20"/>
          <w:szCs w:val="20"/>
          <w:color w:val="auto"/>
        </w:rPr>
      </w:pPr>
    </w:p>
    <w:p>
      <w:pPr>
        <w:ind w:left="880" w:hanging="872"/>
        <w:spacing w:after="0"/>
        <w:tabs>
          <w:tab w:leader="none" w:pos="880" w:val="left"/>
        </w:tabs>
        <w:numPr>
          <w:ilvl w:val="0"/>
          <w:numId w:val="2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Duration and Termination of this Agreement</w:t>
      </w:r>
    </w:p>
    <w:p>
      <w:pPr>
        <w:spacing w:after="0" w:line="212" w:lineRule="exact"/>
        <w:rPr>
          <w:rFonts w:ascii="Arial" w:cs="Arial" w:eastAsia="Arial" w:hAnsi="Arial"/>
          <w:sz w:val="22"/>
          <w:szCs w:val="22"/>
          <w:b w:val="1"/>
          <w:bCs w:val="1"/>
          <w:color w:val="auto"/>
        </w:rPr>
      </w:pPr>
    </w:p>
    <w:p>
      <w:pPr>
        <w:ind w:right="140" w:firstLine="1763"/>
        <w:spacing w:after="0" w:line="328" w:lineRule="auto"/>
        <w:tabs>
          <w:tab w:leader="none" w:pos="2643" w:val="left"/>
        </w:tabs>
        <w:numPr>
          <w:ilvl w:val="1"/>
          <w:numId w:val="283"/>
        </w:numPr>
        <w:rPr>
          <w:rFonts w:ascii="Arial" w:cs="Arial" w:eastAsia="Arial" w:hAnsi="Arial"/>
          <w:sz w:val="19"/>
          <w:szCs w:val="19"/>
          <w:color w:val="auto"/>
        </w:rPr>
      </w:pPr>
      <w:r>
        <w:rPr>
          <w:rFonts w:ascii="Arial" w:cs="Arial" w:eastAsia="Arial" w:hAnsi="Arial"/>
          <w:sz w:val="19"/>
          <w:szCs w:val="19"/>
          <w:color w:val="auto"/>
        </w:rPr>
        <w:t>This Agreement shall continue in effect for one year from the date hereof, and thereafter shall continue automatically for successive annual periods, provided that such continuance is specifically approved at least annually by:</w:t>
      </w:r>
    </w:p>
    <w:p>
      <w:pPr>
        <w:spacing w:after="0" w:line="105" w:lineRule="exact"/>
        <w:rPr>
          <w:rFonts w:ascii="Arial" w:cs="Arial" w:eastAsia="Arial" w:hAnsi="Arial"/>
          <w:sz w:val="19"/>
          <w:szCs w:val="19"/>
          <w:color w:val="auto"/>
        </w:rPr>
      </w:pPr>
    </w:p>
    <w:p>
      <w:pPr>
        <w:ind w:left="3500" w:hanging="858"/>
        <w:spacing w:after="0"/>
        <w:tabs>
          <w:tab w:leader="none" w:pos="3500" w:val="left"/>
        </w:tabs>
        <w:numPr>
          <w:ilvl w:val="2"/>
          <w:numId w:val="283"/>
        </w:numPr>
        <w:rPr>
          <w:rFonts w:ascii="Arial" w:cs="Arial" w:eastAsia="Arial" w:hAnsi="Arial"/>
          <w:sz w:val="19"/>
          <w:szCs w:val="19"/>
          <w:color w:val="auto"/>
        </w:rPr>
      </w:pPr>
      <w:r>
        <w:rPr>
          <w:rFonts w:ascii="Arial" w:cs="Arial" w:eastAsia="Arial" w:hAnsi="Arial"/>
          <w:sz w:val="19"/>
          <w:szCs w:val="19"/>
          <w:color w:val="auto"/>
        </w:rPr>
        <w:t>the vote of the Board, or by the vote of a majority of the outstanding voting securities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Company; and</w:t>
      </w:r>
    </w:p>
    <w:p>
      <w:pPr>
        <w:spacing w:after="0" w:line="188" w:lineRule="exact"/>
        <w:rPr>
          <w:rFonts w:ascii="Arial" w:cs="Arial" w:eastAsia="Arial" w:hAnsi="Arial"/>
          <w:sz w:val="19"/>
          <w:szCs w:val="19"/>
          <w:color w:val="auto"/>
        </w:rPr>
      </w:pPr>
    </w:p>
    <w:p>
      <w:pPr>
        <w:jc w:val="both"/>
        <w:ind w:right="60" w:firstLine="2642"/>
        <w:spacing w:after="0"/>
        <w:tabs>
          <w:tab w:leader="none" w:pos="3546" w:val="left"/>
        </w:tabs>
        <w:numPr>
          <w:ilvl w:val="2"/>
          <w:numId w:val="283"/>
        </w:numPr>
        <w:rPr>
          <w:rFonts w:ascii="Arial" w:cs="Arial" w:eastAsia="Arial" w:hAnsi="Arial"/>
          <w:sz w:val="22"/>
          <w:szCs w:val="22"/>
          <w:color w:val="auto"/>
        </w:rPr>
      </w:pPr>
      <w:r>
        <w:rPr>
          <w:rFonts w:ascii="Arial" w:cs="Arial" w:eastAsia="Arial" w:hAnsi="Arial"/>
          <w:sz w:val="22"/>
          <w:szCs w:val="22"/>
          <w:color w:val="auto"/>
        </w:rPr>
        <w:t>the vote of a majority of the Company’s directors who are not parties to this Agreement or “interested persons” (as such term is defined in Section 2(a)(19) of the Investment Company Act) of any such party, in accordance with the requirements of the Investment Company Act.</w:t>
      </w:r>
    </w:p>
    <w:p>
      <w:pPr>
        <w:spacing w:after="0" w:line="186" w:lineRule="exact"/>
        <w:rPr>
          <w:rFonts w:ascii="Arial" w:cs="Arial" w:eastAsia="Arial" w:hAnsi="Arial"/>
          <w:sz w:val="22"/>
          <w:szCs w:val="22"/>
          <w:color w:val="auto"/>
        </w:rPr>
      </w:pPr>
    </w:p>
    <w:p>
      <w:pPr>
        <w:ind w:right="200" w:firstLine="1763"/>
        <w:spacing w:after="0"/>
        <w:tabs>
          <w:tab w:leader="none" w:pos="2655" w:val="left"/>
        </w:tabs>
        <w:numPr>
          <w:ilvl w:val="1"/>
          <w:numId w:val="283"/>
        </w:numPr>
        <w:rPr>
          <w:rFonts w:ascii="Arial" w:cs="Arial" w:eastAsia="Arial" w:hAnsi="Arial"/>
          <w:sz w:val="22"/>
          <w:szCs w:val="22"/>
          <w:color w:val="auto"/>
        </w:rPr>
      </w:pPr>
      <w:r>
        <w:rPr>
          <w:rFonts w:ascii="Arial" w:cs="Arial" w:eastAsia="Arial" w:hAnsi="Arial"/>
          <w:sz w:val="22"/>
          <w:szCs w:val="22"/>
          <w:color w:val="auto"/>
        </w:rPr>
        <w:t>The Agreement may be terminated at any time, without the payment of any penalty, upon not more than 60 days’ written notice, by the vote of a majority of the outstanding voting securities of the Company, or by the vote of the Board or by the Administrator.</w:t>
      </w:r>
    </w:p>
    <w:p>
      <w:pPr>
        <w:spacing w:after="0" w:line="186" w:lineRule="exact"/>
        <w:rPr>
          <w:rFonts w:ascii="Arial" w:cs="Arial" w:eastAsia="Arial" w:hAnsi="Arial"/>
          <w:sz w:val="22"/>
          <w:szCs w:val="22"/>
          <w:color w:val="auto"/>
        </w:rPr>
      </w:pPr>
    </w:p>
    <w:p>
      <w:pPr>
        <w:ind w:right="120" w:firstLine="1763"/>
        <w:spacing w:after="0" w:line="279" w:lineRule="auto"/>
        <w:tabs>
          <w:tab w:leader="none" w:pos="2643" w:val="left"/>
        </w:tabs>
        <w:numPr>
          <w:ilvl w:val="1"/>
          <w:numId w:val="283"/>
        </w:numPr>
        <w:rPr>
          <w:rFonts w:ascii="Arial" w:cs="Arial" w:eastAsia="Arial" w:hAnsi="Arial"/>
          <w:sz w:val="19"/>
          <w:szCs w:val="19"/>
          <w:color w:val="auto"/>
        </w:rPr>
      </w:pPr>
      <w:r>
        <w:rPr>
          <w:rFonts w:ascii="Arial" w:cs="Arial" w:eastAsia="Arial" w:hAnsi="Arial"/>
          <w:sz w:val="19"/>
          <w:szCs w:val="19"/>
          <w:color w:val="auto"/>
        </w:rPr>
        <w:t xml:space="preserve">This Agreement may not be assigned by a party without the consent of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rights and obligations of the Company under this Agreement shall not be deemed to be assigned to a newly formed entity in the event of the merger of the Company into, or conveyance of all of the assets of the Company to, such newly formed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sole purpose of that merger or conveyance is to effect a mere change in the Company’s legal form into another limited liability entity. The provisions of Section 5 of this Agreement shall remain in full force and effect, and the Administrator shall remain entitled to the benefits thereof, notwithstanding any termination of this Agreement.</w:t>
      </w:r>
    </w:p>
    <w:p>
      <w:pPr>
        <w:spacing w:after="0" w:line="144" w:lineRule="exact"/>
        <w:rPr>
          <w:rFonts w:ascii="Arial" w:cs="Arial" w:eastAsia="Arial" w:hAnsi="Arial"/>
          <w:sz w:val="19"/>
          <w:szCs w:val="19"/>
          <w:color w:val="auto"/>
        </w:rPr>
      </w:pPr>
    </w:p>
    <w:p>
      <w:pPr>
        <w:ind w:left="880" w:hanging="872"/>
        <w:spacing w:after="0"/>
        <w:tabs>
          <w:tab w:leader="none" w:pos="880" w:val="left"/>
        </w:tabs>
        <w:numPr>
          <w:ilvl w:val="0"/>
          <w:numId w:val="2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of this Agreement</w:t>
      </w:r>
    </w:p>
    <w:p>
      <w:pPr>
        <w:spacing w:after="0" w:line="212"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This Agreement may be amended pursuant to a written instrument by mutual consent of the parties.</w:t>
      </w:r>
    </w:p>
    <w:p>
      <w:pPr>
        <w:spacing w:after="0" w:line="200" w:lineRule="exact"/>
        <w:rPr>
          <w:rFonts w:ascii="Arial" w:cs="Arial" w:eastAsia="Arial" w:hAnsi="Arial"/>
          <w:sz w:val="22"/>
          <w:szCs w:val="22"/>
          <w:b w:val="1"/>
          <w:bCs w:val="1"/>
          <w:color w:val="auto"/>
        </w:rPr>
      </w:pPr>
    </w:p>
    <w:p>
      <w:pPr>
        <w:ind w:left="880" w:hanging="872"/>
        <w:spacing w:after="0"/>
        <w:tabs>
          <w:tab w:leader="none" w:pos="880" w:val="left"/>
        </w:tabs>
        <w:numPr>
          <w:ilvl w:val="0"/>
          <w:numId w:val="2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p>
    <w:p>
      <w:pPr>
        <w:spacing w:after="0" w:line="212" w:lineRule="exact"/>
        <w:rPr>
          <w:sz w:val="20"/>
          <w:szCs w:val="20"/>
          <w:color w:val="auto"/>
        </w:rPr>
      </w:pPr>
    </w:p>
    <w:p>
      <w:pPr>
        <w:ind w:right="100" w:firstLine="877"/>
        <w:spacing w:after="0" w:line="251" w:lineRule="auto"/>
        <w:rPr>
          <w:sz w:val="20"/>
          <w:szCs w:val="20"/>
          <w:color w:val="auto"/>
        </w:rPr>
      </w:pPr>
      <w:r>
        <w:rPr>
          <w:rFonts w:ascii="Arial" w:cs="Arial" w:eastAsia="Arial" w:hAnsi="Arial"/>
          <w:sz w:val="22"/>
          <w:szCs w:val="22"/>
          <w:color w:val="auto"/>
        </w:rPr>
        <w:t>This Agreement shall be construed in accordance with the laws of the State of Delaware and the applicable provisions of the Investment Company Act, if any. In such case, to the extent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34" w:name="page235"/>
    <w:bookmarkEnd w:id="234"/>
    <w:p>
      <w:pPr>
        <w:ind w:right="320"/>
        <w:spacing w:after="0" w:line="251" w:lineRule="auto"/>
        <w:rPr>
          <w:sz w:val="20"/>
          <w:szCs w:val="20"/>
          <w:color w:val="auto"/>
        </w:rPr>
      </w:pPr>
      <w:r>
        <w:rPr>
          <w:rFonts w:ascii="Arial" w:cs="Arial" w:eastAsia="Arial" w:hAnsi="Arial"/>
          <w:sz w:val="22"/>
          <w:szCs w:val="22"/>
          <w:color w:val="auto"/>
        </w:rPr>
        <w:t>the applicable laws of the State of Delaware, or any of the provisions herein, conflict with the provisions of the Investment Company Act, the latter shall control.</w:t>
      </w:r>
    </w:p>
    <w:p>
      <w:pPr>
        <w:spacing w:after="0" w:line="167" w:lineRule="exact"/>
        <w:rPr>
          <w:sz w:val="20"/>
          <w:szCs w:val="20"/>
          <w:color w:val="auto"/>
        </w:rPr>
      </w:pPr>
    </w:p>
    <w:p>
      <w:pPr>
        <w:ind w:left="880" w:hanging="872"/>
        <w:spacing w:after="0"/>
        <w:tabs>
          <w:tab w:leader="none" w:pos="880" w:val="left"/>
        </w:tabs>
        <w:numPr>
          <w:ilvl w:val="0"/>
          <w:numId w:val="2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p>
    <w:p>
      <w:pPr>
        <w:spacing w:after="0" w:line="212" w:lineRule="exact"/>
        <w:rPr>
          <w:sz w:val="20"/>
          <w:szCs w:val="20"/>
          <w:color w:val="auto"/>
        </w:rPr>
      </w:pPr>
    </w:p>
    <w:p>
      <w:pPr>
        <w:ind w:right="60" w:firstLine="877"/>
        <w:spacing w:after="0" w:line="251" w:lineRule="auto"/>
        <w:rPr>
          <w:sz w:val="20"/>
          <w:szCs w:val="20"/>
          <w:color w:val="auto"/>
        </w:rPr>
      </w:pPr>
      <w:r>
        <w:rPr>
          <w:rFonts w:ascii="Arial" w:cs="Arial" w:eastAsia="Arial" w:hAnsi="Arial"/>
          <w:sz w:val="22"/>
          <w:szCs w:val="22"/>
          <w:color w:val="auto"/>
        </w:rPr>
        <w:t>This Agreement contains the entire agreement of the parties and supersedes all prior agreements, understandings and arrangements with respect to the subject matter hereof.</w:t>
      </w:r>
    </w:p>
    <w:p>
      <w:pPr>
        <w:spacing w:after="0" w:line="167" w:lineRule="exact"/>
        <w:rPr>
          <w:sz w:val="20"/>
          <w:szCs w:val="20"/>
          <w:color w:val="auto"/>
        </w:rPr>
      </w:pPr>
    </w:p>
    <w:p>
      <w:pPr>
        <w:ind w:left="880" w:hanging="872"/>
        <w:spacing w:after="0"/>
        <w:tabs>
          <w:tab w:leader="none" w:pos="880" w:val="left"/>
        </w:tabs>
        <w:numPr>
          <w:ilvl w:val="0"/>
          <w:numId w:val="2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Any notice under this Agreement shall be given in writing, addressed and delivered or mailed, postage prepaid, to the other party at its principal office.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740"/>
        <w:spacing w:after="0"/>
        <w:rPr>
          <w:sz w:val="20"/>
          <w:szCs w:val="20"/>
          <w:color w:val="auto"/>
        </w:rPr>
      </w:pPr>
      <w:r>
        <w:rPr>
          <w:rFonts w:ascii="Arial" w:cs="Arial" w:eastAsia="Arial" w:hAnsi="Arial"/>
          <w:sz w:val="22"/>
          <w:szCs w:val="22"/>
          <w:b w:val="1"/>
          <w:bCs w:val="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240" w:top="334" w:right="619" w:bottom="1440" w:gutter="0" w:footer="0" w:header="0"/>
        </w:sectPr>
      </w:pPr>
    </w:p>
    <w:bookmarkStart w:id="235" w:name="page236"/>
    <w:bookmarkEnd w:id="235"/>
    <w:p>
      <w:pPr>
        <w:ind w:left="880"/>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 above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00"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TPG SPECIALTY LENDING, INC.</w:t>
      </w:r>
    </w:p>
    <w:p>
      <w:pPr>
        <w:spacing w:after="0" w:line="256" w:lineRule="exact"/>
        <w:rPr>
          <w:sz w:val="20"/>
          <w:szCs w:val="20"/>
          <w:color w:val="auto"/>
        </w:rPr>
      </w:pPr>
    </w:p>
    <w:p>
      <w:pPr>
        <w:ind w:left="5200"/>
        <w:spacing w:after="0"/>
        <w:tabs>
          <w:tab w:leader="none" w:pos="6060" w:val="left"/>
        </w:tabs>
        <w:rPr>
          <w:sz w:val="20"/>
          <w:szCs w:val="20"/>
          <w:color w:val="auto"/>
        </w:rPr>
      </w:pPr>
      <w:r>
        <w:rPr>
          <w:rFonts w:ascii="Arial" w:cs="Arial" w:eastAsia="Arial" w:hAnsi="Arial"/>
          <w:sz w:val="20"/>
          <w:szCs w:val="20"/>
          <w:b w:val="1"/>
          <w:bCs w:val="1"/>
          <w:color w:val="auto"/>
        </w:rPr>
        <w:t>By:</w:t>
      </w:r>
      <w:r>
        <w:rPr>
          <w:sz w:val="20"/>
          <w:szCs w:val="20"/>
          <w:color w:val="auto"/>
        </w:rPr>
        <w:tab/>
      </w:r>
      <w:r>
        <w:rPr>
          <w:rFonts w:ascii="Arial" w:cs="Arial" w:eastAsia="Arial" w:hAnsi="Arial"/>
          <w:sz w:val="20"/>
          <w:szCs w:val="20"/>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13970</wp:posOffset>
            </wp:positionV>
            <wp:extent cx="33959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3"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Name: Ian Simmonds</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86"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TSL ADVISERS, LLC</w:t>
      </w:r>
    </w:p>
    <w:p>
      <w:pPr>
        <w:spacing w:after="0" w:line="200" w:lineRule="exact"/>
        <w:rPr>
          <w:sz w:val="20"/>
          <w:szCs w:val="20"/>
          <w:color w:val="auto"/>
        </w:rPr>
      </w:pPr>
    </w:p>
    <w:p>
      <w:pPr>
        <w:spacing w:after="0" w:line="305" w:lineRule="exact"/>
        <w:rPr>
          <w:sz w:val="20"/>
          <w:szCs w:val="20"/>
          <w:color w:val="auto"/>
        </w:rPr>
      </w:pPr>
    </w:p>
    <w:tbl>
      <w:tblPr>
        <w:tblLayout w:type="fixed"/>
        <w:tblInd w:w="520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Joshua Easterly</w:t>
            </w:r>
          </w:p>
        </w:tc>
      </w:tr>
      <w:tr>
        <w:trPr>
          <w:trHeight w:val="233"/>
        </w:trPr>
        <w:tc>
          <w:tcPr>
            <w:tcW w:w="88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20"/>
                <w:szCs w:val="20"/>
                <w:color w:val="auto"/>
              </w:rPr>
              <w:t>Name: Joshua Easterly</w:t>
            </w:r>
          </w:p>
        </w:tc>
      </w:tr>
      <w:tr>
        <w:trPr>
          <w:trHeight w:val="250"/>
        </w:trPr>
        <w:tc>
          <w:tcPr>
            <w:tcW w:w="88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20"/>
                <w:szCs w:val="20"/>
                <w:color w:val="auto"/>
              </w:rPr>
              <w:t>Title:  Vice President</w:t>
            </w:r>
          </w:p>
        </w:tc>
      </w:tr>
    </w:tbl>
    <w:p>
      <w:pPr>
        <w:sectPr>
          <w:pgSz w:w="11900" w:h="16838" w:orient="portrait"/>
          <w:cols w:equalWidth="0" w:num="1">
            <w:col w:w="11420"/>
          </w:cols>
          <w:pgMar w:left="240" w:top="334"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960" w:type="dxa"/>
            <w:vAlign w:val="bottom"/>
            <w:gridSpan w:val="3"/>
          </w:tcPr>
          <w:p>
            <w:pPr>
              <w:ind w:left="1060"/>
              <w:spacing w:after="0"/>
              <w:rPr>
                <w:sz w:val="20"/>
                <w:szCs w:val="20"/>
                <w:color w:val="auto"/>
              </w:rPr>
            </w:pPr>
            <w:r>
              <w:rPr>
                <w:rFonts w:ascii="Arial" w:cs="Arial" w:eastAsia="Arial" w:hAnsi="Arial"/>
                <w:sz w:val="18"/>
                <w:szCs w:val="18"/>
                <w:b w:val="1"/>
                <w:bCs w:val="1"/>
                <w:color w:val="auto"/>
              </w:rPr>
              <w:t>SUBSIDIARIES OF TPG SPECIALTY LENDING, INC.</w:t>
            </w:r>
          </w:p>
        </w:tc>
      </w:tr>
      <w:tr>
        <w:trPr>
          <w:trHeight w:val="365"/>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20" w:type="dxa"/>
            <w:vAlign w:val="bottom"/>
          </w:tcPr>
          <w:p>
            <w:pPr>
              <w:spacing w:after="0"/>
              <w:rPr>
                <w:sz w:val="16"/>
                <w:szCs w:val="16"/>
                <w:color w:val="auto"/>
              </w:rPr>
            </w:pPr>
          </w:p>
        </w:tc>
        <w:tc>
          <w:tcPr>
            <w:tcW w:w="2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TC Lending, LLC</w:t>
            </w:r>
          </w:p>
        </w:tc>
        <w:tc>
          <w:tcPr>
            <w:tcW w:w="3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TPG SL SPV, LLC</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TSL MR, LLC</w:t>
            </w: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337"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117" w:lineRule="exact"/>
        <w:rPr>
          <w:sz w:val="20"/>
          <w:szCs w:val="20"/>
          <w:color w:val="auto"/>
        </w:rPr>
      </w:pPr>
    </w:p>
    <w:p>
      <w:pPr>
        <w:ind w:left="780" w:hanging="515"/>
        <w:spacing w:after="0"/>
        <w:tabs>
          <w:tab w:leader="none" w:pos="7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2016,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2017</w:t>
      </w:r>
    </w:p>
    <w:p>
      <w:pPr>
        <w:spacing w:after="0" w:line="225" w:lineRule="exact"/>
        <w:rPr>
          <w:sz w:val="20"/>
          <w:szCs w:val="20"/>
          <w:color w:val="auto"/>
        </w:rPr>
      </w:pPr>
    </w:p>
    <w:p>
      <w:pPr>
        <w:ind w:left="6280"/>
        <w:spacing w:after="0"/>
        <w:tabs>
          <w:tab w:leader="none" w:pos="6760" w:val="left"/>
        </w:tabs>
        <w:rPr>
          <w:sz w:val="20"/>
          <w:szCs w:val="20"/>
          <w:color w:val="auto"/>
        </w:rPr>
      </w:pPr>
      <w:r>
        <w:rPr>
          <w:rFonts w:ascii="Arial" w:cs="Arial" w:eastAsia="Arial" w:hAnsi="Arial"/>
          <w:sz w:val="18"/>
          <w:szCs w:val="18"/>
          <w:color w:val="auto"/>
        </w:rPr>
        <w:t>By:</w:t>
        <w:tab/>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ICHAEL</w:t>
      </w:r>
      <w:r>
        <w:rPr>
          <w:rFonts w:ascii="Arial" w:cs="Arial" w:eastAsia="Arial" w:hAnsi="Arial"/>
          <w:sz w:val="18"/>
          <w:szCs w:val="18"/>
          <w:color w:val="auto"/>
        </w:rPr>
        <w:t xml:space="preserve"> F</w:t>
      </w:r>
      <w:r>
        <w:rPr>
          <w:rFonts w:ascii="Arial" w:cs="Arial" w:eastAsia="Arial" w:hAnsi="Arial"/>
          <w:sz w:val="13"/>
          <w:szCs w:val="13"/>
          <w:color w:val="auto"/>
        </w:rPr>
        <w:t>ISHMAN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338"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2016,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2017</w:t>
      </w:r>
    </w:p>
    <w:p>
      <w:pPr>
        <w:spacing w:after="0" w:line="225" w:lineRule="exact"/>
        <w:rPr>
          <w:sz w:val="20"/>
          <w:szCs w:val="20"/>
          <w:color w:val="auto"/>
        </w:rPr>
      </w:pPr>
    </w:p>
    <w:p>
      <w:pPr>
        <w:ind w:left="6280"/>
        <w:spacing w:after="0"/>
        <w:tabs>
          <w:tab w:leader="none" w:pos="6760" w:val="left"/>
        </w:tabs>
        <w:rPr>
          <w:sz w:val="20"/>
          <w:szCs w:val="20"/>
          <w:color w:val="auto"/>
        </w:rPr>
      </w:pPr>
      <w:r>
        <w:rPr>
          <w:rFonts w:ascii="Arial" w:cs="Arial" w:eastAsia="Arial" w:hAnsi="Arial"/>
          <w:sz w:val="18"/>
          <w:szCs w:val="18"/>
          <w:color w:val="auto"/>
        </w:rPr>
        <w:t>By:</w:t>
        <w:tab/>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OSHUA</w:t>
      </w:r>
      <w:r>
        <w:rPr>
          <w:rFonts w:ascii="Arial" w:cs="Arial" w:eastAsia="Arial" w:hAnsi="Arial"/>
          <w:sz w:val="18"/>
          <w:szCs w:val="18"/>
          <w:color w:val="auto"/>
        </w:rPr>
        <w:t xml:space="preserve"> E</w:t>
      </w:r>
      <w:r>
        <w:rPr>
          <w:rFonts w:ascii="Arial" w:cs="Arial" w:eastAsia="Arial" w:hAnsi="Arial"/>
          <w:sz w:val="13"/>
          <w:szCs w:val="13"/>
          <w:color w:val="auto"/>
        </w:rPr>
        <w:t>ASTERLY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337"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2016,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2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2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2017</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I</w:t>
      </w:r>
      <w:r>
        <w:rPr>
          <w:rFonts w:ascii="Arial" w:cs="Arial" w:eastAsia="Arial" w:hAnsi="Arial"/>
          <w:sz w:val="13"/>
          <w:szCs w:val="13"/>
          <w:color w:val="auto"/>
        </w:rPr>
        <w:t>AN</w:t>
      </w:r>
      <w:r>
        <w:rPr>
          <w:rFonts w:ascii="Arial" w:cs="Arial" w:eastAsia="Arial" w:hAnsi="Arial"/>
          <w:sz w:val="18"/>
          <w:szCs w:val="18"/>
          <w:color w:val="auto"/>
        </w:rPr>
        <w:t xml:space="preserve"> S</w:t>
      </w:r>
      <w:r>
        <w:rPr>
          <w:rFonts w:ascii="Arial" w:cs="Arial" w:eastAsia="Arial" w:hAnsi="Arial"/>
          <w:sz w:val="13"/>
          <w:szCs w:val="13"/>
          <w:color w:val="auto"/>
        </w:rPr>
        <w:t>IMMONDS</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-130810</wp:posOffset>
            </wp:positionV>
            <wp:extent cx="30187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annual report on Form 10-K of TPG Specialty Lending, Inc. (the “Company”) for the annual period ended December 31, 2016, as filed with the Securities and Exchange Commission on the date hereof (the “Report”), Michael Fishman, as Co-Chief Executive Officer of the Company, Joshua Easterly, as Co-Chief Executive Officer of the Company and Ian Simmonds, as Chief Financial Officer of the Company, each hereby certifies, pursuant to 18 U.S.C. § 1350, as adopted pursuant to § 906 of the Sarbanes-Oxley Act of 2002, that, to such officer’s knowledge:</w:t>
      </w:r>
    </w:p>
    <w:p>
      <w:pPr>
        <w:spacing w:after="0" w:line="63" w:lineRule="exact"/>
        <w:rPr>
          <w:sz w:val="20"/>
          <w:szCs w:val="20"/>
          <w:color w:val="auto"/>
        </w:rPr>
      </w:pPr>
    </w:p>
    <w:p>
      <w:pPr>
        <w:ind w:left="780" w:hanging="515"/>
        <w:spacing w:after="0"/>
        <w:tabs>
          <w:tab w:leader="none" w:pos="7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780" w:hanging="515"/>
        <w:spacing w:after="0"/>
        <w:tabs>
          <w:tab w:leader="none" w:pos="7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ICHAEL</w:t>
      </w:r>
      <w:r>
        <w:rPr>
          <w:rFonts w:ascii="Arial" w:cs="Arial" w:eastAsia="Arial" w:hAnsi="Arial"/>
          <w:sz w:val="18"/>
          <w:szCs w:val="18"/>
          <w:color w:val="auto"/>
        </w:rPr>
        <w:t xml:space="preserve"> F</w:t>
      </w:r>
      <w:r>
        <w:rPr>
          <w:rFonts w:ascii="Arial" w:cs="Arial" w:eastAsia="Arial" w:hAnsi="Arial"/>
          <w:sz w:val="13"/>
          <w:szCs w:val="13"/>
          <w:color w:val="auto"/>
        </w:rPr>
        <w:t>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Fishman</w:t>
      </w:r>
    </w:p>
    <w:p>
      <w:pPr>
        <w:spacing w:after="0" w:line="23"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2017</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OSHUA</w:t>
      </w:r>
      <w:r>
        <w:rPr>
          <w:rFonts w:ascii="Arial" w:cs="Arial" w:eastAsia="Arial" w:hAnsi="Arial"/>
          <w:sz w:val="18"/>
          <w:szCs w:val="18"/>
          <w:color w:val="auto"/>
        </w:rPr>
        <w:t xml:space="preserve"> E</w:t>
      </w:r>
      <w:r>
        <w:rPr>
          <w:rFonts w:ascii="Arial" w:cs="Arial" w:eastAsia="Arial" w:hAnsi="Arial"/>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2017</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I</w:t>
      </w:r>
      <w:r>
        <w:rPr>
          <w:rFonts w:ascii="Arial" w:cs="Arial" w:eastAsia="Arial" w:hAnsi="Arial"/>
          <w:sz w:val="13"/>
          <w:szCs w:val="13"/>
          <w:color w:val="auto"/>
        </w:rPr>
        <w:t>AN</w:t>
      </w:r>
      <w:r>
        <w:rPr>
          <w:rFonts w:ascii="Arial" w:cs="Arial" w:eastAsia="Arial" w:hAnsi="Arial"/>
          <w:sz w:val="18"/>
          <w:szCs w:val="18"/>
          <w:color w:val="auto"/>
        </w:rPr>
        <w:t xml:space="preserve"> S</w:t>
      </w:r>
      <w:r>
        <w:rPr>
          <w:rFonts w:ascii="Arial" w:cs="Arial" w:eastAsia="Arial" w:hAnsi="Arial"/>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6"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Ian Simmonds</w:t>
      </w:r>
    </w:p>
    <w:p>
      <w:pPr>
        <w:spacing w:after="0" w:line="23"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2017</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7B4D84"/>
    <w:multiLevelType w:val="hybridMultilevel"/>
    <w:lvl w:ilvl="0">
      <w:lvlJc w:val="left"/>
      <w:lvlText w:val="☒"/>
      <w:numFmt w:val="bullet"/>
      <w:start w:val="1"/>
    </w:lvl>
  </w:abstractNum>
  <w:abstractNum w:abstractNumId="1">
    <w:nsid w:val="F819E7F"/>
    <w:multiLevelType w:val="hybridMultilevel"/>
    <w:lvl w:ilvl="0">
      <w:lvlJc w:val="left"/>
      <w:lvlText w:val="☐"/>
      <w:numFmt w:val="bullet"/>
      <w:start w:val="1"/>
    </w:lvl>
  </w:abstractNum>
  <w:abstractNum w:abstractNumId="2">
    <w:nsid w:val="57C7D42D"/>
    <w:multiLevelType w:val="hybridMultilevel"/>
    <w:lvl w:ilvl="0">
      <w:lvlJc w:val="left"/>
      <w:lvlText w:val="•"/>
      <w:numFmt w:val="bullet"/>
      <w:start w:val="1"/>
    </w:lvl>
  </w:abstractNum>
  <w:abstractNum w:abstractNumId="3">
    <w:nsid w:val="312167AD"/>
    <w:multiLevelType w:val="hybridMultilevel"/>
    <w:lvl w:ilvl="0">
      <w:lvlJc w:val="left"/>
      <w:lvlText w:val="•"/>
      <w:numFmt w:val="bullet"/>
      <w:start w:val="1"/>
    </w:lvl>
  </w:abstractNum>
  <w:abstractNum w:abstractNumId="4">
    <w:nsid w:val="631B64D4"/>
    <w:multiLevelType w:val="hybridMultilevel"/>
    <w:lvl w:ilvl="0">
      <w:lvlJc w:val="left"/>
      <w:lvlText w:val="•"/>
      <w:numFmt w:val="bullet"/>
      <w:start w:val="1"/>
    </w:lvl>
  </w:abstractNum>
  <w:abstractNum w:abstractNumId="5">
    <w:nsid w:val="78B5E776"/>
    <w:multiLevelType w:val="hybridMultilevel"/>
    <w:lvl w:ilvl="0">
      <w:lvlJc w:val="left"/>
      <w:lvlText w:val="•"/>
      <w:numFmt w:val="bullet"/>
      <w:start w:val="1"/>
    </w:lvl>
  </w:abstractNum>
  <w:abstractNum w:abstractNumId="6">
    <w:nsid w:val="75486E47"/>
    <w:multiLevelType w:val="hybridMultilevel"/>
    <w:lvl w:ilvl="0">
      <w:lvlJc w:val="left"/>
      <w:lvlText w:val="•"/>
      <w:numFmt w:val="bullet"/>
      <w:start w:val="1"/>
    </w:lvl>
  </w:abstractNum>
  <w:abstractNum w:abstractNumId="7">
    <w:nsid w:val="6E534CDE"/>
    <w:multiLevelType w:val="hybridMultilevel"/>
    <w:lvl w:ilvl="0">
      <w:lvlJc w:val="left"/>
      <w:lvlText w:val="•"/>
      <w:numFmt w:val="bullet"/>
      <w:start w:val="1"/>
    </w:lvl>
  </w:abstractNum>
  <w:abstractNum w:abstractNumId="8">
    <w:nsid w:val="1A0DDE32"/>
    <w:multiLevelType w:val="hybridMultilevel"/>
    <w:lvl w:ilvl="0">
      <w:lvlJc w:val="left"/>
      <w:lvlText w:val="•"/>
      <w:numFmt w:val="bullet"/>
      <w:start w:val="1"/>
    </w:lvl>
    <w:lvl w:ilvl="1">
      <w:lvlJc w:val="left"/>
      <w:lvlText w:val="•"/>
      <w:numFmt w:val="bullet"/>
      <w:start w:val="1"/>
    </w:lvl>
  </w:abstractNum>
  <w:abstractNum w:abstractNumId="9">
    <w:nsid w:val="65968C1C"/>
    <w:multiLevelType w:val="hybridMultilevel"/>
    <w:lvl w:ilvl="0">
      <w:lvlJc w:val="left"/>
      <w:lvlText w:val="•"/>
      <w:numFmt w:val="bullet"/>
      <w:start w:val="1"/>
    </w:lvl>
    <w:lvl w:ilvl="1">
      <w:lvlJc w:val="left"/>
      <w:lvlText w:val="•"/>
      <w:numFmt w:val="bullet"/>
      <w:start w:val="1"/>
    </w:lvl>
  </w:abstractNum>
  <w:abstractNum w:abstractNumId="10">
    <w:nsid w:val="46263DEC"/>
    <w:multiLevelType w:val="hybridMultilevel"/>
    <w:lvl w:ilvl="0">
      <w:lvlJc w:val="left"/>
      <w:lvlText w:val="•"/>
      <w:numFmt w:val="bullet"/>
      <w:start w:val="1"/>
    </w:lvl>
  </w:abstractNum>
  <w:abstractNum w:abstractNumId="11">
    <w:nsid w:val="260D8C4A"/>
    <w:multiLevelType w:val="hybridMultilevel"/>
    <w:lvl w:ilvl="0">
      <w:lvlJc w:val="left"/>
      <w:lvlText w:val="(%1)"/>
      <w:numFmt w:val="decimal"/>
      <w:start w:val="1"/>
    </w:lvl>
  </w:abstractNum>
  <w:abstractNum w:abstractNumId="12">
    <w:nsid w:val="73D4D3C4"/>
    <w:multiLevelType w:val="hybridMultilevel"/>
    <w:lvl w:ilvl="0">
      <w:lvlJc w:val="left"/>
      <w:lvlText w:val="(%1)"/>
      <w:numFmt w:val="decimal"/>
      <w:start w:val="1"/>
    </w:lvl>
  </w:abstractNum>
  <w:abstractNum w:abstractNumId="13">
    <w:nsid w:val="746F2E30"/>
    <w:multiLevelType w:val="hybridMultilevel"/>
    <w:lvl w:ilvl="0">
      <w:lvlJc w:val="left"/>
      <w:lvlText w:val="•"/>
      <w:numFmt w:val="bullet"/>
      <w:start w:val="1"/>
    </w:lvl>
  </w:abstractNum>
  <w:abstractNum w:abstractNumId="14">
    <w:nsid w:val="6FDE8AF6"/>
    <w:multiLevelType w:val="hybridMultilevel"/>
    <w:lvl w:ilvl="0">
      <w:lvlJc w:val="left"/>
      <w:lvlText w:val="•"/>
      <w:numFmt w:val="bullet"/>
      <w:start w:val="1"/>
    </w:lvl>
  </w:abstractNum>
  <w:abstractNum w:abstractNumId="15">
    <w:nsid w:val="3FC32E20"/>
    <w:multiLevelType w:val="hybridMultilevel"/>
    <w:lvl w:ilvl="0">
      <w:lvlJc w:val="left"/>
      <w:lvlText w:val="(%1)"/>
      <w:numFmt w:val="lowerRoman"/>
      <w:start w:val="1"/>
    </w:lvl>
  </w:abstractNum>
  <w:abstractNum w:abstractNumId="16">
    <w:nsid w:val="49C0E823"/>
    <w:multiLevelType w:val="hybridMultilevel"/>
    <w:lvl w:ilvl="0">
      <w:lvlJc w:val="left"/>
      <w:lvlText w:val="(%1)"/>
      <w:numFmt w:val="lowerRoman"/>
      <w:start w:val="1"/>
    </w:lvl>
  </w:abstractNum>
  <w:abstractNum w:abstractNumId="17">
    <w:nsid w:val="14D53685"/>
    <w:multiLevelType w:val="hybridMultilevel"/>
    <w:lvl w:ilvl="0">
      <w:lvlJc w:val="left"/>
      <w:lvlText w:val="•"/>
      <w:numFmt w:val="bullet"/>
      <w:start w:val="1"/>
    </w:lvl>
  </w:abstractNum>
  <w:abstractNum w:abstractNumId="18">
    <w:nsid w:val="230F856C"/>
    <w:multiLevelType w:val="hybridMultilevel"/>
    <w:lvl w:ilvl="0">
      <w:lvlJc w:val="left"/>
      <w:lvlText w:val="="/>
      <w:numFmt w:val="bullet"/>
      <w:start w:val="1"/>
    </w:lvl>
  </w:abstractNum>
  <w:abstractNum w:abstractNumId="19">
    <w:nsid w:val="6EAA85FB"/>
    <w:multiLevelType w:val="hybridMultilevel"/>
    <w:lvl w:ilvl="0">
      <w:lvlJc w:val="left"/>
      <w:lvlText w:val="(%1)"/>
      <w:numFmt w:val="decimal"/>
    </w:lvl>
    <w:lvl w:ilvl="1">
      <w:lvlJc w:val="left"/>
      <w:lvlText w:val="="/>
      <w:numFmt w:val="bullet"/>
      <w:start w:val="1"/>
    </w:lvl>
  </w:abstractNum>
  <w:abstractNum w:abstractNumId="20">
    <w:nsid w:val="3F06ECB2"/>
    <w:multiLevelType w:val="hybridMultilevel"/>
    <w:lvl w:ilvl="0">
      <w:lvlJc w:val="left"/>
      <w:lvlText w:val="(*)"/>
      <w:numFmt w:val="bullet"/>
      <w:start w:val="1"/>
    </w:lvl>
  </w:abstractNum>
  <w:abstractNum w:abstractNumId="21">
    <w:nsid w:val="3B594807"/>
    <w:multiLevelType w:val="hybridMultilevel"/>
    <w:lvl w:ilvl="0">
      <w:lvlJc w:val="left"/>
      <w:lvlText w:val="•"/>
      <w:numFmt w:val="bullet"/>
      <w:start w:val="1"/>
    </w:lvl>
  </w:abstractNum>
  <w:abstractNum w:abstractNumId="22">
    <w:nsid w:val="6CAA2304"/>
    <w:multiLevelType w:val="hybridMultilevel"/>
    <w:lvl w:ilvl="0">
      <w:lvlJc w:val="left"/>
      <w:lvlText w:val="•"/>
      <w:numFmt w:val="bullet"/>
      <w:start w:val="1"/>
    </w:lvl>
  </w:abstractNum>
  <w:abstractNum w:abstractNumId="23">
    <w:nsid w:val="3F7C2FF4"/>
    <w:multiLevelType w:val="hybridMultilevel"/>
    <w:lvl w:ilvl="0">
      <w:lvlJc w:val="left"/>
      <w:lvlText w:val="•"/>
      <w:numFmt w:val="bullet"/>
      <w:start w:val="1"/>
    </w:lvl>
  </w:abstractNum>
  <w:abstractNum w:abstractNumId="24">
    <w:nsid w:val="25413BEC"/>
    <w:multiLevelType w:val="hybridMultilevel"/>
    <w:lvl w:ilvl="0">
      <w:lvlJc w:val="left"/>
      <w:lvlText w:val="•"/>
      <w:numFmt w:val="bullet"/>
      <w:start w:val="1"/>
    </w:lvl>
  </w:abstractNum>
  <w:abstractNum w:abstractNumId="25">
    <w:nsid w:val="17180B0B"/>
    <w:multiLevelType w:val="hybridMultilevel"/>
    <w:lvl w:ilvl="0">
      <w:lvlJc w:val="left"/>
      <w:lvlText w:val="•"/>
      <w:numFmt w:val="bullet"/>
      <w:start w:val="1"/>
    </w:lvl>
  </w:abstractNum>
  <w:abstractNum w:abstractNumId="26">
    <w:nsid w:val="579328B9"/>
    <w:multiLevelType w:val="hybridMultilevel"/>
    <w:lvl w:ilvl="0">
      <w:lvlJc w:val="left"/>
      <w:lvlText w:val="•"/>
      <w:numFmt w:val="bullet"/>
      <w:start w:val="1"/>
    </w:lvl>
  </w:abstractNum>
  <w:abstractNum w:abstractNumId="27">
    <w:nsid w:val="5D205E20"/>
    <w:multiLevelType w:val="hybridMultilevel"/>
    <w:lvl w:ilvl="0">
      <w:lvlJc w:val="left"/>
      <w:lvlText w:val="•"/>
      <w:numFmt w:val="bullet"/>
      <w:start w:val="1"/>
    </w:lvl>
  </w:abstractNum>
  <w:abstractNum w:abstractNumId="28">
    <w:nsid w:val="11CCA8BA"/>
    <w:multiLevelType w:val="hybridMultilevel"/>
    <w:lvl w:ilvl="0">
      <w:lvlJc w:val="left"/>
      <w:lvlText w:val="•"/>
      <w:numFmt w:val="bullet"/>
      <w:start w:val="1"/>
    </w:lvl>
  </w:abstractNum>
  <w:abstractNum w:abstractNumId="29">
    <w:nsid w:val="4D32AB86"/>
    <w:multiLevelType w:val="hybridMultilevel"/>
    <w:lvl w:ilvl="0">
      <w:lvlJc w:val="left"/>
      <w:lvlText w:val="•"/>
      <w:numFmt w:val="bullet"/>
      <w:start w:val="1"/>
    </w:lvl>
  </w:abstractNum>
  <w:abstractNum w:abstractNumId="30">
    <w:nsid w:val="3F07ACC3"/>
    <w:multiLevelType w:val="hybridMultilevel"/>
    <w:lvl w:ilvl="0">
      <w:lvlJc w:val="left"/>
      <w:lvlText w:val="•"/>
      <w:numFmt w:val="bullet"/>
      <w:start w:val="1"/>
    </w:lvl>
  </w:abstractNum>
  <w:abstractNum w:abstractNumId="31">
    <w:nsid w:val="6B47F63E"/>
    <w:multiLevelType w:val="hybridMultilevel"/>
    <w:lvl w:ilvl="0">
      <w:lvlJc w:val="left"/>
      <w:lvlText w:val="•"/>
      <w:numFmt w:val="bullet"/>
      <w:start w:val="1"/>
    </w:lvl>
  </w:abstractNum>
  <w:abstractNum w:abstractNumId="32">
    <w:nsid w:val="5CB44A05"/>
    <w:multiLevelType w:val="hybridMultilevel"/>
    <w:lvl w:ilvl="0">
      <w:lvlJc w:val="left"/>
      <w:lvlText w:val="•"/>
      <w:numFmt w:val="bullet"/>
      <w:start w:val="1"/>
    </w:lvl>
  </w:abstractNum>
  <w:abstractNum w:abstractNumId="33">
    <w:nsid w:val="16CF80F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
    <w:nsid w:val="1C695DEC"/>
    <w:multiLevelType w:val="hybridMultilevel"/>
    <w:lvl w:ilvl="0">
      <w:lvlJc w:val="left"/>
      <w:lvlText w:val="•"/>
      <w:numFmt w:val="bullet"/>
      <w:start w:val="1"/>
    </w:lvl>
  </w:abstractNum>
  <w:abstractNum w:abstractNumId="35">
    <w:nsid w:val="3FCFAED9"/>
    <w:multiLevelType w:val="hybridMultilevel"/>
    <w:lvl w:ilvl="0">
      <w:lvlJc w:val="left"/>
      <w:lvlText w:val="•"/>
      <w:numFmt w:val="bullet"/>
      <w:start w:val="1"/>
    </w:lvl>
  </w:abstractNum>
  <w:abstractNum w:abstractNumId="36">
    <w:nsid w:val="F856867"/>
    <w:multiLevelType w:val="hybridMultilevel"/>
    <w:lvl w:ilvl="0">
      <w:lvlJc w:val="left"/>
      <w:lvlText w:val="•"/>
      <w:numFmt w:val="bullet"/>
      <w:start w:val="1"/>
    </w:lvl>
    <w:lvl w:ilvl="1">
      <w:lvlJc w:val="left"/>
      <w:lvlText w:val="•"/>
      <w:numFmt w:val="bullet"/>
      <w:start w:val="1"/>
    </w:lvl>
  </w:abstractNum>
  <w:abstractNum w:abstractNumId="37">
    <w:nsid w:val="11B1CC33"/>
    <w:multiLevelType w:val="hybridMultilevel"/>
    <w:lvl w:ilvl="0">
      <w:lvlJc w:val="left"/>
      <w:lvlText w:val="•"/>
      <w:numFmt w:val="bullet"/>
      <w:start w:val="1"/>
    </w:lvl>
  </w:abstractNum>
  <w:abstractNum w:abstractNumId="38">
    <w:nsid w:val="2E22FBB7"/>
    <w:multiLevelType w:val="hybridMultilevel"/>
    <w:lvl w:ilvl="0">
      <w:lvlJc w:val="left"/>
      <w:lvlText w:val="•"/>
      <w:numFmt w:val="bullet"/>
      <w:start w:val="1"/>
    </w:lvl>
  </w:abstractNum>
  <w:abstractNum w:abstractNumId="39">
    <w:nsid w:val="29934699"/>
    <w:multiLevelType w:val="hybridMultilevel"/>
    <w:lvl w:ilvl="0">
      <w:lvlJc w:val="left"/>
      <w:lvlText w:val="(%1)"/>
      <w:numFmt w:val="decimal"/>
      <w:start w:val="1"/>
    </w:lvl>
  </w:abstractNum>
  <w:abstractNum w:abstractNumId="40">
    <w:nsid w:val="77485850"/>
    <w:multiLevelType w:val="hybridMultilevel"/>
    <w:lvl w:ilvl="0">
      <w:lvlJc w:val="left"/>
      <w:lvlText w:val="•"/>
      <w:numFmt w:val="bullet"/>
      <w:start w:val="1"/>
    </w:lvl>
    <w:lvl w:ilvl="1">
      <w:lvlJc w:val="left"/>
      <w:lvlText w:val="•"/>
      <w:numFmt w:val="bullet"/>
      <w:start w:val="1"/>
    </w:lvl>
  </w:abstractNum>
  <w:abstractNum w:abstractNumId="41">
    <w:nsid w:val="744939A3"/>
    <w:multiLevelType w:val="hybridMultilevel"/>
    <w:lvl w:ilvl="0">
      <w:lvlJc w:val="left"/>
      <w:lvlText w:val="•"/>
      <w:numFmt w:val="bullet"/>
      <w:start w:val="1"/>
    </w:lvl>
  </w:abstractNum>
  <w:abstractNum w:abstractNumId="42">
    <w:nsid w:val="4FA0D2E3"/>
    <w:multiLevelType w:val="hybridMultilevel"/>
    <w:lvl w:ilvl="0">
      <w:lvlJc w:val="left"/>
      <w:lvlText w:val="•"/>
      <w:numFmt w:val="bullet"/>
      <w:start w:val="1"/>
    </w:lvl>
  </w:abstractNum>
  <w:abstractNum w:abstractNumId="43">
    <w:nsid w:val="6B1D2C14"/>
    <w:multiLevelType w:val="hybridMultilevel"/>
    <w:lvl w:ilvl="0">
      <w:lvlJc w:val="left"/>
      <w:lvlText w:val="•"/>
      <w:numFmt w:val="bullet"/>
      <w:start w:val="1"/>
    </w:lvl>
  </w:abstractNum>
  <w:abstractNum w:abstractNumId="44">
    <w:nsid w:val="68B867D3"/>
    <w:multiLevelType w:val="hybridMultilevel"/>
    <w:lvl w:ilvl="0">
      <w:lvlJc w:val="left"/>
      <w:lvlText w:val="•"/>
      <w:numFmt w:val="bullet"/>
      <w:start w:val="1"/>
    </w:lvl>
  </w:abstractNum>
  <w:abstractNum w:abstractNumId="45">
    <w:nsid w:val="3F7F5DD9"/>
    <w:multiLevelType w:val="hybridMultilevel"/>
    <w:lvl w:ilvl="0">
      <w:lvlJc w:val="left"/>
      <w:lvlText w:val="•"/>
      <w:numFmt w:val="bullet"/>
      <w:start w:val="1"/>
    </w:lvl>
  </w:abstractNum>
  <w:abstractNum w:abstractNumId="46">
    <w:nsid w:val="2AE05A34"/>
    <w:multiLevelType w:val="hybridMultilevel"/>
    <w:lvl w:ilvl="0">
      <w:lvlJc w:val="left"/>
      <w:lvlText w:val="•"/>
      <w:numFmt w:val="bullet"/>
      <w:start w:val="1"/>
    </w:lvl>
  </w:abstractNum>
  <w:abstractNum w:abstractNumId="47">
    <w:nsid w:val="32794FF7"/>
    <w:multiLevelType w:val="hybridMultilevel"/>
    <w:lvl w:ilvl="0">
      <w:lvlJc w:val="left"/>
      <w:lvlText w:val="•"/>
      <w:numFmt w:val="bullet"/>
      <w:start w:val="1"/>
    </w:lvl>
  </w:abstractNum>
  <w:abstractNum w:abstractNumId="48">
    <w:nsid w:val="5454945E"/>
    <w:multiLevelType w:val="hybridMultilevel"/>
    <w:lvl w:ilvl="0">
      <w:lvlJc w:val="left"/>
      <w:lvlText w:val="•"/>
      <w:numFmt w:val="bullet"/>
      <w:start w:val="1"/>
    </w:lvl>
  </w:abstractNum>
  <w:abstractNum w:abstractNumId="49">
    <w:nsid w:val="4DEFDFA0"/>
    <w:multiLevelType w:val="hybridMultilevel"/>
    <w:lvl w:ilvl="0">
      <w:lvlJc w:val="left"/>
      <w:lvlText w:val="•"/>
      <w:numFmt w:val="bullet"/>
      <w:start w:val="1"/>
    </w:lvl>
  </w:abstractNum>
  <w:abstractNum w:abstractNumId="50">
    <w:nsid w:val="2123D5F2"/>
    <w:multiLevelType w:val="hybridMultilevel"/>
    <w:lvl w:ilvl="0">
      <w:lvlJc w:val="left"/>
      <w:lvlText w:val="(%1)"/>
      <w:numFmt w:val="decimal"/>
      <w:start w:val="1"/>
    </w:lvl>
  </w:abstractNum>
  <w:abstractNum w:abstractNumId="51">
    <w:nsid w:val="135B8110"/>
    <w:multiLevelType w:val="hybridMultilevel"/>
    <w:lvl w:ilvl="0">
      <w:lvlJc w:val="left"/>
      <w:lvlText w:val="(%1)"/>
      <w:numFmt w:val="decimal"/>
      <w:start w:val="1"/>
    </w:lvl>
  </w:abstractNum>
  <w:abstractNum w:abstractNumId="52">
    <w:nsid w:val="94927A8"/>
    <w:multiLevelType w:val="hybridMultilevel"/>
    <w:lvl w:ilvl="0">
      <w:lvlJc w:val="left"/>
      <w:lvlText w:val="(%1)"/>
      <w:numFmt w:val="decimal"/>
      <w:start w:val="4"/>
    </w:lvl>
  </w:abstractNum>
  <w:abstractNum w:abstractNumId="53">
    <w:nsid w:val="DCDF8F6"/>
    <w:multiLevelType w:val="hybridMultilevel"/>
    <w:lvl w:ilvl="0">
      <w:lvlJc w:val="left"/>
      <w:lvlText w:val="•"/>
      <w:numFmt w:val="bullet"/>
      <w:start w:val="1"/>
    </w:lvl>
  </w:abstractNum>
  <w:abstractNum w:abstractNumId="54">
    <w:nsid w:val="52D7B105"/>
    <w:multiLevelType w:val="hybridMultilevel"/>
    <w:lvl w:ilvl="0">
      <w:lvlJc w:val="left"/>
      <w:lvlText w:val="•"/>
      <w:numFmt w:val="bullet"/>
      <w:start w:val="1"/>
    </w:lvl>
  </w:abstractNum>
  <w:abstractNum w:abstractNumId="55">
    <w:nsid w:val="2E8A6394"/>
    <w:multiLevelType w:val="hybridMultilevel"/>
    <w:lvl w:ilvl="0">
      <w:lvlJc w:val="left"/>
      <w:lvlText w:val="(%1)"/>
      <w:numFmt w:val="decimal"/>
      <w:start w:val="1"/>
    </w:lvl>
  </w:abstractNum>
  <w:abstractNum w:abstractNumId="56">
    <w:nsid w:val="24E60401"/>
    <w:multiLevelType w:val="hybridMultilevel"/>
    <w:lvl w:ilvl="0">
      <w:lvlJc w:val="left"/>
      <w:lvlText w:val="(%1)"/>
      <w:numFmt w:val="decimal"/>
      <w:start w:val="2"/>
    </w:lvl>
  </w:abstractNum>
  <w:abstractNum w:abstractNumId="57">
    <w:nsid w:val="2A6AD9BE"/>
    <w:multiLevelType w:val="hybridMultilevel"/>
    <w:lvl w:ilvl="0">
      <w:lvlJc w:val="left"/>
      <w:lvlText w:val="•"/>
      <w:numFmt w:val="bullet"/>
      <w:start w:val="1"/>
    </w:lvl>
  </w:abstractNum>
  <w:abstractNum w:abstractNumId="58">
    <w:nsid w:val="BAAC1B4"/>
    <w:multiLevelType w:val="hybridMultilevel"/>
    <w:lvl w:ilvl="0">
      <w:lvlJc w:val="left"/>
      <w:lvlText w:val="•"/>
      <w:numFmt w:val="bullet"/>
      <w:start w:val="1"/>
    </w:lvl>
  </w:abstractNum>
  <w:abstractNum w:abstractNumId="59">
    <w:nsid w:val="36B2ACBC"/>
    <w:multiLevelType w:val="hybridMultilevel"/>
    <w:lvl w:ilvl="0">
      <w:lvlJc w:val="left"/>
      <w:lvlText w:val="•"/>
      <w:numFmt w:val="bullet"/>
      <w:start w:val="1"/>
    </w:lvl>
  </w:abstractNum>
  <w:abstractNum w:abstractNumId="60">
    <w:nsid w:val="779D8544"/>
    <w:multiLevelType w:val="hybridMultilevel"/>
    <w:lvl w:ilvl="0">
      <w:lvlJc w:val="left"/>
      <w:lvlText w:val="•"/>
      <w:numFmt w:val="bullet"/>
      <w:start w:val="1"/>
    </w:lvl>
  </w:abstractNum>
  <w:abstractNum w:abstractNumId="61">
    <w:nsid w:val="4AB26E78"/>
    <w:multiLevelType w:val="hybridMultilevel"/>
    <w:lvl w:ilvl="0">
      <w:lvlJc w:val="left"/>
      <w:lvlText w:val="(%1)"/>
      <w:numFmt w:val="decimal"/>
      <w:start w:val="1"/>
    </w:lvl>
  </w:abstractNum>
  <w:abstractNum w:abstractNumId="62">
    <w:nsid w:val="21FAA2FA"/>
    <w:multiLevelType w:val="hybridMultilevel"/>
    <w:lvl w:ilvl="0">
      <w:lvlJc w:val="left"/>
      <w:lvlText w:val="(%1)"/>
      <w:numFmt w:val="decimal"/>
      <w:start w:val="1"/>
    </w:lvl>
  </w:abstractNum>
  <w:abstractNum w:abstractNumId="63">
    <w:nsid w:val="5451CF49"/>
    <w:multiLevelType w:val="hybridMultilevel"/>
    <w:lvl w:ilvl="0">
      <w:lvlJc w:val="left"/>
      <w:lvlText w:val="•"/>
      <w:numFmt w:val="bullet"/>
      <w:start w:val="1"/>
    </w:lvl>
    <w:lvl w:ilvl="1">
      <w:lvlJc w:val="left"/>
      <w:lvlText w:val="•"/>
      <w:numFmt w:val="bullet"/>
      <w:start w:val="1"/>
    </w:lvl>
  </w:abstractNum>
  <w:abstractNum w:abstractNumId="64">
    <w:nsid w:val="6181EF69"/>
    <w:multiLevelType w:val="hybridMultilevel"/>
    <w:lvl w:ilvl="0">
      <w:lvlJc w:val="left"/>
      <w:lvlText w:val="•"/>
      <w:numFmt w:val="bullet"/>
      <w:start w:val="1"/>
    </w:lvl>
  </w:abstractNum>
  <w:abstractNum w:abstractNumId="65">
    <w:nsid w:val="3E6400E6"/>
    <w:multiLevelType w:val="hybridMultilevel"/>
    <w:lvl w:ilvl="0">
      <w:lvlJc w:val="left"/>
      <w:lvlText w:val="•"/>
      <w:numFmt w:val="bullet"/>
      <w:start w:val="1"/>
    </w:lvl>
  </w:abstractNum>
  <w:abstractNum w:abstractNumId="66">
    <w:nsid w:val="14217E23"/>
    <w:multiLevelType w:val="hybridMultilevel"/>
    <w:lvl w:ilvl="0">
      <w:lvlJc w:val="left"/>
      <w:lvlText w:val="•"/>
      <w:numFmt w:val="bullet"/>
      <w:start w:val="1"/>
    </w:lvl>
    <w:lvl w:ilvl="1">
      <w:lvlJc w:val="left"/>
      <w:lvlText w:val="•"/>
      <w:numFmt w:val="bullet"/>
      <w:start w:val="1"/>
    </w:lvl>
  </w:abstractNum>
  <w:abstractNum w:abstractNumId="67">
    <w:nsid w:val="710757D0"/>
    <w:multiLevelType w:val="hybridMultilevel"/>
    <w:lvl w:ilvl="0">
      <w:lvlJc w:val="left"/>
      <w:lvlText w:val="•"/>
      <w:numFmt w:val="bullet"/>
      <w:start w:val="1"/>
    </w:lvl>
  </w:abstractNum>
  <w:abstractNum w:abstractNumId="68">
    <w:nsid w:val="5015CD1A"/>
    <w:multiLevelType w:val="hybridMultilevel"/>
    <w:lvl w:ilvl="0">
      <w:lvlJc w:val="left"/>
      <w:lvlText w:val="(%1)"/>
      <w:numFmt w:val="decimal"/>
      <w:start w:val="1"/>
    </w:lvl>
  </w:abstractNum>
  <w:abstractNum w:abstractNumId="69">
    <w:nsid w:val="424479DA"/>
    <w:multiLevelType w:val="hybridMultilevel"/>
    <w:lvl w:ilvl="0">
      <w:lvlJc w:val="left"/>
      <w:lvlText w:val="•"/>
      <w:numFmt w:val="bullet"/>
      <w:start w:val="1"/>
    </w:lvl>
  </w:abstractNum>
  <w:abstractNum w:abstractNumId="70">
    <w:nsid w:val="1A9A9E69"/>
    <w:multiLevelType w:val="hybridMultilevel"/>
    <w:lvl w:ilvl="0">
      <w:lvlJc w:val="left"/>
      <w:lvlText w:val="•"/>
      <w:numFmt w:val="bullet"/>
      <w:start w:val="1"/>
    </w:lvl>
  </w:abstractNum>
  <w:abstractNum w:abstractNumId="71">
    <w:nsid w:val="475E256A"/>
    <w:multiLevelType w:val="hybridMultilevel"/>
    <w:lvl w:ilvl="0">
      <w:lvlJc w:val="left"/>
      <w:lvlText w:val="•"/>
      <w:numFmt w:val="bullet"/>
      <w:start w:val="1"/>
    </w:lvl>
  </w:abstractNum>
  <w:abstractNum w:abstractNumId="72">
    <w:nsid w:val="368DB37E"/>
    <w:multiLevelType w:val="hybridMultilevel"/>
    <w:lvl w:ilvl="0">
      <w:lvlJc w:val="left"/>
      <w:lvlText w:val="•"/>
      <w:numFmt w:val="bullet"/>
      <w:start w:val="1"/>
    </w:lvl>
  </w:abstractNum>
  <w:abstractNum w:abstractNumId="73">
    <w:nsid w:val="6A3B714C"/>
    <w:multiLevelType w:val="hybridMultilevel"/>
    <w:lvl w:ilvl="0">
      <w:lvlJc w:val="left"/>
      <w:lvlText w:val="•"/>
      <w:numFmt w:val="bullet"/>
      <w:start w:val="1"/>
    </w:lvl>
  </w:abstractNum>
  <w:abstractNum w:abstractNumId="74">
    <w:nsid w:val="327B517E"/>
    <w:multiLevelType w:val="hybridMultilevel"/>
    <w:lvl w:ilvl="0">
      <w:lvlJc w:val="left"/>
      <w:lvlText w:val="•"/>
      <w:numFmt w:val="bullet"/>
      <w:start w:val="1"/>
    </w:lvl>
  </w:abstractNum>
  <w:abstractNum w:abstractNumId="75">
    <w:nsid w:val="1F461B51"/>
    <w:multiLevelType w:val="hybridMultilevel"/>
    <w:lvl w:ilvl="0">
      <w:lvlJc w:val="left"/>
      <w:lvlText w:val="(%1)"/>
      <w:numFmt w:val="decimal"/>
      <w:start w:val="1"/>
    </w:lvl>
  </w:abstractNum>
  <w:abstractNum w:abstractNumId="76">
    <w:nsid w:val="29BACF25"/>
    <w:multiLevelType w:val="hybridMultilevel"/>
    <w:lvl w:ilvl="0">
      <w:lvlJc w:val="left"/>
      <w:lvlText w:val="%1"/>
      <w:numFmt w:val="decimal"/>
      <w:start w:val="1"/>
    </w:lvl>
    <w:lvl w:ilvl="1">
      <w:lvlJc w:val="left"/>
      <w:lvlText w:val="(%2)"/>
      <w:numFmt w:val="lowerLetter"/>
      <w:start w:val="1"/>
    </w:lvl>
  </w:abstractNum>
  <w:abstractNum w:abstractNumId="77">
    <w:nsid w:val="5D5BABB3"/>
    <w:multiLevelType w:val="hybridMultilevel"/>
    <w:lvl w:ilvl="0">
      <w:lvlJc w:val="left"/>
      <w:lvlText w:val="(%1)"/>
      <w:numFmt w:val="decimal"/>
      <w:start w:val="8"/>
    </w:lvl>
    <w:lvl w:ilvl="1">
      <w:lvlJc w:val="left"/>
      <w:lvlText w:val="%2"/>
      <w:numFmt w:val="lowerLetter"/>
      <w:start w:val="1"/>
    </w:lvl>
  </w:abstractNum>
  <w:abstractNum w:abstractNumId="78">
    <w:nsid w:val="51BF6B48"/>
    <w:multiLevelType w:val="hybridMultilevel"/>
    <w:lvl w:ilvl="0">
      <w:lvlJc w:val="left"/>
      <w:lvlText w:val="(%1)"/>
      <w:numFmt w:val="decimal"/>
      <w:start w:val="1"/>
    </w:lvl>
  </w:abstractNum>
  <w:abstractNum w:abstractNumId="79">
    <w:nsid w:val="7E0F6384"/>
    <w:multiLevelType w:val="hybridMultilevel"/>
    <w:lvl w:ilvl="0">
      <w:lvlJc w:val="left"/>
      <w:lvlText w:val="%1"/>
      <w:numFmt w:val="decimal"/>
      <w:start w:val="1"/>
    </w:lvl>
    <w:lvl w:ilvl="1">
      <w:lvlJc w:val="left"/>
      <w:lvlText w:val="(%2)"/>
      <w:numFmt w:val="lowerLetter"/>
      <w:start w:val="1"/>
    </w:lvl>
  </w:abstractNum>
  <w:abstractNum w:abstractNumId="80">
    <w:nsid w:val="2B4B8B53"/>
    <w:multiLevelType w:val="hybridMultilevel"/>
    <w:lvl w:ilvl="0">
      <w:lvlJc w:val="left"/>
      <w:lvlText w:val="(%1)"/>
      <w:numFmt w:val="decimal"/>
      <w:start w:val="8"/>
    </w:lvl>
    <w:lvl w:ilvl="1">
      <w:lvlJc w:val="left"/>
      <w:lvlText w:val="%2"/>
      <w:numFmt w:val="lowerLetter"/>
      <w:start w:val="1"/>
    </w:lvl>
  </w:abstractNum>
  <w:abstractNum w:abstractNumId="81">
    <w:nsid w:val="72E3413A"/>
    <w:multiLevelType w:val="hybridMultilevel"/>
    <w:lvl w:ilvl="0">
      <w:lvlJc w:val="left"/>
      <w:lvlText w:val="•"/>
      <w:numFmt w:val="bullet"/>
      <w:start w:val="1"/>
    </w:lvl>
  </w:abstractNum>
  <w:abstractNum w:abstractNumId="82">
    <w:nsid w:val="116AE494"/>
    <w:multiLevelType w:val="hybridMultilevel"/>
    <w:lvl w:ilvl="0">
      <w:lvlJc w:val="left"/>
      <w:lvlText w:val="•"/>
      <w:numFmt w:val="bullet"/>
      <w:start w:val="1"/>
    </w:lvl>
  </w:abstractNum>
  <w:abstractNum w:abstractNumId="83">
    <w:nsid w:val="3494B2FB"/>
    <w:multiLevelType w:val="hybridMultilevel"/>
    <w:lvl w:ilvl="0">
      <w:lvlJc w:val="left"/>
      <w:lvlText w:val="•"/>
      <w:numFmt w:val="bullet"/>
      <w:start w:val="1"/>
    </w:lvl>
  </w:abstractNum>
  <w:abstractNum w:abstractNumId="84">
    <w:nsid w:val="B13A31"/>
    <w:multiLevelType w:val="hybridMultilevel"/>
    <w:lvl w:ilvl="0">
      <w:lvlJc w:val="left"/>
      <w:lvlText w:val="(%1)"/>
      <w:numFmt w:val="lowerRoman"/>
      <w:start w:val="1"/>
    </w:lvl>
  </w:abstractNum>
  <w:abstractNum w:abstractNumId="85">
    <w:nsid w:val="64429599"/>
    <w:multiLevelType w:val="hybridMultilevel"/>
    <w:lvl w:ilvl="0">
      <w:lvlJc w:val="left"/>
      <w:lvlText w:val="(%1)"/>
      <w:numFmt w:val="lowerRoman"/>
      <w:start w:val="1"/>
    </w:lvl>
  </w:abstractNum>
  <w:abstractNum w:abstractNumId="86">
    <w:nsid w:val="631F1690"/>
    <w:multiLevelType w:val="hybridMultilevel"/>
    <w:lvl w:ilvl="0">
      <w:lvlJc w:val="left"/>
      <w:lvlText w:val="•"/>
      <w:numFmt w:val="bullet"/>
      <w:start w:val="1"/>
    </w:lvl>
  </w:abstractNum>
  <w:abstractNum w:abstractNumId="87">
    <w:nsid w:val="25973E32"/>
    <w:multiLevelType w:val="hybridMultilevel"/>
    <w:lvl w:ilvl="0">
      <w:lvlJc w:val="left"/>
      <w:lvlText w:val="(%1)"/>
      <w:numFmt w:val="decimal"/>
      <w:start w:val="1"/>
    </w:lvl>
  </w:abstractNum>
  <w:abstractNum w:abstractNumId="88">
    <w:nsid w:val="EAD6F57"/>
    <w:multiLevelType w:val="hybridMultilevel"/>
    <w:lvl w:ilvl="0">
      <w:lvlJc w:val="left"/>
      <w:lvlText w:val="(%1)"/>
      <w:numFmt w:val="decimal"/>
      <w:start w:val="1"/>
    </w:lvl>
  </w:abstractNum>
  <w:abstractNum w:abstractNumId="89">
    <w:nsid w:val="6EC9D844"/>
    <w:multiLevelType w:val="hybridMultilevel"/>
    <w:lvl w:ilvl="0">
      <w:lvlJc w:val="left"/>
      <w:lvlText w:val="(%1)"/>
      <w:numFmt w:val="decimal"/>
      <w:start w:val="1"/>
    </w:lvl>
  </w:abstractNum>
  <w:abstractNum w:abstractNumId="90">
    <w:nsid w:val="5C49EAEE"/>
    <w:multiLevelType w:val="hybridMultilevel"/>
    <w:lvl w:ilvl="0">
      <w:lvlJc w:val="left"/>
      <w:lvlText w:val="(%1)"/>
      <w:numFmt w:val="decimal"/>
      <w:start w:val="1"/>
    </w:lvl>
  </w:abstractNum>
  <w:abstractNum w:abstractNumId="91">
    <w:nsid w:val="64AF49B"/>
    <w:multiLevelType w:val="hybridMultilevel"/>
    <w:lvl w:ilvl="0">
      <w:lvlJc w:val="left"/>
      <w:lvlText w:val="(%1)"/>
      <w:numFmt w:val="decimal"/>
      <w:start w:val="1"/>
    </w:lvl>
  </w:abstractNum>
  <w:abstractNum w:abstractNumId="92">
    <w:nsid w:val="397C46BC"/>
    <w:multiLevelType w:val="hybridMultilevel"/>
    <w:lvl w:ilvl="0">
      <w:lvlJc w:val="left"/>
      <w:lvlText w:val="(%1)"/>
      <w:numFmt w:val="decimal"/>
      <w:start w:val="1"/>
    </w:lvl>
  </w:abstractNum>
  <w:abstractNum w:abstractNumId="93">
    <w:nsid w:val="7E448DE9"/>
    <w:multiLevelType w:val="hybridMultilevel"/>
    <w:lvl w:ilvl="0">
      <w:lvlJc w:val="left"/>
      <w:lvlText w:val="(%1)"/>
      <w:numFmt w:val="decimal"/>
      <w:start w:val="1"/>
    </w:lvl>
  </w:abstractNum>
  <w:abstractNum w:abstractNumId="94">
    <w:nsid w:val="5A9CC3E5"/>
    <w:multiLevelType w:val="hybridMultilevel"/>
    <w:lvl w:ilvl="0">
      <w:lvlJc w:val="left"/>
      <w:lvlText w:val="•"/>
      <w:numFmt w:val="bullet"/>
      <w:start w:val="1"/>
    </w:lvl>
    <w:lvl w:ilvl="1">
      <w:lvlJc w:val="left"/>
      <w:lvlText w:val="•"/>
      <w:numFmt w:val="bullet"/>
      <w:start w:val="1"/>
    </w:lvl>
  </w:abstractNum>
  <w:abstractNum w:abstractNumId="95">
    <w:nsid w:val="1AFE3625"/>
    <w:multiLevelType w:val="hybridMultilevel"/>
    <w:lvl w:ilvl="0">
      <w:lvlJc w:val="left"/>
      <w:lvlText w:val="•"/>
      <w:numFmt w:val="bullet"/>
      <w:start w:val="1"/>
    </w:lvl>
  </w:abstractNum>
  <w:abstractNum w:abstractNumId="96">
    <w:nsid w:val="3CA88ECF"/>
    <w:multiLevelType w:val="hybridMultilevel"/>
    <w:lvl w:ilvl="0">
      <w:lvlJc w:val="left"/>
      <w:lvlText w:val="•"/>
      <w:numFmt w:val="bullet"/>
      <w:start w:val="1"/>
    </w:lvl>
  </w:abstractNum>
  <w:abstractNum w:abstractNumId="97">
    <w:nsid w:val="6EBE4208"/>
    <w:multiLevelType w:val="hybridMultilevel"/>
    <w:lvl w:ilvl="0">
      <w:lvlJc w:val="left"/>
      <w:lvlText w:val="•"/>
      <w:numFmt w:val="bullet"/>
      <w:start w:val="1"/>
    </w:lvl>
    <w:lvl w:ilvl="1">
      <w:lvlJc w:val="left"/>
      <w:lvlText w:val="•"/>
      <w:numFmt w:val="bullet"/>
      <w:start w:val="1"/>
    </w:lvl>
  </w:abstractNum>
  <w:abstractNum w:abstractNumId="98">
    <w:nsid w:val="C058DF5"/>
    <w:multiLevelType w:val="hybridMultilevel"/>
    <w:lvl w:ilvl="0">
      <w:lvlJc w:val="left"/>
      <w:lvlText w:val="•"/>
      <w:numFmt w:val="bullet"/>
      <w:start w:val="1"/>
    </w:lvl>
  </w:abstractNum>
  <w:abstractNum w:abstractNumId="99">
    <w:nsid w:val="CBE5BE9"/>
    <w:multiLevelType w:val="hybridMultilevel"/>
    <w:lvl w:ilvl="0">
      <w:lvlJc w:val="left"/>
      <w:lvlText w:val="(%1)"/>
      <w:numFmt w:val="decimal"/>
      <w:start w:val="1"/>
    </w:lvl>
  </w:abstractNum>
  <w:abstractNum w:abstractNumId="100">
    <w:nsid w:val="3102BBE2"/>
    <w:multiLevelType w:val="hybridMultilevel"/>
    <w:lvl w:ilvl="0">
      <w:lvlJc w:val="left"/>
      <w:lvlText w:val="%1."/>
      <w:numFmt w:val="decimal"/>
      <w:start w:val="10"/>
    </w:lvl>
  </w:abstractNum>
  <w:abstractNum w:abstractNumId="101">
    <w:nsid w:val="26A02C5E"/>
    <w:multiLevelType w:val="hybridMultilevel"/>
    <w:lvl w:ilvl="0">
      <w:lvlJc w:val="left"/>
      <w:lvlText w:val="%1."/>
      <w:numFmt w:val="decimal"/>
      <w:start w:val="11"/>
    </w:lvl>
  </w:abstractNum>
  <w:abstractNum w:abstractNumId="102">
    <w:nsid w:val="541C8153"/>
    <w:multiLevelType w:val="hybridMultilevel"/>
    <w:lvl w:ilvl="0">
      <w:lvlJc w:val="left"/>
      <w:lvlText w:val="%1."/>
      <w:numFmt w:val="decimal"/>
      <w:start w:val="12"/>
    </w:lvl>
  </w:abstractNum>
  <w:abstractNum w:abstractNumId="103">
    <w:nsid w:val="67906F60"/>
    <w:multiLevelType w:val="hybridMultilevel"/>
    <w:lvl w:ilvl="0">
      <w:lvlJc w:val="left"/>
      <w:lvlText w:val="(%1)"/>
      <w:numFmt w:val="decimal"/>
      <w:start w:val="1"/>
    </w:lvl>
  </w:abstractNum>
  <w:abstractNum w:abstractNumId="104">
    <w:nsid w:val="10DB9DAA"/>
    <w:multiLevelType w:val="hybridMultilevel"/>
    <w:lvl w:ilvl="0">
      <w:lvlJc w:val="left"/>
      <w:lvlText w:val="(%1)"/>
      <w:numFmt w:val="decimal"/>
      <w:start w:val="1"/>
    </w:lvl>
  </w:abstractNum>
  <w:abstractNum w:abstractNumId="105">
    <w:nsid w:val="697D2D2"/>
    <w:multiLevelType w:val="hybridMultilevel"/>
    <w:lvl w:ilvl="0">
      <w:lvlJc w:val="left"/>
      <w:lvlText w:val="(%1)"/>
      <w:numFmt w:val="decimal"/>
      <w:start w:val="1"/>
    </w:lvl>
  </w:abstractNum>
  <w:abstractNum w:abstractNumId="106">
    <w:nsid w:val="6D68AB2"/>
    <w:multiLevelType w:val="hybridMultilevel"/>
    <w:lvl w:ilvl="0">
      <w:lvlJc w:val="left"/>
      <w:lvlText w:val="%1"/>
      <w:numFmt w:val="decimal"/>
      <w:start w:val="32"/>
    </w:lvl>
  </w:abstractNum>
  <w:abstractNum w:abstractNumId="107">
    <w:nsid w:val="3A966CD0"/>
    <w:multiLevelType w:val="hybridMultilevel"/>
    <w:lvl w:ilvl="0">
      <w:lvlJc w:val="left"/>
      <w:lvlText w:val="(%1)"/>
      <w:numFmt w:val="lowerLetter"/>
      <w:start w:val="3"/>
    </w:lvl>
  </w:abstractNum>
  <w:abstractNum w:abstractNumId="108">
    <w:nsid w:val="63F37E85"/>
    <w:multiLevelType w:val="hybridMultilevel"/>
    <w:lvl w:ilvl="0">
      <w:lvlJc w:val="left"/>
      <w:lvlText w:val="(%1)"/>
      <w:numFmt w:val="lowerLetter"/>
      <w:start w:val="1"/>
    </w:lvl>
  </w:abstractNum>
  <w:abstractNum w:abstractNumId="109">
    <w:nsid w:val="5895F5FA"/>
    <w:multiLevelType w:val="hybridMultilevel"/>
    <w:lvl w:ilvl="0">
      <w:lvlJc w:val="left"/>
      <w:lvlText w:val="(%1)"/>
      <w:numFmt w:val="lowerLetter"/>
      <w:start w:val="25"/>
    </w:lvl>
  </w:abstractNum>
  <w:abstractNum w:abstractNumId="110">
    <w:nsid w:val="38A5D054"/>
    <w:multiLevelType w:val="hybridMultilevel"/>
    <w:lvl w:ilvl="0">
      <w:lvlJc w:val="left"/>
      <w:lvlText w:val="(%1)"/>
      <w:numFmt w:val="lowerLetter"/>
      <w:start w:val="6"/>
    </w:lvl>
  </w:abstractNum>
  <w:abstractNum w:abstractNumId="111">
    <w:nsid w:val="F3F09D8"/>
    <w:multiLevelType w:val="hybridMultilevel"/>
    <w:lvl w:ilvl="0">
      <w:lvlJc w:val="left"/>
      <w:lvlText w:val="(%1)"/>
      <w:numFmt w:val="lowerLetter"/>
      <w:start w:val="24"/>
    </w:lvl>
  </w:abstractNum>
  <w:abstractNum w:abstractNumId="112">
    <w:nsid w:val="4B793735"/>
    <w:multiLevelType w:val="hybridMultilevel"/>
    <w:lvl w:ilvl="0">
      <w:lvlJc w:val="left"/>
      <w:lvlText w:val="(%1)"/>
      <w:numFmt w:val="lowerLetter"/>
      <w:start w:val="2"/>
    </w:lvl>
  </w:abstractNum>
  <w:abstractNum w:abstractNumId="113">
    <w:nsid w:val="4A10B4E8"/>
    <w:multiLevelType w:val="hybridMultilevel"/>
    <w:lvl w:ilvl="0">
      <w:lvlJc w:val="left"/>
      <w:lvlText w:val="(%1)"/>
      <w:numFmt w:val="lowerLetter"/>
      <w:start w:val="1"/>
    </w:lvl>
  </w:abstractNum>
  <w:abstractNum w:abstractNumId="114">
    <w:nsid w:val="43D3BCD4"/>
    <w:multiLevelType w:val="hybridMultilevel"/>
    <w:lvl w:ilvl="0">
      <w:lvlJc w:val="left"/>
      <w:lvlText w:val="(%1)"/>
      <w:numFmt w:val="lowerLetter"/>
      <w:start w:val="2"/>
    </w:lvl>
  </w:abstractNum>
  <w:abstractNum w:abstractNumId="115">
    <w:nsid w:val="4C2A7166"/>
    <w:multiLevelType w:val="hybridMultilevel"/>
    <w:lvl w:ilvl="0">
      <w:lvlJc w:val="left"/>
      <w:lvlText w:val="(%1)"/>
      <w:numFmt w:val="lowerLetter"/>
      <w:start w:val="1"/>
    </w:lvl>
  </w:abstractNum>
  <w:abstractNum w:abstractNumId="116">
    <w:nsid w:val="2E534A82"/>
    <w:multiLevelType w:val="hybridMultilevel"/>
    <w:lvl w:ilvl="0">
      <w:lvlJc w:val="left"/>
      <w:lvlText w:val="(%1)"/>
      <w:numFmt w:val="lowerLetter"/>
      <w:start w:val="2"/>
    </w:lvl>
  </w:abstractNum>
  <w:abstractNum w:abstractNumId="117">
    <w:nsid w:val="26F2D364"/>
    <w:multiLevelType w:val="hybridMultilevel"/>
    <w:lvl w:ilvl="0">
      <w:lvlJc w:val="left"/>
      <w:lvlText w:val="(%1)"/>
      <w:numFmt w:val="lowerRoman"/>
      <w:start w:val="1"/>
    </w:lvl>
  </w:abstractNum>
  <w:abstractNum w:abstractNumId="118">
    <w:nsid w:val="71C1AF98"/>
    <w:multiLevelType w:val="hybridMultilevel"/>
    <w:lvl w:ilvl="0">
      <w:lvlJc w:val="left"/>
      <w:lvlText w:val="(%1)"/>
      <w:numFmt w:val="lowerLetter"/>
      <w:start w:val="1"/>
    </w:lvl>
  </w:abstractNum>
  <w:abstractNum w:abstractNumId="119">
    <w:nsid w:val="3D00B9D9"/>
    <w:multiLevelType w:val="hybridMultilevel"/>
    <w:lvl w:ilvl="0">
      <w:lvlJc w:val="left"/>
      <w:lvlText w:val="(%1)"/>
      <w:numFmt w:val="lowerRoman"/>
      <w:start w:val="2"/>
    </w:lvl>
  </w:abstractNum>
  <w:abstractNum w:abstractNumId="120">
    <w:nsid w:val="15BCABA8"/>
    <w:multiLevelType w:val="hybridMultilevel"/>
    <w:lvl w:ilvl="0">
      <w:lvlJc w:val="left"/>
      <w:lvlText w:val="(%1)"/>
      <w:numFmt w:val="lowerLetter"/>
      <w:start w:val="1"/>
    </w:lvl>
  </w:abstractNum>
  <w:abstractNum w:abstractNumId="121">
    <w:nsid w:val="4E0B9A87"/>
    <w:multiLevelType w:val="hybridMultilevel"/>
    <w:lvl w:ilvl="0">
      <w:lvlJc w:val="left"/>
      <w:lvlText w:val="(%1)"/>
      <w:numFmt w:val="lowerLetter"/>
      <w:start w:val="2"/>
    </w:lvl>
  </w:abstractNum>
  <w:abstractNum w:abstractNumId="122">
    <w:nsid w:val="434BAE75"/>
    <w:multiLevelType w:val="hybridMultilevel"/>
    <w:lvl w:ilvl="0">
      <w:lvlJc w:val="left"/>
      <w:lvlText w:val="(%1)"/>
      <w:numFmt w:val="lowerLetter"/>
      <w:start w:val="1"/>
    </w:lvl>
  </w:abstractNum>
  <w:abstractNum w:abstractNumId="123">
    <w:nsid w:val="4F38F265"/>
    <w:multiLevelType w:val="hybridMultilevel"/>
    <w:lvl w:ilvl="0">
      <w:lvlJc w:val="left"/>
      <w:lvlText w:val="(%1)"/>
      <w:numFmt w:val="lowerLetter"/>
      <w:start w:val="1"/>
    </w:lvl>
  </w:abstractNum>
  <w:abstractNum w:abstractNumId="124">
    <w:nsid w:val="4C502870"/>
    <w:multiLevelType w:val="hybridMultilevel"/>
    <w:lvl w:ilvl="0">
      <w:lvlJc w:val="left"/>
      <w:lvlText w:val="%1"/>
      <w:numFmt w:val="lowerRoman"/>
      <w:start w:val="1"/>
    </w:lvl>
    <w:lvl w:ilvl="1">
      <w:lvlJc w:val="left"/>
      <w:lvlText w:val="(%2)"/>
      <w:numFmt w:val="lowerLetter"/>
      <w:start w:val="1"/>
    </w:lvl>
  </w:abstractNum>
  <w:abstractNum w:abstractNumId="125">
    <w:nsid w:val="1DE8725A"/>
    <w:multiLevelType w:val="hybridMultilevel"/>
    <w:lvl w:ilvl="0">
      <w:lvlJc w:val="left"/>
      <w:lvlText w:val="(%1)"/>
      <w:numFmt w:val="lowerRoman"/>
      <w:start w:val="1"/>
    </w:lvl>
    <w:lvl w:ilvl="1">
      <w:lvlJc w:val="left"/>
      <w:lvlText w:val="%2"/>
      <w:numFmt w:val="lowerLetter"/>
      <w:start w:val="1"/>
    </w:lvl>
  </w:abstractNum>
  <w:abstractNum w:abstractNumId="126">
    <w:nsid w:val="6A37288A"/>
    <w:multiLevelType w:val="hybridMultilevel"/>
    <w:lvl w:ilvl="0">
      <w:lvlJc w:val="left"/>
      <w:lvlText w:val="(%1)"/>
      <w:numFmt w:val="lowerLetter"/>
      <w:start w:val="3"/>
    </w:lvl>
  </w:abstractNum>
  <w:abstractNum w:abstractNumId="127">
    <w:nsid w:val="8F8B73F"/>
    <w:multiLevelType w:val="hybridMultilevel"/>
    <w:lvl w:ilvl="0">
      <w:lvlJc w:val="left"/>
      <w:lvlText w:val="%1"/>
      <w:numFmt w:val="lowerLetter"/>
      <w:start w:val="1"/>
    </w:lvl>
    <w:lvl w:ilvl="1">
      <w:lvlJc w:val="left"/>
      <w:lvlText w:val="(%2)"/>
      <w:numFmt w:val="lowerLetter"/>
      <w:start w:val="1"/>
    </w:lvl>
  </w:abstractNum>
  <w:abstractNum w:abstractNumId="128">
    <w:nsid w:val="CA6B462"/>
    <w:multiLevelType w:val="hybridMultilevel"/>
    <w:lvl w:ilvl="0">
      <w:lvlJc w:val="left"/>
      <w:lvlText w:val="(%1)"/>
      <w:numFmt w:val="lowerLetter"/>
      <w:start w:val="35"/>
    </w:lvl>
    <w:lvl w:ilvl="1">
      <w:lvlJc w:val="left"/>
      <w:lvlText w:val="%2"/>
      <w:numFmt w:val="lowerLetter"/>
      <w:start w:val="1"/>
    </w:lvl>
  </w:abstractNum>
  <w:abstractNum w:abstractNumId="129">
    <w:nsid w:val="763CB680"/>
    <w:multiLevelType w:val="hybridMultilevel"/>
    <w:lvl w:ilvl="0">
      <w:lvlJc w:val="left"/>
      <w:lvlText w:val="(%1)"/>
      <w:numFmt w:val="lowerLetter"/>
      <w:start w:val="22"/>
    </w:lvl>
    <w:lvl w:ilvl="1">
      <w:lvlJc w:val="left"/>
      <w:lvlText w:val="(%2)"/>
      <w:numFmt w:val="lowerLetter"/>
      <w:start w:val="2"/>
    </w:lvl>
  </w:abstractNum>
  <w:abstractNum w:abstractNumId="130">
    <w:nsid w:val="15B71329"/>
    <w:multiLevelType w:val="hybridMultilevel"/>
    <w:lvl w:ilvl="0">
      <w:lvlJc w:val="left"/>
      <w:lvlText w:val="(%1)"/>
      <w:numFmt w:val="lowerLetter"/>
      <w:start w:val="4"/>
    </w:lvl>
  </w:abstractNum>
  <w:abstractNum w:abstractNumId="131">
    <w:nsid w:val="3DA97044"/>
    <w:multiLevelType w:val="hybridMultilevel"/>
    <w:lvl w:ilvl="0">
      <w:lvlJc w:val="left"/>
      <w:lvlText w:val="(%1)"/>
      <w:numFmt w:val="lowerLetter"/>
      <w:start w:val="1"/>
    </w:lvl>
  </w:abstractNum>
  <w:abstractNum w:abstractNumId="132">
    <w:nsid w:val="1CDCE2DE"/>
    <w:multiLevelType w:val="hybridMultilevel"/>
    <w:lvl w:ilvl="0">
      <w:lvlJc w:val="left"/>
      <w:lvlText w:val="(%1)"/>
      <w:numFmt w:val="lowerLetter"/>
      <w:start w:val="3"/>
    </w:lvl>
  </w:abstractNum>
  <w:abstractNum w:abstractNumId="133">
    <w:nsid w:val="69D3947C"/>
    <w:multiLevelType w:val="hybridMultilevel"/>
    <w:lvl w:ilvl="0">
      <w:lvlJc w:val="left"/>
      <w:lvlText w:val="(%1)"/>
      <w:numFmt w:val="lowerLetter"/>
      <w:start w:val="6"/>
    </w:lvl>
  </w:abstractNum>
  <w:abstractNum w:abstractNumId="134">
    <w:nsid w:val="2539DFA5"/>
    <w:multiLevelType w:val="hybridMultilevel"/>
    <w:lvl w:ilvl="0">
      <w:lvlJc w:val="left"/>
      <w:lvlText w:val="(%1)"/>
      <w:numFmt w:val="lowerLetter"/>
      <w:start w:val="7"/>
    </w:lvl>
  </w:abstractNum>
  <w:abstractNum w:abstractNumId="135">
    <w:nsid w:val="2DB88089"/>
    <w:multiLevelType w:val="hybridMultilevel"/>
    <w:lvl w:ilvl="0">
      <w:lvlJc w:val="left"/>
      <w:lvlText w:val="(%1)"/>
      <w:numFmt w:val="lowerRoman"/>
      <w:start w:val="1"/>
    </w:lvl>
    <w:lvl w:ilvl="1">
      <w:lvlJc w:val="left"/>
      <w:lvlText w:val="(%2)"/>
      <w:numFmt w:val="lowerLetter"/>
      <w:start w:val="8"/>
    </w:lvl>
  </w:abstractNum>
  <w:abstractNum w:abstractNumId="136">
    <w:nsid w:val="706B674E"/>
    <w:multiLevelType w:val="hybridMultilevel"/>
    <w:lvl w:ilvl="0">
      <w:lvlJc w:val="left"/>
      <w:lvlText w:val="(%1)"/>
      <w:numFmt w:val="lowerLetter"/>
      <w:start w:val="9"/>
    </w:lvl>
  </w:abstractNum>
  <w:abstractNum w:abstractNumId="137">
    <w:nsid w:val="2C106A57"/>
    <w:multiLevelType w:val="hybridMultilevel"/>
    <w:lvl w:ilvl="0">
      <w:lvlJc w:val="left"/>
      <w:lvlText w:val="(%1)"/>
      <w:numFmt w:val="lowerLetter"/>
      <w:start w:val="1"/>
    </w:lvl>
  </w:abstractNum>
  <w:abstractNum w:abstractNumId="138">
    <w:nsid w:val="684EED59"/>
    <w:multiLevelType w:val="hybridMultilevel"/>
    <w:lvl w:ilvl="0">
      <w:lvlJc w:val="left"/>
      <w:lvlText w:val="(%1)"/>
      <w:numFmt w:val="lowerLetter"/>
      <w:start w:val="2"/>
    </w:lvl>
  </w:abstractNum>
  <w:abstractNum w:abstractNumId="139">
    <w:nsid w:val="545EE5D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40">
    <w:nsid w:val="4A66051"/>
    <w:multiLevelType w:val="hybridMultilevel"/>
    <w:lvl w:ilvl="0">
      <w:lvlJc w:val="left"/>
      <w:lvlText w:val="(%1)"/>
      <w:numFmt w:val="lowerLetter"/>
      <w:start w:val="35"/>
    </w:lvl>
    <w:lvl w:ilvl="1">
      <w:lvlJc w:val="left"/>
      <w:lvlText w:val="(%2)"/>
      <w:numFmt w:val="lowerRoman"/>
    </w:lvl>
    <w:lvl w:ilvl="2">
      <w:lvlJc w:val="left"/>
      <w:lvlText w:val="(%3)"/>
      <w:numFmt w:val="lowerLetter"/>
      <w:start w:val="2"/>
    </w:lvl>
  </w:abstractNum>
  <w:abstractNum w:abstractNumId="141">
    <w:nsid w:val="20F4BDAD"/>
    <w:multiLevelType w:val="hybridMultilevel"/>
    <w:lvl w:ilvl="0">
      <w:lvlJc w:val="left"/>
      <w:lvlText w:val="(%1)"/>
      <w:numFmt w:val="lowerLetter"/>
      <w:start w:val="4"/>
    </w:lvl>
  </w:abstractNum>
  <w:abstractNum w:abstractNumId="142">
    <w:nsid w:val="639DEF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43">
    <w:nsid w:val="501F9786"/>
    <w:multiLevelType w:val="hybridMultilevel"/>
    <w:lvl w:ilvl="0">
      <w:lvlJc w:val="left"/>
      <w:lvlText w:val="(%1)"/>
      <w:numFmt w:val="lowerLetter"/>
      <w:start w:val="9"/>
    </w:lvl>
    <w:lvl w:ilvl="1">
      <w:lvlJc w:val="left"/>
      <w:lvlText w:val="(%2)"/>
      <w:numFmt w:val="lowerLetter"/>
      <w:start w:val="8"/>
    </w:lvl>
    <w:lvl w:ilvl="2">
      <w:lvlJc w:val="left"/>
      <w:lvlText w:val="(%3)"/>
      <w:numFmt w:val="lowerLetter"/>
      <w:start w:val="3"/>
    </w:lvl>
    <w:lvl w:ilvl="3">
      <w:lvlJc w:val="left"/>
      <w:lvlText w:val="(%4)"/>
      <w:numFmt w:val="upperLetter"/>
      <w:start w:val="1"/>
    </w:lvl>
  </w:abstractNum>
  <w:abstractNum w:abstractNumId="144">
    <w:nsid w:val="6B057295"/>
    <w:multiLevelType w:val="hybridMultilevel"/>
    <w:lvl w:ilvl="0">
      <w:lvlJc w:val="left"/>
      <w:lvlText w:val="%1"/>
      <w:numFmt w:val="lowerRoman"/>
      <w:start w:val="1"/>
    </w:lvl>
    <w:lvl w:ilvl="1">
      <w:lvlJc w:val="left"/>
      <w:lvlText w:val="(%2)"/>
      <w:numFmt w:val="upperLetter"/>
      <w:start w:val="2"/>
    </w:lvl>
  </w:abstractNum>
  <w:abstractNum w:abstractNumId="145">
    <w:nsid w:val="2771AC80"/>
    <w:multiLevelType w:val="hybridMultilevel"/>
    <w:lvl w:ilvl="0">
      <w:lvlJc w:val="left"/>
      <w:lvlText w:val="(%1)"/>
      <w:numFmt w:val="lowerRoman"/>
      <w:start w:val="2"/>
    </w:lvl>
    <w:lvl w:ilvl="1">
      <w:lvlJc w:val="left"/>
      <w:lvlText w:val="%2"/>
      <w:numFmt w:val="upperLetter"/>
      <w:start w:val="1"/>
    </w:lvl>
  </w:abstractNum>
  <w:abstractNum w:abstractNumId="146">
    <w:nsid w:val="1C4A08EC"/>
    <w:multiLevelType w:val="hybridMultilevel"/>
    <w:lvl w:ilvl="0">
      <w:lvlJc w:val="left"/>
      <w:lvlText w:val="(%1)"/>
      <w:numFmt w:val="lowerLetter"/>
      <w:start w:val="24"/>
    </w:lvl>
  </w:abstractNum>
  <w:abstractNum w:abstractNumId="147">
    <w:nsid w:val="1958BD17"/>
    <w:multiLevelType w:val="hybridMultilevel"/>
    <w:lvl w:ilvl="0">
      <w:lvlJc w:val="left"/>
      <w:lvlText w:val="%1"/>
      <w:numFmt w:val="upperLetter"/>
      <w:start w:val="1"/>
    </w:lvl>
    <w:lvl w:ilvl="1">
      <w:lvlJc w:val="left"/>
      <w:lvlText w:val="(%2)"/>
      <w:numFmt w:val="lowerRoman"/>
      <w:start w:val="3"/>
    </w:lvl>
  </w:abstractNum>
  <w:abstractNum w:abstractNumId="148">
    <w:nsid w:val="4E647FE4"/>
    <w:multiLevelType w:val="hybridMultilevel"/>
    <w:lvl w:ilvl="0">
      <w:lvlJc w:val="left"/>
      <w:lvlText w:val="(%1)"/>
      <w:numFmt w:val="upperLetter"/>
      <w:start w:val="3"/>
    </w:lvl>
    <w:lvl w:ilvl="1">
      <w:lvlJc w:val="left"/>
      <w:lvlText w:val="%2"/>
      <w:numFmt w:val="lowerRoman"/>
      <w:start w:val="1"/>
    </w:lvl>
  </w:abstractNum>
  <w:abstractNum w:abstractNumId="149">
    <w:nsid w:val="E0BB885"/>
    <w:multiLevelType w:val="hybridMultilevel"/>
    <w:lvl w:ilvl="0">
      <w:lvlJc w:val="left"/>
      <w:lvlText w:val="%1"/>
      <w:numFmt w:val="lowerRoman"/>
      <w:start w:val="1"/>
    </w:lvl>
    <w:lvl w:ilvl="1">
      <w:lvlJc w:val="left"/>
      <w:lvlText w:val="(%2)"/>
      <w:numFmt w:val="lowerLetter"/>
      <w:start w:val="6"/>
    </w:lvl>
  </w:abstractNum>
  <w:abstractNum w:abstractNumId="150">
    <w:nsid w:val="565976F1"/>
    <w:multiLevelType w:val="hybridMultilevel"/>
    <w:lvl w:ilvl="0">
      <w:lvlJc w:val="left"/>
      <w:lvlText w:val="(%1)"/>
      <w:numFmt w:val="lowerRoman"/>
      <w:start w:val="1"/>
    </w:lvl>
    <w:lvl w:ilvl="1">
      <w:lvlJc w:val="left"/>
      <w:lvlText w:val="%2"/>
      <w:numFmt w:val="lowerLetter"/>
      <w:start w:val="1"/>
    </w:lvl>
  </w:abstractNum>
  <w:abstractNum w:abstractNumId="151">
    <w:nsid w:val="64212B8C"/>
    <w:multiLevelType w:val="hybridMultilevel"/>
    <w:lvl w:ilvl="0">
      <w:lvlJc w:val="left"/>
      <w:lvlText w:val="%1"/>
      <w:numFmt w:val="lowerRoman"/>
      <w:start w:val="1"/>
    </w:lvl>
    <w:lvl w:ilvl="1">
      <w:lvlJc w:val="left"/>
      <w:lvlText w:val="(%2)"/>
      <w:numFmt w:val="lowerLetter"/>
      <w:start w:val="1"/>
    </w:lvl>
  </w:abstractNum>
  <w:abstractNum w:abstractNumId="152">
    <w:nsid w:val="5C17530C"/>
    <w:multiLevelType w:val="hybridMultilevel"/>
    <w:lvl w:ilvl="0">
      <w:lvlJc w:val="left"/>
      <w:lvlText w:val="(%1)"/>
      <w:numFmt w:val="lowerRoman"/>
      <w:start w:val="1"/>
    </w:lvl>
    <w:lvl w:ilvl="1">
      <w:lvlJc w:val="left"/>
      <w:lvlText w:val="%2"/>
      <w:numFmt w:val="lowerLetter"/>
      <w:start w:val="1"/>
    </w:lvl>
  </w:abstractNum>
  <w:abstractNum w:abstractNumId="153">
    <w:nsid w:val="19A52566"/>
    <w:multiLevelType w:val="hybridMultilevel"/>
    <w:lvl w:ilvl="0">
      <w:lvlJc w:val="left"/>
      <w:lvlText w:val="(%1)"/>
      <w:numFmt w:val="lowerLetter"/>
      <w:start w:val="2"/>
    </w:lvl>
  </w:abstractNum>
  <w:abstractNum w:abstractNumId="154">
    <w:nsid w:val="335A1DF1"/>
    <w:multiLevelType w:val="hybridMultilevel"/>
    <w:lvl w:ilvl="0">
      <w:lvlJc w:val="left"/>
      <w:lvlText w:val="%1"/>
      <w:numFmt w:val="lowerLetter"/>
      <w:start w:val="1"/>
    </w:lvl>
    <w:lvl w:ilvl="1">
      <w:lvlJc w:val="left"/>
      <w:lvlText w:val="(%2)"/>
      <w:numFmt w:val="lowerLetter"/>
      <w:start w:val="4"/>
    </w:lvl>
  </w:abstractNum>
  <w:abstractNum w:abstractNumId="155">
    <w:nsid w:val="28677B7C"/>
    <w:multiLevelType w:val="hybridMultilevel"/>
    <w:lvl w:ilvl="0">
      <w:lvlJc w:val="left"/>
      <w:lvlText w:val="(%1)"/>
      <w:numFmt w:val="lowerLetter"/>
      <w:start w:val="9"/>
    </w:lvl>
    <w:lvl w:ilvl="1">
      <w:lvlJc w:val="left"/>
      <w:lvlText w:val="(%2)"/>
      <w:numFmt w:val="lowerLetter"/>
      <w:start w:val="5"/>
    </w:lvl>
  </w:abstractNum>
  <w:abstractNum w:abstractNumId="156">
    <w:nsid w:val="378D97C0"/>
    <w:multiLevelType w:val="hybridMultilevel"/>
    <w:lvl w:ilvl="0">
      <w:lvlJc w:val="left"/>
      <w:lvlText w:val="%1"/>
      <w:numFmt w:val="lowerRoman"/>
      <w:start w:val="1"/>
    </w:lvl>
    <w:lvl w:ilvl="1">
      <w:lvlJc w:val="left"/>
      <w:lvlText w:val="(%2)"/>
      <w:numFmt w:val="lowerLetter"/>
      <w:start w:val="1"/>
    </w:lvl>
  </w:abstractNum>
  <w:abstractNum w:abstractNumId="157">
    <w:nsid w:val="1D91467C"/>
    <w:multiLevelType w:val="hybridMultilevel"/>
    <w:lvl w:ilvl="0">
      <w:lvlJc w:val="left"/>
      <w:lvlText w:val="(%1)"/>
      <w:numFmt w:val="lowerRoman"/>
      <w:start w:val="1"/>
    </w:lvl>
    <w:lvl w:ilvl="1">
      <w:lvlJc w:val="left"/>
      <w:lvlText w:val="%2"/>
      <w:numFmt w:val="lowerLetter"/>
      <w:start w:val="1"/>
    </w:lvl>
  </w:abstractNum>
  <w:abstractNum w:abstractNumId="158">
    <w:nsid w:val="316032BB"/>
    <w:multiLevelType w:val="hybridMultilevel"/>
    <w:lvl w:ilvl="0">
      <w:lvlJc w:val="left"/>
      <w:lvlText w:val="%1"/>
      <w:numFmt w:val="lowerRoman"/>
      <w:start w:val="1"/>
    </w:lvl>
    <w:lvl w:ilvl="1">
      <w:lvlJc w:val="left"/>
      <w:lvlText w:val="(%2)"/>
      <w:numFmt w:val="lowerLetter"/>
      <w:start w:val="3"/>
    </w:lvl>
  </w:abstractNum>
  <w:abstractNum w:abstractNumId="159">
    <w:nsid w:val="44344C22"/>
    <w:multiLevelType w:val="hybridMultilevel"/>
    <w:lvl w:ilvl="0">
      <w:lvlJc w:val="left"/>
      <w:lvlText w:val="(%1)"/>
      <w:numFmt w:val="lowerRoman"/>
      <w:start w:val="1"/>
    </w:lvl>
    <w:lvl w:ilvl="1">
      <w:lvlJc w:val="left"/>
      <w:lvlText w:val="%2"/>
      <w:numFmt w:val="lowerLetter"/>
      <w:start w:val="1"/>
    </w:lvl>
  </w:abstractNum>
  <w:abstractNum w:abstractNumId="160">
    <w:nsid w:val="13CDFCFC"/>
    <w:multiLevelType w:val="hybridMultilevel"/>
    <w:lvl w:ilvl="0">
      <w:lvlJc w:val="left"/>
      <w:lvlText w:val="%1"/>
      <w:numFmt w:val="lowerLetter"/>
      <w:start w:val="1"/>
    </w:lvl>
    <w:lvl w:ilvl="1">
      <w:lvlJc w:val="left"/>
      <w:lvlText w:val="(%2)"/>
      <w:numFmt w:val="lowerLetter"/>
      <w:start w:val="5"/>
    </w:lvl>
  </w:abstractNum>
  <w:abstractNum w:abstractNumId="161">
    <w:nsid w:val="471745E4"/>
    <w:multiLevelType w:val="hybridMultilevel"/>
    <w:lvl w:ilvl="0">
      <w:lvlJc w:val="left"/>
      <w:lvlText w:val="(%1)"/>
      <w:numFmt w:val="lowerLetter"/>
      <w:start w:val="6"/>
    </w:lvl>
    <w:lvl w:ilvl="1">
      <w:lvlJc w:val="left"/>
      <w:lvlText w:val="%2"/>
      <w:numFmt w:val="lowerLetter"/>
      <w:start w:val="1"/>
    </w:lvl>
  </w:abstractNum>
  <w:abstractNum w:abstractNumId="162">
    <w:nsid w:val="1DDBC66"/>
    <w:multiLevelType w:val="hybridMultilevel"/>
    <w:lvl w:ilvl="0">
      <w:lvlJc w:val="left"/>
      <w:lvlText w:val="(%1)"/>
      <w:numFmt w:val="lowerLetter"/>
      <w:start w:val="1"/>
    </w:lvl>
  </w:abstractNum>
  <w:abstractNum w:abstractNumId="163">
    <w:nsid w:val="30AADFDA"/>
    <w:multiLevelType w:val="hybridMultilevel"/>
    <w:lvl w:ilvl="0">
      <w:lvlJc w:val="left"/>
      <w:lvlText w:val="(%1)"/>
      <w:numFmt w:val="lowerLetter"/>
      <w:start w:val="3"/>
    </w:lvl>
  </w:abstractNum>
  <w:abstractNum w:abstractNumId="164">
    <w:nsid w:val="30EADA61"/>
    <w:multiLevelType w:val="hybridMultilevel"/>
    <w:lvl w:ilvl="0">
      <w:lvlJc w:val="left"/>
      <w:lvlText w:val="%1"/>
      <w:numFmt w:val="lowerLetter"/>
      <w:start w:val="1"/>
    </w:lvl>
    <w:lvl w:ilvl="1">
      <w:lvlJc w:val="left"/>
      <w:lvlText w:val="(%2)"/>
      <w:numFmt w:val="lowerLetter"/>
      <w:start w:val="1"/>
    </w:lvl>
  </w:abstractNum>
  <w:abstractNum w:abstractNumId="165">
    <w:nsid w:val="27179C0B"/>
    <w:multiLevelType w:val="hybridMultilevel"/>
    <w:lvl w:ilvl="0">
      <w:lvlJc w:val="left"/>
      <w:lvlText w:val="(%1)"/>
      <w:numFmt w:val="lowerLetter"/>
      <w:start w:val="61"/>
    </w:lvl>
    <w:lvl w:ilvl="1">
      <w:lvlJc w:val="left"/>
      <w:lvlText w:val="(%2)"/>
      <w:numFmt w:val="lowerLetter"/>
      <w:start w:val="4"/>
    </w:lvl>
  </w:abstractNum>
  <w:abstractNum w:abstractNumId="166">
    <w:nsid w:val="5E636063"/>
    <w:multiLevelType w:val="hybridMultilevel"/>
    <w:lvl w:ilvl="0">
      <w:lvlJc w:val="left"/>
      <w:lvlText w:val="(%1)"/>
      <w:numFmt w:val="lowerLetter"/>
      <w:start w:val="1"/>
    </w:lvl>
  </w:abstractNum>
  <w:abstractNum w:abstractNumId="167">
    <w:nsid w:val="215641AF"/>
    <w:multiLevelType w:val="hybridMultilevel"/>
    <w:lvl w:ilvl="0">
      <w:lvlJc w:val="left"/>
      <w:lvlText w:val="%1"/>
      <w:numFmt w:val="lowerRoman"/>
      <w:start w:val="1"/>
    </w:lvl>
    <w:lvl w:ilvl="1">
      <w:lvlJc w:val="left"/>
      <w:lvlText w:val="(%2)"/>
      <w:numFmt w:val="lowerLetter"/>
      <w:start w:val="1"/>
    </w:lvl>
  </w:abstractNum>
  <w:abstractNum w:abstractNumId="168">
    <w:nsid w:val="53280662"/>
    <w:multiLevelType w:val="hybridMultilevel"/>
    <w:lvl w:ilvl="0">
      <w:lvlJc w:val="left"/>
      <w:lvlText w:val="(%1)"/>
      <w:numFmt w:val="lowerRoman"/>
      <w:start w:val="1"/>
    </w:lvl>
    <w:lvl w:ilvl="1">
      <w:lvlJc w:val="left"/>
      <w:lvlText w:val="%2"/>
      <w:numFmt w:val="lowerLetter"/>
      <w:start w:val="1"/>
    </w:lvl>
  </w:abstractNum>
  <w:abstractNum w:abstractNumId="169">
    <w:nsid w:val="46B24DBC"/>
    <w:multiLevelType w:val="hybridMultilevel"/>
    <w:lvl w:ilvl="0">
      <w:lvlJc w:val="left"/>
      <w:lvlText w:val="(%1)"/>
      <w:numFmt w:val="lowerLetter"/>
      <w:start w:val="2"/>
    </w:lvl>
  </w:abstractNum>
  <w:abstractNum w:abstractNumId="170">
    <w:nsid w:val="75B52783"/>
    <w:multiLevelType w:val="hybridMultilevel"/>
    <w:lvl w:ilvl="0">
      <w:lvlJc w:val="left"/>
      <w:lvlText w:val="(%1)"/>
      <w:numFmt w:val="lowerLetter"/>
      <w:start w:val="4"/>
    </w:lvl>
  </w:abstractNum>
  <w:abstractNum w:abstractNumId="171">
    <w:nsid w:val="57CE66B4"/>
    <w:multiLevelType w:val="hybridMultilevel"/>
    <w:lvl w:ilvl="0">
      <w:lvlJc w:val="left"/>
      <w:lvlText w:val="(%1)"/>
      <w:numFmt w:val="lowerRoman"/>
      <w:start w:val="1"/>
    </w:lvl>
  </w:abstractNum>
  <w:abstractNum w:abstractNumId="172">
    <w:nsid w:val="67A70B69"/>
    <w:multiLevelType w:val="hybridMultilevel"/>
    <w:lvl w:ilvl="0">
      <w:lvlJc w:val="left"/>
      <w:lvlText w:val="%1"/>
      <w:numFmt w:val="lowerLetter"/>
      <w:start w:val="1"/>
    </w:lvl>
    <w:lvl w:ilvl="1">
      <w:lvlJc w:val="left"/>
      <w:lvlText w:val="(%2)"/>
      <w:numFmt w:val="lowerLetter"/>
      <w:start w:val="1"/>
    </w:lvl>
  </w:abstractNum>
  <w:abstractNum w:abstractNumId="173">
    <w:nsid w:val="5953172F"/>
    <w:multiLevelType w:val="hybridMultilevel"/>
    <w:lvl w:ilvl="0">
      <w:lvlJc w:val="left"/>
      <w:lvlText w:val="(%1)"/>
      <w:numFmt w:val="lowerLetter"/>
      <w:start w:val="35"/>
    </w:lvl>
    <w:lvl w:ilvl="1">
      <w:lvlJc w:val="left"/>
      <w:lvlText w:val="(%2)"/>
      <w:numFmt w:val="lowerLetter"/>
      <w:start w:val="2"/>
    </w:lvl>
  </w:abstractNum>
  <w:abstractNum w:abstractNumId="174">
    <w:nsid w:val="27EDFE3A"/>
    <w:multiLevelType w:val="hybridMultilevel"/>
    <w:lvl w:ilvl="0">
      <w:lvlJc w:val="left"/>
      <w:lvlText w:val="%1"/>
      <w:numFmt w:val="lowerLetter"/>
      <w:start w:val="1"/>
    </w:lvl>
    <w:lvl w:ilvl="1">
      <w:lvlJc w:val="left"/>
      <w:lvlText w:val="(%2)"/>
      <w:numFmt w:val="lowerLetter"/>
      <w:start w:val="4"/>
    </w:lvl>
    <w:lvl w:ilvl="2">
      <w:lvlJc w:val="left"/>
      <w:lvlText w:val="%3"/>
      <w:numFmt w:val="upperLetter"/>
      <w:start w:val="1"/>
    </w:lvl>
    <w:lvl w:ilvl="3">
      <w:lvlJc w:val="left"/>
      <w:lvlText w:val="%4"/>
      <w:numFmt w:val="upperLetter"/>
      <w:start w:val="1"/>
    </w:lvl>
    <w:lvl w:ilvl="4">
      <w:lvlJc w:val="left"/>
      <w:lvlText w:val="%5"/>
      <w:numFmt w:val="lowerLetter"/>
      <w:start w:val="1"/>
    </w:lvl>
  </w:abstractNum>
  <w:abstractNum w:abstractNumId="175">
    <w:nsid w:val="52AC7DFF"/>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lvl w:ilvl="3">
      <w:lvlJc w:val="left"/>
      <w:lvlText w:val="(%4)"/>
      <w:numFmt w:val="upperLetter"/>
    </w:lvl>
    <w:lvl w:ilvl="4">
      <w:lvlJc w:val="left"/>
      <w:lvlText w:val="(%5)"/>
      <w:numFmt w:val="lowerLetter"/>
      <w:start w:val="23"/>
    </w:lvl>
  </w:abstractNum>
  <w:abstractNum w:abstractNumId="176">
    <w:nsid w:val="C4C3AF"/>
    <w:multiLevelType w:val="hybridMultilevel"/>
    <w:lvl w:ilvl="0">
      <w:lvlJc w:val="left"/>
      <w:lvlText w:val="%1"/>
      <w:numFmt w:val="lowerLetter"/>
      <w:start w:val="1"/>
    </w:lvl>
    <w:lvl w:ilvl="1">
      <w:lvlJc w:val="left"/>
      <w:lvlText w:val="(%2)"/>
      <w:numFmt w:val="lowerLetter"/>
      <w:start w:val="26"/>
    </w:lvl>
  </w:abstractNum>
  <w:abstractNum w:abstractNumId="177">
    <w:nsid w:val="44380727"/>
    <w:multiLevelType w:val="hybridMultilevel"/>
    <w:lvl w:ilvl="0">
      <w:lvlJc w:val="left"/>
      <w:lvlText w:val="(%1)"/>
      <w:numFmt w:val="lowerLetter"/>
      <w:start w:val="61"/>
    </w:lvl>
    <w:lvl w:ilvl="1">
      <w:lvlJc w:val="left"/>
      <w:lvlText w:val="%2"/>
      <w:numFmt w:val="lowerLetter"/>
      <w:start w:val="1"/>
    </w:lvl>
  </w:abstractNum>
  <w:abstractNum w:abstractNumId="178">
    <w:nsid w:val="6C053B16"/>
    <w:multiLevelType w:val="hybridMultilevel"/>
    <w:lvl w:ilvl="0">
      <w:lvlJc w:val="left"/>
      <w:lvlText w:val="(%1)"/>
      <w:numFmt w:val="lowerLetter"/>
      <w:start w:val="7"/>
    </w:lvl>
  </w:abstractNum>
  <w:abstractNum w:abstractNumId="179">
    <w:nsid w:val="4F294393"/>
    <w:multiLevelType w:val="hybridMultilevel"/>
    <w:lvl w:ilvl="0">
      <w:lvlJc w:val="left"/>
      <w:lvlText w:val="(%1)"/>
      <w:numFmt w:val="lowerLetter"/>
      <w:start w:val="1"/>
    </w:lvl>
  </w:abstractNum>
  <w:abstractNum w:abstractNumId="180">
    <w:nsid w:val="5243BFAC"/>
    <w:multiLevelType w:val="hybridMultilevel"/>
    <w:lvl w:ilvl="0">
      <w:lvlJc w:val="left"/>
      <w:lvlText w:val="(%1)"/>
      <w:numFmt w:val="lowerLetter"/>
      <w:start w:val="2"/>
    </w:lvl>
  </w:abstractNum>
  <w:abstractNum w:abstractNumId="181">
    <w:nsid w:val="425EB207"/>
    <w:multiLevelType w:val="hybridMultilevel"/>
    <w:lvl w:ilvl="0">
      <w:lvlJc w:val="left"/>
      <w:lvlText w:val="(%1)"/>
      <w:numFmt w:val="lowerLetter"/>
      <w:start w:val="5"/>
    </w:lvl>
  </w:abstractNum>
  <w:abstractNum w:abstractNumId="182">
    <w:nsid w:val="334A6F1F"/>
    <w:multiLevelType w:val="hybridMultilevel"/>
    <w:lvl w:ilvl="0">
      <w:lvlJc w:val="left"/>
      <w:lvlText w:val="(%1)"/>
      <w:numFmt w:val="lowerLetter"/>
      <w:start w:val="1"/>
    </w:lvl>
  </w:abstractNum>
  <w:abstractNum w:abstractNumId="183">
    <w:nsid w:val="2E5B12B8"/>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84">
    <w:nsid w:val="5C03D76D"/>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85">
    <w:nsid w:val="66A48D11"/>
    <w:multiLevelType w:val="hybridMultilevel"/>
    <w:lvl w:ilvl="0">
      <w:lvlJc w:val="left"/>
      <w:lvlText w:val="(%1)"/>
      <w:numFmt w:val="lowerRoman"/>
      <w:start w:val="3"/>
    </w:lvl>
  </w:abstractNum>
  <w:abstractNum w:abstractNumId="186">
    <w:nsid w:val="56C28E34"/>
    <w:multiLevelType w:val="hybridMultilevel"/>
    <w:lvl w:ilvl="0">
      <w:lvlJc w:val="left"/>
      <w:lvlText w:val="%1"/>
      <w:numFmt w:val="lowerLetter"/>
      <w:start w:val="1"/>
    </w:lvl>
    <w:lvl w:ilvl="1">
      <w:lvlJc w:val="left"/>
      <w:lvlText w:val="(%2)"/>
      <w:numFmt w:val="lowerLetter"/>
      <w:start w:val="2"/>
    </w:lvl>
  </w:abstractNum>
  <w:abstractNum w:abstractNumId="187">
    <w:nsid w:val="13916F2D"/>
    <w:multiLevelType w:val="hybridMultilevel"/>
    <w:lvl w:ilvl="0">
      <w:lvlJc w:val="left"/>
      <w:lvlText w:val="(%1)"/>
      <w:numFmt w:val="lowerLetter"/>
      <w:start w:val="9"/>
    </w:lvl>
    <w:lvl w:ilvl="1">
      <w:lvlJc w:val="left"/>
      <w:lvlText w:val="%2"/>
      <w:numFmt w:val="lowerLetter"/>
      <w:start w:val="1"/>
    </w:lvl>
  </w:abstractNum>
  <w:abstractNum w:abstractNumId="188">
    <w:nsid w:val="435D38D"/>
    <w:multiLevelType w:val="hybridMultilevel"/>
    <w:lvl w:ilvl="0">
      <w:lvlJc w:val="left"/>
      <w:lvlText w:val="(%1)"/>
      <w:numFmt w:val="lowerRoman"/>
      <w:start w:val="2"/>
    </w:lvl>
  </w:abstractNum>
  <w:abstractNum w:abstractNumId="189">
    <w:nsid w:val="822C0EF"/>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190">
    <w:nsid w:val="57C5BB4F"/>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191">
    <w:nsid w:val="1803D089"/>
    <w:multiLevelType w:val="hybridMultilevel"/>
    <w:lvl w:ilvl="0">
      <w:lvlJc w:val="left"/>
      <w:lvlText w:val="(%1)"/>
      <w:numFmt w:val="upperLetter"/>
      <w:start w:val="35"/>
    </w:lvl>
    <w:lvl w:ilvl="1">
      <w:lvlJc w:val="left"/>
      <w:lvlText w:val="%2"/>
      <w:numFmt w:val="lowerRoman"/>
      <w:start w:val="1"/>
    </w:lvl>
    <w:lvl w:ilvl="2">
      <w:lvlJc w:val="left"/>
      <w:lvlText w:val="%3"/>
      <w:numFmt w:val="lowerLetter"/>
      <w:start w:val="1"/>
    </w:lvl>
  </w:abstractNum>
  <w:abstractNum w:abstractNumId="192">
    <w:nsid w:val="4F3A06D4"/>
    <w:multiLevelType w:val="hybridMultilevel"/>
    <w:lvl w:ilvl="0">
      <w:lvlJc w:val="left"/>
      <w:lvlText w:val="(%1)"/>
      <w:numFmt w:val="lowerLetter"/>
      <w:start w:val="2"/>
    </w:lvl>
  </w:abstractNum>
  <w:abstractNum w:abstractNumId="193">
    <w:nsid w:val="59A377B6"/>
    <w:multiLevelType w:val="hybridMultilevel"/>
    <w:lvl w:ilvl="0">
      <w:lvlJc w:val="left"/>
      <w:lvlText w:val="%1"/>
      <w:numFmt w:val="lowerLetter"/>
      <w:start w:val="1"/>
    </w:lvl>
    <w:lvl w:ilvl="1">
      <w:lvlJc w:val="left"/>
      <w:lvlText w:val="(%2)"/>
      <w:numFmt w:val="lowerLetter"/>
      <w:start w:val="1"/>
    </w:lvl>
  </w:abstractNum>
  <w:abstractNum w:abstractNumId="194">
    <w:nsid w:val="48AEB063"/>
    <w:multiLevelType w:val="hybridMultilevel"/>
    <w:lvl w:ilvl="0">
      <w:lvlJc w:val="left"/>
      <w:lvlText w:val="(%1)"/>
      <w:numFmt w:val="lowerLetter"/>
      <w:start w:val="25"/>
    </w:lvl>
    <w:lvl w:ilvl="1">
      <w:lvlJc w:val="left"/>
      <w:lvlText w:val="(%2)"/>
      <w:numFmt w:val="lowerLetter"/>
      <w:start w:val="2"/>
    </w:lvl>
  </w:abstractNum>
  <w:abstractNum w:abstractNumId="195">
    <w:nsid w:val="24E135"/>
    <w:multiLevelType w:val="hybridMultilevel"/>
    <w:lvl w:ilvl="0">
      <w:lvlJc w:val="left"/>
      <w:lvlText w:val="(%1)"/>
      <w:numFmt w:val="lowerLetter"/>
      <w:start w:val="3"/>
    </w:lvl>
  </w:abstractNum>
  <w:abstractNum w:abstractNumId="196">
    <w:nsid w:val="BB13C1"/>
    <w:multiLevelType w:val="hybridMultilevel"/>
    <w:lvl w:ilvl="0">
      <w:lvlJc w:val="left"/>
      <w:lvlText w:val="(%1)"/>
      <w:numFmt w:val="lowerLetter"/>
      <w:start w:val="1"/>
    </w:lvl>
  </w:abstractNum>
  <w:abstractNum w:abstractNumId="197">
    <w:nsid w:val="271210C7"/>
    <w:multiLevelType w:val="hybridMultilevel"/>
    <w:lvl w:ilvl="0">
      <w:lvlJc w:val="left"/>
      <w:lvlText w:val="(%1)"/>
      <w:numFmt w:val="lowerLetter"/>
      <w:start w:val="1"/>
    </w:lvl>
  </w:abstractNum>
  <w:abstractNum w:abstractNumId="198">
    <w:nsid w:val="217B22E4"/>
    <w:multiLevelType w:val="hybridMultilevel"/>
    <w:lvl w:ilvl="0">
      <w:lvlJc w:val="left"/>
      <w:lvlText w:val="(%1)"/>
      <w:numFmt w:val="lowerLetter"/>
      <w:start w:val="1"/>
    </w:lvl>
  </w:abstractNum>
  <w:abstractNum w:abstractNumId="199">
    <w:nsid w:val="53E31A24"/>
    <w:multiLevelType w:val="hybridMultilevel"/>
    <w:lvl w:ilvl="0">
      <w:lvlJc w:val="left"/>
      <w:lvlText w:val="(%1)"/>
      <w:numFmt w:val="lowerLetter"/>
      <w:start w:val="1"/>
    </w:lvl>
  </w:abstractNum>
  <w:abstractNum w:abstractNumId="200">
    <w:nsid w:val="6DC45E83"/>
    <w:multiLevelType w:val="hybridMultilevel"/>
    <w:lvl w:ilvl="0">
      <w:lvlJc w:val="left"/>
      <w:lvlText w:val="(%1)"/>
      <w:numFmt w:val="lowerLetter"/>
      <w:start w:val="1"/>
    </w:lvl>
  </w:abstractNum>
  <w:abstractNum w:abstractNumId="201">
    <w:nsid w:val="17304A67"/>
    <w:multiLevelType w:val="hybridMultilevel"/>
    <w:lvl w:ilvl="0">
      <w:lvlJc w:val="left"/>
      <w:lvlText w:val="(%1)"/>
      <w:numFmt w:val="lowerLetter"/>
      <w:start w:val="1"/>
    </w:lvl>
  </w:abstractNum>
  <w:abstractNum w:abstractNumId="202">
    <w:nsid w:val="2BB180D8"/>
    <w:multiLevelType w:val="hybridMultilevel"/>
    <w:lvl w:ilvl="0">
      <w:lvlJc w:val="left"/>
      <w:lvlText w:val="%1"/>
      <w:numFmt w:val="lowerLetter"/>
      <w:start w:val="1"/>
    </w:lvl>
    <w:lvl w:ilvl="1">
      <w:lvlJc w:val="left"/>
      <w:lvlText w:val="(%2)"/>
      <w:numFmt w:val="lowerLetter"/>
      <w:start w:val="1"/>
    </w:lvl>
  </w:abstractNum>
  <w:abstractNum w:abstractNumId="203">
    <w:nsid w:val="556B69ED"/>
    <w:multiLevelType w:val="hybridMultilevel"/>
    <w:lvl w:ilvl="0">
      <w:lvlJc w:val="left"/>
      <w:lvlText w:val="(%1)"/>
      <w:numFmt w:val="lowerLetter"/>
      <w:start w:val="9"/>
    </w:lvl>
    <w:lvl w:ilvl="1">
      <w:lvlJc w:val="left"/>
      <w:lvlText w:val="%2"/>
      <w:numFmt w:val="lowerLetter"/>
      <w:start w:val="1"/>
    </w:lvl>
  </w:abstractNum>
  <w:abstractNum w:abstractNumId="204">
    <w:nsid w:val="70836196"/>
    <w:multiLevelType w:val="hybridMultilevel"/>
    <w:lvl w:ilvl="0">
      <w:lvlJc w:val="left"/>
      <w:lvlText w:val="(%1)"/>
      <w:numFmt w:val="lowerRoman"/>
      <w:start w:val="2"/>
    </w:lvl>
  </w:abstractNum>
  <w:abstractNum w:abstractNumId="205">
    <w:nsid w:val="539F7F12"/>
    <w:multiLevelType w:val="hybridMultilevel"/>
    <w:lvl w:ilvl="0">
      <w:lvlJc w:val="left"/>
      <w:lvlText w:val="(%1)"/>
      <w:numFmt w:val="lowerLetter"/>
      <w:start w:val="2"/>
    </w:lvl>
  </w:abstractNum>
  <w:abstractNum w:abstractNumId="206">
    <w:nsid w:val="2817E7EC"/>
    <w:multiLevelType w:val="hybridMultilevel"/>
    <w:lvl w:ilvl="0">
      <w:lvlJc w:val="left"/>
      <w:lvlText w:val="(%1)"/>
      <w:numFmt w:val="lowerLetter"/>
      <w:start w:val="1"/>
    </w:lvl>
  </w:abstractNum>
  <w:abstractNum w:abstractNumId="207">
    <w:nsid w:val="71482545"/>
    <w:multiLevelType w:val="hybridMultilevel"/>
    <w:lvl w:ilvl="0">
      <w:lvlJc w:val="left"/>
      <w:lvlText w:val="(%1)"/>
      <w:numFmt w:val="lowerLetter"/>
      <w:start w:val="1"/>
    </w:lvl>
  </w:abstractNum>
  <w:abstractNum w:abstractNumId="208">
    <w:nsid w:val="17D78639"/>
    <w:multiLevelType w:val="hybridMultilevel"/>
    <w:lvl w:ilvl="0">
      <w:lvlJc w:val="left"/>
      <w:lvlText w:val="%1"/>
      <w:numFmt w:val="lowerLetter"/>
      <w:start w:val="1"/>
    </w:lvl>
    <w:lvl w:ilvl="1">
      <w:lvlJc w:val="left"/>
      <w:lvlText w:val="(%2)"/>
      <w:numFmt w:val="lowerLetter"/>
      <w:start w:val="2"/>
    </w:lvl>
  </w:abstractNum>
  <w:abstractNum w:abstractNumId="209">
    <w:nsid w:val="141D2302"/>
    <w:multiLevelType w:val="hybridMultilevel"/>
    <w:lvl w:ilvl="0">
      <w:lvlJc w:val="left"/>
      <w:lvlText w:val="(%1)"/>
      <w:numFmt w:val="lowerLetter"/>
      <w:start w:val="35"/>
    </w:lvl>
    <w:lvl w:ilvl="1">
      <w:lvlJc w:val="left"/>
      <w:lvlText w:val="(%2)"/>
      <w:numFmt w:val="lowerLetter"/>
      <w:start w:val="4"/>
    </w:lvl>
  </w:abstractNum>
  <w:abstractNum w:abstractNumId="210">
    <w:nsid w:val="407168D8"/>
    <w:multiLevelType w:val="hybridMultilevel"/>
    <w:lvl w:ilvl="0">
      <w:lvlJc w:val="left"/>
      <w:lvlText w:val="(%1)"/>
      <w:numFmt w:val="lowerLetter"/>
      <w:start w:val="10"/>
    </w:lvl>
  </w:abstractNum>
  <w:abstractNum w:abstractNumId="211">
    <w:nsid w:val="6A1B45E5"/>
    <w:multiLevelType w:val="hybridMultilevel"/>
    <w:lvl w:ilvl="0">
      <w:lvlJc w:val="left"/>
      <w:lvlText w:val="(%1)"/>
      <w:numFmt w:val="lowerLetter"/>
      <w:start w:val="1"/>
    </w:lvl>
  </w:abstractNum>
  <w:abstractNum w:abstractNumId="212">
    <w:nsid w:val="567BD50A"/>
    <w:multiLevelType w:val="hybridMultilevel"/>
    <w:lvl w:ilvl="0">
      <w:lvlJc w:val="left"/>
      <w:lvlText w:val="(%1)"/>
      <w:numFmt w:val="lowerLetter"/>
      <w:start w:val="1"/>
    </w:lvl>
  </w:abstractNum>
  <w:abstractNum w:abstractNumId="213">
    <w:nsid w:val="73BBD7F8"/>
    <w:multiLevelType w:val="hybridMultilevel"/>
    <w:lvl w:ilvl="0">
      <w:lvlJc w:val="left"/>
      <w:lvlText w:val="(%1)"/>
      <w:numFmt w:val="lowerLetter"/>
      <w:start w:val="1"/>
    </w:lvl>
  </w:abstractNum>
  <w:abstractNum w:abstractNumId="214">
    <w:nsid w:val="1876589D"/>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lvl w:ilvl="3">
      <w:lvlJc w:val="left"/>
      <w:lvlText w:val="%4"/>
      <w:numFmt w:val="lowerLetter"/>
      <w:start w:val="1"/>
    </w:lvl>
  </w:abstractNum>
  <w:abstractNum w:abstractNumId="215">
    <w:nsid w:val="327FAC77"/>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lowerLetter"/>
      <w:start w:val="23"/>
    </w:lvl>
  </w:abstractNum>
  <w:abstractNum w:abstractNumId="216">
    <w:nsid w:val="5A606509"/>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lowerLetter"/>
      <w:start w:val="24"/>
    </w:lvl>
  </w:abstractNum>
  <w:abstractNum w:abstractNumId="217">
    <w:nsid w:val="6F38E6D1"/>
    <w:multiLevelType w:val="hybridMultilevel"/>
    <w:lvl w:ilvl="0">
      <w:lvlJc w:val="left"/>
      <w:lvlText w:val="%1"/>
      <w:numFmt w:val="upperLetter"/>
      <w:start w:val="1"/>
    </w:lvl>
    <w:lvl w:ilvl="1">
      <w:lvlJc w:val="left"/>
      <w:lvlText w:val="(%2)"/>
      <w:numFmt w:val="upperLetter"/>
      <w:start w:val="3"/>
    </w:lvl>
    <w:lvl w:ilvl="2">
      <w:lvlJc w:val="left"/>
      <w:lvlText w:val="%3"/>
      <w:numFmt w:val="lowerLetter"/>
      <w:start w:val="1"/>
    </w:lvl>
  </w:abstractNum>
  <w:abstractNum w:abstractNumId="218">
    <w:nsid w:val="46111BA5"/>
    <w:multiLevelType w:val="hybridMultilevel"/>
    <w:lvl w:ilvl="0">
      <w:lvlJc w:val="left"/>
      <w:lvlText w:val="(%1)"/>
      <w:numFmt w:val="upperLetter"/>
      <w:start w:val="3"/>
    </w:lvl>
    <w:lvl w:ilvl="1">
      <w:lvlJc w:val="left"/>
      <w:lvlText w:val="(%2)"/>
      <w:numFmt w:val="upperLetter"/>
      <w:start w:val="4"/>
    </w:lvl>
    <w:lvl w:ilvl="2">
      <w:lvlJc w:val="left"/>
      <w:lvlText w:val="(%3)"/>
      <w:numFmt w:val="lowerLetter"/>
      <w:start w:val="24"/>
    </w:lvl>
  </w:abstractNum>
  <w:abstractNum w:abstractNumId="219">
    <w:nsid w:val="5E963896"/>
    <w:multiLevelType w:val="hybridMultilevel"/>
    <w:lvl w:ilvl="0">
      <w:lvlJc w:val="left"/>
      <w:lvlText w:val="(%1)"/>
      <w:numFmt w:val="upperLetter"/>
      <w:start w:val="6"/>
    </w:lvl>
  </w:abstractNum>
  <w:abstractNum w:abstractNumId="220">
    <w:nsid w:val="775BA7C1"/>
    <w:multiLevelType w:val="hybridMultilevel"/>
    <w:lvl w:ilvl="0">
      <w:lvlJc w:val="left"/>
      <w:lvlText w:val="(%1)"/>
      <w:numFmt w:val="lowerLetter"/>
      <w:start w:val="3"/>
    </w:lvl>
  </w:abstractNum>
  <w:abstractNum w:abstractNumId="221">
    <w:nsid w:val="1DD6D6F4"/>
    <w:multiLevelType w:val="hybridMultilevel"/>
    <w:lvl w:ilvl="0">
      <w:lvlJc w:val="left"/>
      <w:lvlText w:val="(%1)"/>
      <w:numFmt w:val="lowerLetter"/>
      <w:start w:val="1"/>
    </w:lvl>
  </w:abstractNum>
  <w:abstractNum w:abstractNumId="222">
    <w:nsid w:val="769A091F"/>
    <w:multiLevelType w:val="hybridMultilevel"/>
    <w:lvl w:ilvl="0">
      <w:lvlJc w:val="left"/>
      <w:lvlText w:val="(%1)"/>
      <w:numFmt w:val="lowerRoman"/>
      <w:start w:val="1"/>
    </w:lvl>
  </w:abstractNum>
  <w:abstractNum w:abstractNumId="223">
    <w:nsid w:val="4695AE95"/>
    <w:multiLevelType w:val="hybridMultilevel"/>
    <w:lvl w:ilvl="0">
      <w:lvlJc w:val="left"/>
      <w:lvlText w:val="(%1)"/>
      <w:numFmt w:val="lowerLetter"/>
      <w:start w:val="1"/>
    </w:lvl>
  </w:abstractNum>
  <w:abstractNum w:abstractNumId="224">
    <w:nsid w:val="777A4EAA"/>
    <w:multiLevelType w:val="hybridMultilevel"/>
    <w:lvl w:ilvl="0">
      <w:lvlJc w:val="left"/>
      <w:lvlText w:val="(%1)"/>
      <w:numFmt w:val="lowerLetter"/>
      <w:start w:val="7"/>
    </w:lvl>
  </w:abstractNum>
  <w:abstractNum w:abstractNumId="225">
    <w:nsid w:val="3F48B982"/>
    <w:multiLevelType w:val="hybridMultilevel"/>
    <w:lvl w:ilvl="0">
      <w:lvlJc w:val="left"/>
      <w:lvlText w:val="(%1)"/>
      <w:numFmt w:val="lowerLetter"/>
      <w:start w:val="9"/>
    </w:lvl>
  </w:abstractNum>
  <w:abstractNum w:abstractNumId="226">
    <w:nsid w:val="46BA8FCA"/>
    <w:multiLevelType w:val="hybridMultilevel"/>
    <w:lvl w:ilvl="0">
      <w:lvlJc w:val="left"/>
      <w:lvlText w:val="(%1)"/>
      <w:numFmt w:val="lowerLetter"/>
      <w:start w:val="1"/>
    </w:lvl>
  </w:abstractNum>
  <w:abstractNum w:abstractNumId="227">
    <w:nsid w:val="7835626C"/>
    <w:multiLevelType w:val="hybridMultilevel"/>
    <w:lvl w:ilvl="0">
      <w:lvlJc w:val="left"/>
      <w:lvlText w:val="%1"/>
      <w:numFmt w:val="lowerLetter"/>
      <w:start w:val="1"/>
    </w:lvl>
    <w:lvl w:ilvl="1">
      <w:lvlJc w:val="left"/>
      <w:lvlText w:val="(%2)"/>
      <w:numFmt w:val="lowerLetter"/>
      <w:start w:val="5"/>
    </w:lvl>
  </w:abstractNum>
  <w:abstractNum w:abstractNumId="228">
    <w:nsid w:val="665ACA49"/>
    <w:multiLevelType w:val="hybridMultilevel"/>
    <w:lvl w:ilvl="0">
      <w:lvlJc w:val="left"/>
      <w:lvlText w:val="(%1)"/>
      <w:numFmt w:val="lowerLetter"/>
      <w:start w:val="35"/>
    </w:lvl>
    <w:lvl w:ilvl="1">
      <w:lvlJc w:val="left"/>
      <w:lvlText w:val="(%2)"/>
      <w:numFmt w:val="lowerLetter"/>
      <w:start w:val="6"/>
    </w:lvl>
  </w:abstractNum>
  <w:abstractNum w:abstractNumId="229">
    <w:nsid w:val="6835B2AE"/>
    <w:multiLevelType w:val="hybridMultilevel"/>
    <w:lvl w:ilvl="0">
      <w:lvlJc w:val="left"/>
      <w:lvlText w:val="(%1)"/>
      <w:numFmt w:val="lowerLetter"/>
      <w:start w:val="25"/>
    </w:lvl>
    <w:lvl w:ilvl="1">
      <w:lvlJc w:val="left"/>
      <w:lvlText w:val="(%2)"/>
      <w:numFmt w:val="lowerLetter"/>
      <w:start w:val="1"/>
    </w:lvl>
  </w:abstractNum>
  <w:abstractNum w:abstractNumId="230">
    <w:nsid w:val="4C187C90"/>
    <w:multiLevelType w:val="hybridMultilevel"/>
    <w:lvl w:ilvl="0">
      <w:lvlJc w:val="left"/>
      <w:lvlText w:val="(%1)"/>
      <w:numFmt w:val="lowerLetter"/>
      <w:start w:val="5"/>
    </w:lvl>
  </w:abstractNum>
  <w:abstractNum w:abstractNumId="231">
    <w:nsid w:val="541F28CD"/>
    <w:multiLevelType w:val="hybridMultilevel"/>
    <w:lvl w:ilvl="0">
      <w:lvlJc w:val="left"/>
      <w:lvlText w:val="(%1)"/>
      <w:numFmt w:val="lowerLetter"/>
      <w:start w:val="1"/>
    </w:lvl>
  </w:abstractNum>
  <w:abstractNum w:abstractNumId="232">
    <w:nsid w:val="7F65FD1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33">
    <w:nsid w:val="77C9FD6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34">
    <w:nsid w:val="298A92B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lvl w:ilvl="3">
      <w:lvlJc w:val="left"/>
      <w:lvlText w:val="(%4)"/>
      <w:numFmt w:val="lowerLetter"/>
      <w:start w:val="4"/>
    </w:lvl>
  </w:abstractNum>
  <w:abstractNum w:abstractNumId="235">
    <w:nsid w:val="6FE95EA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36">
    <w:nsid w:val="4B697C7A"/>
    <w:multiLevelType w:val="hybridMultilevel"/>
    <w:lvl w:ilvl="0">
      <w:lvlJc w:val="left"/>
      <w:lvlText w:val="(%1)"/>
      <w:numFmt w:val="lowerLetter"/>
      <w:start w:val="1"/>
    </w:lvl>
  </w:abstractNum>
  <w:abstractNum w:abstractNumId="237">
    <w:nsid w:val="51A27AA6"/>
    <w:multiLevelType w:val="hybridMultilevel"/>
    <w:lvl w:ilvl="0">
      <w:lvlJc w:val="left"/>
      <w:lvlText w:val="(%1)"/>
      <w:numFmt w:val="lowerLetter"/>
      <w:start w:val="1"/>
    </w:lvl>
  </w:abstractNum>
  <w:abstractNum w:abstractNumId="238">
    <w:nsid w:val="613183F2"/>
    <w:multiLevelType w:val="hybridMultilevel"/>
    <w:lvl w:ilvl="0">
      <w:lvlJc w:val="left"/>
      <w:lvlText w:val="(%1)"/>
      <w:numFmt w:val="lowerLetter"/>
      <w:start w:val="2"/>
    </w:lvl>
  </w:abstractNum>
  <w:abstractNum w:abstractNumId="239">
    <w:nsid w:val="634102B4"/>
    <w:multiLevelType w:val="hybridMultilevel"/>
    <w:lvl w:ilvl="0">
      <w:lvlJc w:val="left"/>
      <w:lvlText w:val="%1"/>
      <w:numFmt w:val="lowerLetter"/>
      <w:start w:val="1"/>
    </w:lvl>
    <w:lvl w:ilvl="1">
      <w:lvlJc w:val="left"/>
      <w:lvlText w:val="(%2)"/>
      <w:numFmt w:val="lowerLetter"/>
      <w:start w:val="1"/>
    </w:lvl>
  </w:abstractNum>
  <w:abstractNum w:abstractNumId="240">
    <w:nsid w:val="65BF9DA8"/>
    <w:multiLevelType w:val="hybridMultilevel"/>
    <w:lvl w:ilvl="0">
      <w:lvlJc w:val="left"/>
      <w:lvlText w:val="(%1)"/>
      <w:numFmt w:val="lowerLetter"/>
      <w:start w:val="1"/>
    </w:lvl>
    <w:lvl w:ilvl="1">
      <w:lvlJc w:val="left"/>
      <w:lvlText w:val="(%2)"/>
      <w:numFmt w:val="lowerLetter"/>
      <w:start w:val="3"/>
    </w:lvl>
  </w:abstractNum>
  <w:abstractNum w:abstractNumId="241">
    <w:nsid w:val="21A2ECCA"/>
    <w:multiLevelType w:val="hybridMultilevel"/>
    <w:lvl w:ilvl="0">
      <w:lvlJc w:val="left"/>
      <w:lvlText w:val="(%1)"/>
      <w:numFmt w:val="lowerLetter"/>
      <w:start w:val="4"/>
    </w:lvl>
  </w:abstractNum>
  <w:abstractNum w:abstractNumId="242">
    <w:nsid w:val="4D5C4899"/>
    <w:multiLevelType w:val="hybridMultilevel"/>
    <w:lvl w:ilvl="0">
      <w:lvlJc w:val="left"/>
      <w:lvlText w:val="(%1)"/>
      <w:numFmt w:val="lowerLetter"/>
      <w:start w:val="13"/>
    </w:lvl>
  </w:abstractNum>
  <w:abstractNum w:abstractNumId="243">
    <w:nsid w:val="3C3B72B2"/>
    <w:multiLevelType w:val="hybridMultilevel"/>
    <w:lvl w:ilvl="0">
      <w:lvlJc w:val="left"/>
      <w:lvlText w:val="(%1)"/>
      <w:numFmt w:val="lowerRoman"/>
      <w:start w:val="2"/>
    </w:lvl>
  </w:abstractNum>
  <w:abstractNum w:abstractNumId="244">
    <w:nsid w:val="155EC4C2"/>
    <w:multiLevelType w:val="hybridMultilevel"/>
    <w:lvl w:ilvl="0">
      <w:lvlJc w:val="left"/>
      <w:lvlText w:val="(%1)"/>
      <w:numFmt w:val="lowerLetter"/>
      <w:start w:val="1"/>
    </w:lvl>
  </w:abstractNum>
  <w:abstractNum w:abstractNumId="245">
    <w:nsid w:val="65D2A137"/>
    <w:multiLevelType w:val="hybridMultilevel"/>
    <w:lvl w:ilvl="0">
      <w:lvlJc w:val="left"/>
      <w:lvlText w:val="%1"/>
      <w:numFmt w:val="lowerLetter"/>
      <w:start w:val="1"/>
    </w:lvl>
    <w:lvl w:ilvl="1">
      <w:lvlJc w:val="left"/>
      <w:lvlText w:val="(%2)"/>
      <w:numFmt w:val="lowerLetter"/>
      <w:start w:val="1"/>
    </w:lvl>
  </w:abstractNum>
  <w:abstractNum w:abstractNumId="246">
    <w:nsid w:val="6EBB1F2A"/>
    <w:multiLevelType w:val="hybridMultilevel"/>
    <w:lvl w:ilvl="0">
      <w:lvlJc w:val="left"/>
      <w:lvlText w:val="(%1)"/>
      <w:numFmt w:val="lowerLetter"/>
      <w:start w:val="9"/>
    </w:lvl>
    <w:lvl w:ilvl="1">
      <w:lvlJc w:val="left"/>
      <w:lvlText w:val="%2"/>
      <w:numFmt w:val="lowerLetter"/>
      <w:start w:val="1"/>
    </w:lvl>
  </w:abstractNum>
  <w:abstractNum w:abstractNumId="247">
    <w:nsid w:val="6FBF29CB"/>
    <w:multiLevelType w:val="hybridMultilevel"/>
    <w:lvl w:ilvl="0">
      <w:lvlJc w:val="left"/>
      <w:lvlText w:val="(%1)"/>
      <w:numFmt w:val="lowerRoman"/>
      <w:start w:val="2"/>
    </w:lvl>
  </w:abstractNum>
  <w:abstractNum w:abstractNumId="248">
    <w:nsid w:val="550B8808"/>
    <w:multiLevelType w:val="hybridMultilevel"/>
    <w:lvl w:ilvl="0">
      <w:lvlJc w:val="left"/>
      <w:lvlText w:val="(%1)"/>
      <w:numFmt w:val="lowerRoman"/>
      <w:start w:val="3"/>
    </w:lvl>
  </w:abstractNum>
  <w:abstractNum w:abstractNumId="249">
    <w:nsid w:val="34CC3ACF"/>
    <w:multiLevelType w:val="hybridMultilevel"/>
    <w:lvl w:ilvl="0">
      <w:lvlJc w:val="left"/>
      <w:lvlText w:val="(%1)"/>
      <w:numFmt w:val="lowerRoman"/>
      <w:start w:val="4"/>
    </w:lvl>
  </w:abstractNum>
  <w:abstractNum w:abstractNumId="250">
    <w:nsid w:val="4E556261"/>
    <w:multiLevelType w:val="hybridMultilevel"/>
    <w:lvl w:ilvl="0">
      <w:lvlJc w:val="left"/>
      <w:lvlText w:val="(%1)"/>
      <w:numFmt w:val="lowerRoman"/>
      <w:start w:val="5"/>
    </w:lvl>
  </w:abstractNum>
  <w:abstractNum w:abstractNumId="251">
    <w:nsid w:val="4C672FC9"/>
    <w:multiLevelType w:val="hybridMultilevel"/>
    <w:lvl w:ilvl="0">
      <w:lvlJc w:val="left"/>
      <w:lvlText w:val="(%1)"/>
      <w:numFmt w:val="lowerLetter"/>
      <w:start w:val="2"/>
    </w:lvl>
  </w:abstractNum>
  <w:abstractNum w:abstractNumId="252">
    <w:nsid w:val="52A311C3"/>
    <w:multiLevelType w:val="hybridMultilevel"/>
    <w:lvl w:ilvl="0">
      <w:lvlJc w:val="left"/>
      <w:lvlText w:val="(%1)"/>
      <w:numFmt w:val="lowerRoman"/>
      <w:start w:val="1"/>
    </w:lvl>
  </w:abstractNum>
  <w:abstractNum w:abstractNumId="253">
    <w:nsid w:val="44EF6B80"/>
    <w:multiLevelType w:val="hybridMultilevel"/>
    <w:lvl w:ilvl="0">
      <w:lvlJc w:val="left"/>
      <w:lvlText w:val="(%1)"/>
      <w:numFmt w:val="lowerLetter"/>
      <w:start w:val="3"/>
    </w:lvl>
  </w:abstractNum>
  <w:abstractNum w:abstractNumId="254">
    <w:nsid w:val="12FCDE5E"/>
    <w:multiLevelType w:val="hybridMultilevel"/>
    <w:lvl w:ilvl="0">
      <w:lvlJc w:val="left"/>
      <w:lvlText w:val="%1"/>
      <w:numFmt w:val="lowerRoman"/>
      <w:start w:val="1"/>
    </w:lvl>
    <w:lvl w:ilvl="1">
      <w:lvlJc w:val="left"/>
      <w:lvlText w:val="(%2)"/>
      <w:numFmt w:val="lowerLetter"/>
      <w:start w:val="1"/>
    </w:lvl>
  </w:abstractNum>
  <w:abstractNum w:abstractNumId="255">
    <w:nsid w:val="4A1D606E"/>
    <w:multiLevelType w:val="hybridMultilevel"/>
    <w:lvl w:ilvl="0">
      <w:lvlJc w:val="left"/>
      <w:lvlText w:val="(%1)"/>
      <w:numFmt w:val="lowerRoman"/>
      <w:start w:val="1"/>
    </w:lvl>
    <w:lvl w:ilvl="1">
      <w:lvlJc w:val="left"/>
      <w:lvlText w:val="%2"/>
      <w:numFmt w:val="lowerLetter"/>
      <w:start w:val="1"/>
    </w:lvl>
  </w:abstractNum>
  <w:abstractNum w:abstractNumId="256">
    <w:nsid w:val="4382503"/>
    <w:multiLevelType w:val="hybridMultilevel"/>
    <w:lvl w:ilvl="0">
      <w:lvlJc w:val="left"/>
      <w:lvlText w:val="(%1)"/>
      <w:numFmt w:val="upperLetter"/>
      <w:start w:val="2"/>
    </w:lvl>
  </w:abstractNum>
  <w:abstractNum w:abstractNumId="257">
    <w:nsid w:val="59B76E28"/>
    <w:multiLevelType w:val="hybridMultilevel"/>
    <w:lvl w:ilvl="0">
      <w:lvlJc w:val="left"/>
      <w:lvlText w:val="(%1)"/>
      <w:numFmt w:val="lowerLetter"/>
      <w:start w:val="3"/>
    </w:lvl>
  </w:abstractNum>
  <w:abstractNum w:abstractNumId="258">
    <w:nsid w:val="4252C2DA"/>
    <w:multiLevelType w:val="hybridMultilevel"/>
    <w:lvl w:ilvl="0">
      <w:lvlJc w:val="left"/>
      <w:lvlText w:val="(%1)"/>
      <w:numFmt w:val="lowerLetter"/>
      <w:start w:val="4"/>
    </w:lvl>
  </w:abstractNum>
  <w:abstractNum w:abstractNumId="259">
    <w:nsid w:val="6A92EF4C"/>
    <w:multiLevelType w:val="hybridMultilevel"/>
    <w:lvl w:ilvl="0">
      <w:lvlJc w:val="left"/>
      <w:lvlText w:val="(%1)"/>
      <w:numFmt w:val="lowerLetter"/>
      <w:start w:val="1"/>
    </w:lvl>
  </w:abstractNum>
  <w:abstractNum w:abstractNumId="260">
    <w:nsid w:val="41ED20D7"/>
    <w:multiLevelType w:val="hybridMultilevel"/>
    <w:lvl w:ilvl="0">
      <w:lvlJc w:val="left"/>
      <w:lvlText w:val="(%1)"/>
      <w:numFmt w:val="lowerLetter"/>
      <w:start w:val="3"/>
    </w:lvl>
  </w:abstractNum>
  <w:abstractNum w:abstractNumId="261">
    <w:nsid w:val="E6B3F6A"/>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62">
    <w:nsid w:val="3EB21819"/>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63">
    <w:nsid w:val="41531DED"/>
    <w:multiLevelType w:val="hybridMultilevel"/>
    <w:lvl w:ilvl="0">
      <w:lvlJc w:val="left"/>
      <w:lvlText w:val="%1"/>
      <w:numFmt w:val="lowerRoman"/>
      <w:start w:val="1"/>
    </w:lvl>
    <w:lvl w:ilvl="1">
      <w:lvlJc w:val="left"/>
      <w:lvlText w:val="(%2)"/>
      <w:numFmt w:val="upperLetter"/>
      <w:start w:val="1"/>
    </w:lvl>
  </w:abstractNum>
  <w:abstractNum w:abstractNumId="264">
    <w:nsid w:val="6353CD2"/>
    <w:multiLevelType w:val="hybridMultilevel"/>
    <w:lvl w:ilvl="0">
      <w:lvlJc w:val="left"/>
      <w:lvlText w:val="(%1)"/>
      <w:numFmt w:val="lowerRoman"/>
      <w:start w:val="3"/>
    </w:lvl>
    <w:lvl w:ilvl="1">
      <w:lvlJc w:val="left"/>
      <w:lvlText w:val="%2"/>
      <w:numFmt w:val="upperLetter"/>
      <w:start w:val="1"/>
    </w:lvl>
  </w:abstractNum>
  <w:abstractNum w:abstractNumId="265">
    <w:nsid w:val="683CAAD3"/>
    <w:multiLevelType w:val="hybridMultilevel"/>
    <w:lvl w:ilvl="0">
      <w:lvlJc w:val="left"/>
      <w:lvlText w:val="(%1)"/>
      <w:numFmt w:val="lowerLetter"/>
      <w:start w:val="3"/>
    </w:lvl>
  </w:abstractNum>
  <w:abstractNum w:abstractNumId="266">
    <w:nsid w:val="313C7C99"/>
    <w:multiLevelType w:val="hybridMultilevel"/>
    <w:lvl w:ilvl="0">
      <w:lvlJc w:val="left"/>
      <w:lvlText w:val="(%1)"/>
      <w:numFmt w:val="lowerLetter"/>
      <w:start w:val="4"/>
    </w:lvl>
  </w:abstractNum>
  <w:abstractNum w:abstractNumId="267">
    <w:nsid w:val="519EB94C"/>
    <w:multiLevelType w:val="hybridMultilevel"/>
    <w:lvl w:ilvl="0">
      <w:lvlJc w:val="left"/>
      <w:lvlText w:val="(%1)"/>
      <w:numFmt w:val="lowerLetter"/>
      <w:start w:val="6"/>
    </w:lvl>
  </w:abstractNum>
  <w:abstractNum w:abstractNumId="268">
    <w:nsid w:val="39DF2579"/>
    <w:multiLevelType w:val="hybridMultilevel"/>
    <w:lvl w:ilvl="0">
      <w:lvlJc w:val="left"/>
      <w:lvlText w:val="(%1)"/>
      <w:numFmt w:val="lowerLetter"/>
      <w:start w:val="7"/>
    </w:lvl>
  </w:abstractNum>
  <w:abstractNum w:abstractNumId="269">
    <w:nsid w:val="126E008B"/>
    <w:multiLevelType w:val="hybridMultilevel"/>
    <w:lvl w:ilvl="0">
      <w:lvlJc w:val="left"/>
      <w:lvlText w:val="(%1)"/>
      <w:numFmt w:val="lowerLetter"/>
      <w:start w:val="1"/>
    </w:lvl>
  </w:abstractNum>
  <w:abstractNum w:abstractNumId="270">
    <w:nsid w:val="34DFBC00"/>
    <w:multiLevelType w:val="hybridMultilevel"/>
    <w:lvl w:ilvl="0">
      <w:lvlJc w:val="left"/>
      <w:lvlText w:val="(%1)"/>
      <w:numFmt w:val="lowerLetter"/>
      <w:start w:val="2"/>
    </w:lvl>
  </w:abstractNum>
  <w:abstractNum w:abstractNumId="271">
    <w:nsid w:val="1F9EC322"/>
    <w:multiLevelType w:val="hybridMultilevel"/>
    <w:lvl w:ilvl="0">
      <w:lvlJc w:val="left"/>
      <w:lvlText w:val="(%1)"/>
      <w:numFmt w:val="lowerLetter"/>
      <w:start w:val="1"/>
    </w:lvl>
  </w:abstractNum>
  <w:abstractNum w:abstractNumId="272">
    <w:nsid w:val="3410ED56"/>
    <w:multiLevelType w:val="hybridMultilevel"/>
    <w:lvl w:ilvl="0">
      <w:lvlJc w:val="left"/>
      <w:lvlText w:val="(%1)"/>
      <w:numFmt w:val="lowerLetter"/>
      <w:start w:val="1"/>
    </w:lvl>
  </w:abstractNum>
  <w:abstractNum w:abstractNumId="273">
    <w:nsid w:val="23C049A"/>
    <w:multiLevelType w:val="hybridMultilevel"/>
    <w:lvl w:ilvl="0">
      <w:lvlJc w:val="left"/>
      <w:lvlText w:val="%1"/>
      <w:numFmt w:val="lowerRoman"/>
      <w:start w:val="1"/>
    </w:lvl>
    <w:lvl w:ilvl="1">
      <w:lvlJc w:val="left"/>
      <w:lvlText w:val="(%2)"/>
      <w:numFmt w:val="lowerLetter"/>
      <w:start w:val="2"/>
    </w:lvl>
  </w:abstractNum>
  <w:abstractNum w:abstractNumId="274">
    <w:nsid w:val="5BDA35D4"/>
    <w:multiLevelType w:val="hybridMultilevel"/>
    <w:lvl w:ilvl="0">
      <w:lvlJc w:val="left"/>
      <w:lvlText w:val="(%1)"/>
      <w:numFmt w:val="lowerRoman"/>
      <w:start w:val="6"/>
    </w:lvl>
    <w:lvl w:ilvl="1">
      <w:lvlJc w:val="left"/>
      <w:lvlText w:val="%2"/>
      <w:numFmt w:val="lowerLetter"/>
      <w:start w:val="1"/>
    </w:lvl>
  </w:abstractNum>
  <w:abstractNum w:abstractNumId="275">
    <w:nsid w:val="496FB218"/>
    <w:multiLevelType w:val="hybridMultilevel"/>
    <w:lvl w:ilvl="0">
      <w:lvlJc w:val="left"/>
      <w:lvlText w:val="%1"/>
      <w:numFmt w:val="lowerRoman"/>
      <w:start w:val="1"/>
    </w:lvl>
    <w:lvl w:ilvl="1">
      <w:lvlJc w:val="left"/>
      <w:lvlText w:val="(%2)"/>
      <w:numFmt w:val="lowerLetter"/>
      <w:start w:val="1"/>
    </w:lvl>
  </w:abstractNum>
  <w:abstractNum w:abstractNumId="276">
    <w:nsid w:val="680EA5D1"/>
    <w:multiLevelType w:val="hybridMultilevel"/>
    <w:lvl w:ilvl="0">
      <w:lvlJc w:val="left"/>
      <w:lvlText w:val="(%1)"/>
      <w:numFmt w:val="lowerRoman"/>
      <w:start w:val="1"/>
    </w:lvl>
    <w:lvl w:ilvl="1">
      <w:lvlJc w:val="left"/>
      <w:lvlText w:val="%2"/>
      <w:numFmt w:val="lowerLetter"/>
      <w:start w:val="1"/>
    </w:lvl>
  </w:abstractNum>
  <w:abstractNum w:abstractNumId="277">
    <w:nsid w:val="4A9554FE"/>
    <w:multiLevelType w:val="hybridMultilevel"/>
    <w:lvl w:ilvl="0">
      <w:lvlJc w:val="left"/>
      <w:lvlText w:val="%1."/>
      <w:numFmt w:val="decimal"/>
      <w:start w:val="1"/>
    </w:lvl>
    <w:lvl w:ilvl="1">
      <w:lvlJc w:val="left"/>
      <w:lvlText w:val="(%2)"/>
      <w:numFmt w:val="lowerLetter"/>
      <w:start w:val="1"/>
    </w:lvl>
  </w:abstractNum>
  <w:abstractNum w:abstractNumId="278">
    <w:nsid w:val="392EDBE4"/>
    <w:multiLevelType w:val="hybridMultilevel"/>
    <w:lvl w:ilvl="0">
      <w:lvlJc w:val="left"/>
      <w:lvlText w:val="%1."/>
      <w:numFmt w:val="decimal"/>
      <w:start w:val="3"/>
    </w:lvl>
  </w:abstractNum>
  <w:abstractNum w:abstractNumId="279">
    <w:nsid w:val="3D1A2DD9"/>
    <w:multiLevelType w:val="hybridMultilevel"/>
    <w:lvl w:ilvl="0">
      <w:lvlJc w:val="left"/>
      <w:lvlText w:val="%1."/>
      <w:numFmt w:val="decimal"/>
      <w:start w:val="4"/>
    </w:lvl>
  </w:abstractNum>
  <w:abstractNum w:abstractNumId="280">
    <w:nsid w:val="7F618FCD"/>
    <w:multiLevelType w:val="hybridMultilevel"/>
    <w:lvl w:ilvl="0">
      <w:lvlJc w:val="left"/>
      <w:lvlText w:val="%1."/>
      <w:numFmt w:val="decimal"/>
      <w:start w:val="5"/>
    </w:lvl>
  </w:abstractNum>
  <w:abstractNum w:abstractNumId="281">
    <w:nsid w:val="7843E45"/>
    <w:multiLevelType w:val="hybridMultilevel"/>
    <w:lvl w:ilvl="0">
      <w:lvlJc w:val="left"/>
      <w:lvlText w:val="%1."/>
      <w:numFmt w:val="decimal"/>
      <w:start w:val="6"/>
    </w:lvl>
  </w:abstractNum>
  <w:abstractNum w:abstractNumId="282">
    <w:nsid w:val="9815DA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3">
    <w:nsid w:val="5204A191"/>
    <w:multiLevelType w:val="hybridMultilevel"/>
    <w:lvl w:ilvl="0">
      <w:lvlJc w:val="left"/>
      <w:lvlText w:val="%1."/>
      <w:numFmt w:val="decimal"/>
      <w:start w:val="10"/>
    </w:lvl>
  </w:abstractNum>
  <w:abstractNum w:abstractNumId="284">
    <w:nsid w:val="4C73A9C6"/>
    <w:multiLevelType w:val="hybridMultilevel"/>
    <w:lvl w:ilvl="0">
      <w:lvlJc w:val="left"/>
      <w:lvlText w:val="%1."/>
      <w:numFmt w:val="decimal"/>
      <w:start w:val="11"/>
    </w:lvl>
  </w:abstractNum>
  <w:abstractNum w:abstractNumId="285">
    <w:nsid w:val="1C7E3C01"/>
    <w:multiLevelType w:val="hybridMultilevel"/>
    <w:lvl w:ilvl="0">
      <w:lvlJc w:val="left"/>
      <w:lvlText w:val="(%1)"/>
      <w:numFmt w:val="decimal"/>
      <w:start w:val="1"/>
    </w:lvl>
    <w:lvl w:ilvl="1">
      <w:lvlJc w:val="left"/>
      <w:lvlText w:val="(%2)"/>
      <w:numFmt w:val="lowerLetter"/>
      <w:start w:val="1"/>
    </w:lvl>
  </w:abstractNum>
  <w:abstractNum w:abstractNumId="286">
    <w:nsid w:val="1C2201FF"/>
    <w:multiLevelType w:val="hybridMultilevel"/>
    <w:lvl w:ilvl="0">
      <w:lvlJc w:val="left"/>
      <w:lvlText w:val="(%1)"/>
      <w:numFmt w:val="decimal"/>
      <w:start w:val="1"/>
    </w:lvl>
    <w:lvl w:ilvl="1">
      <w:lvlJc w:val="left"/>
      <w:lvlText w:val="(%2)"/>
      <w:numFmt w:val="lowerLetter"/>
      <w:start w:val="1"/>
    </w:lvl>
  </w:abstractNum>
  <w:abstractNum w:abstractNumId="287">
    <w:nsid w:val="50ABCEC9"/>
    <w:multiLevelType w:val="hybridMultilevel"/>
    <w:lvl w:ilvl="0">
      <w:lvlJc w:val="left"/>
      <w:lvlText w:val="(%1)"/>
      <w:numFmt w:val="decimal"/>
      <w:start w:val="1"/>
    </w:lvl>
    <w:lvl w:ilvl="1">
      <w:lvlJc w:val="left"/>
      <w:lvlText w:val="(%2)"/>
      <w:numFmt w:val="lowerLetter"/>
      <w:start w:val="1"/>
    </w:lvl>
  </w:abstractNum>
  <w:abstractNum w:abstractNumId="288">
    <w:nsid w:val="7635AA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2019-12-29T09:46:27Z</dcterms:created>
  <dcterms:modified xsi:type="dcterms:W3CDTF">2019-12-29T09:46:27Z</dcterms:modified>
</cp:coreProperties>
</file>