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907"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Tarrant Capital Advisors, Inc.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STREET,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06/17/2011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Former 10% Owner (5)</w:t>
      </w:r>
    </w:p>
    <w:p>
      <w:pPr>
        <w:spacing w:after="0" w:line="477" w:lineRule="exact"/>
        <w:rPr>
          <w:sz w:val="24"/>
          <w:szCs w:val="24"/>
          <w:color w:val="auto"/>
        </w:rPr>
      </w:pPr>
    </w:p>
    <w:p>
      <w:pPr>
        <w:sectPr>
          <w:pgSz w:w="11900" w:h="16907" w:orient="portrait"/>
          <w:cols w:equalWidth="0" w:num="3">
            <w:col w:w="3360" w:space="720"/>
            <w:col w:w="3257" w:space="720"/>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60" w:type="dxa"/>
            <w:vAlign w:val="bottom"/>
            <w:gridSpan w:val="12"/>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4060" w:type="dxa"/>
            <w:vAlign w:val="bottom"/>
            <w:gridSpan w:val="12"/>
            <w:vMerge w:val="continue"/>
          </w:tcPr>
          <w:p>
            <w:pPr>
              <w:spacing w:after="0"/>
              <w:rPr>
                <w:sz w:val="2"/>
                <w:szCs w:val="2"/>
                <w:color w:val="auto"/>
              </w:rPr>
            </w:pPr>
          </w:p>
        </w:tc>
        <w:tc>
          <w:tcPr>
            <w:tcW w:w="34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20" w:type="dxa"/>
            <w:vAlign w:val="bottom"/>
            <w:gridSpan w:val="5"/>
            <w:vMerge w:val="restart"/>
          </w:tcPr>
          <w:p>
            <w:pPr>
              <w:ind w:left="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FORT WORTH  TX</w:t>
            </w:r>
          </w:p>
        </w:tc>
        <w:tc>
          <w:tcPr>
            <w:tcW w:w="1200" w:type="dxa"/>
            <w:vAlign w:val="bottom"/>
            <w:gridSpan w:val="2"/>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4"/>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820" w:type="dxa"/>
            <w:vAlign w:val="bottom"/>
            <w:gridSpan w:val="5"/>
            <w:vMerge w:val="restart"/>
          </w:tcPr>
          <w:p>
            <w:pPr>
              <w:ind w:left="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8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color w:val="auto"/>
              </w:rPr>
              <w:t>Person</w:t>
            </w: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tcBorders>
              <w:top w:val="single" w:sz="8" w:color="EEEEEE"/>
            </w:tcBorders>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1900" w:type="dxa"/>
            <w:vAlign w:val="bottom"/>
            <w:gridSpan w:val="3"/>
            <w:vMerge w:val="continue"/>
          </w:tcPr>
          <w:p>
            <w:pPr>
              <w:spacing w:after="0"/>
              <w:rPr>
                <w:sz w:val="22"/>
                <w:szCs w:val="22"/>
                <w:color w:val="auto"/>
              </w:rPr>
            </w:pPr>
          </w:p>
        </w:tc>
        <w:tc>
          <w:tcPr>
            <w:tcW w:w="1260" w:type="dxa"/>
            <w:vAlign w:val="bottom"/>
            <w:gridSpan w:val="3"/>
            <w:vMerge w:val="continue"/>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340" w:type="dxa"/>
            <w:vAlign w:val="bottom"/>
            <w:tcBorders>
              <w:bottom w:val="single" w:sz="8" w:color="2C2C2C"/>
            </w:tcBorders>
            <w:gridSpan w:val="8"/>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20"/>
          </w:tcPr>
          <w:p>
            <w:pPr>
              <w:jc w:val="center"/>
              <w:ind w:right="675"/>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4"/>
          </w:tcPr>
          <w:p>
            <w:pPr>
              <w:ind w:left="160"/>
              <w:spacing w:after="0"/>
              <w:rPr>
                <w:sz w:val="20"/>
                <w:szCs w:val="20"/>
                <w:color w:val="auto"/>
              </w:rPr>
            </w:pPr>
            <w:r>
              <w:rPr>
                <w:rFonts w:ascii="Arial" w:cs="Arial" w:eastAsia="Arial" w:hAnsi="Arial"/>
                <w:sz w:val="12"/>
                <w:szCs w:val="12"/>
                <w:b w:val="1"/>
                <w:bCs w:val="1"/>
                <w:color w:val="auto"/>
                <w:w w:val="98"/>
              </w:rPr>
              <w:t>2A. Deemed</w:t>
            </w:r>
          </w:p>
        </w:tc>
        <w:tc>
          <w:tcPr>
            <w:tcW w:w="380" w:type="dxa"/>
            <w:vAlign w:val="bottom"/>
          </w:tcPr>
          <w:p>
            <w:pPr>
              <w:spacing w:after="0"/>
              <w:rPr>
                <w:sz w:val="15"/>
                <w:szCs w:val="15"/>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jc w:val="center"/>
              <w:ind w:left="135"/>
              <w:spacing w:after="0"/>
              <w:rPr>
                <w:sz w:val="20"/>
                <w:szCs w:val="20"/>
                <w:color w:val="auto"/>
              </w:rPr>
            </w:pPr>
            <w:r>
              <w:rPr>
                <w:rFonts w:ascii="Arial" w:cs="Arial" w:eastAsia="Arial" w:hAnsi="Arial"/>
                <w:sz w:val="12"/>
                <w:szCs w:val="12"/>
                <w:b w:val="1"/>
                <w:bCs w:val="1"/>
                <w:color w:val="auto"/>
              </w:rPr>
              <w:t>6. Ownership</w:t>
            </w:r>
          </w:p>
        </w:tc>
        <w:tc>
          <w:tcPr>
            <w:tcW w:w="1500" w:type="dxa"/>
            <w:vAlign w:val="bottom"/>
            <w:gridSpan w:val="3"/>
          </w:tcPr>
          <w:p>
            <w:pPr>
              <w:ind w:left="1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000" w:type="dxa"/>
            <w:vAlign w:val="bottom"/>
          </w:tcPr>
          <w:p>
            <w:pPr>
              <w:jc w:val="center"/>
              <w:ind w:left="95"/>
              <w:spacing w:after="0" w:line="133" w:lineRule="exact"/>
              <w:rPr>
                <w:sz w:val="20"/>
                <w:szCs w:val="20"/>
                <w:color w:val="auto"/>
              </w:rPr>
            </w:pPr>
            <w:r>
              <w:rPr>
                <w:rFonts w:ascii="Arial" w:cs="Arial" w:eastAsia="Arial" w:hAnsi="Arial"/>
                <w:sz w:val="12"/>
                <w:szCs w:val="12"/>
                <w:b w:val="1"/>
                <w:bCs w:val="1"/>
                <w:color w:val="auto"/>
              </w:rPr>
              <w:t>Form: Direct</w:t>
            </w:r>
          </w:p>
        </w:tc>
        <w:tc>
          <w:tcPr>
            <w:tcW w:w="150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6"/>
          </w:tcPr>
          <w:p>
            <w:pPr>
              <w:ind w:left="260"/>
              <w:spacing w:after="0" w:line="135" w:lineRule="exact"/>
              <w:rPr>
                <w:sz w:val="20"/>
                <w:szCs w:val="20"/>
                <w:color w:val="auto"/>
              </w:rPr>
            </w:pPr>
            <w:r>
              <w:rPr>
                <w:rFonts w:ascii="Arial" w:cs="Arial" w:eastAsia="Arial" w:hAnsi="Arial"/>
                <w:sz w:val="12"/>
                <w:szCs w:val="12"/>
                <w:b w:val="1"/>
                <w:bCs w:val="1"/>
                <w:color w:val="auto"/>
              </w:rPr>
              <w:t>(Month/Day/Year)  if any</w:t>
            </w:r>
          </w:p>
        </w:tc>
        <w:tc>
          <w:tcPr>
            <w:tcW w:w="3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 or Indirect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8"/>
                <w:szCs w:val="18"/>
                <w:color w:val="0000FF"/>
                <w:w w:val="86"/>
              </w:rPr>
              <w:t>06/17/2011</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Pr>
          <w:p>
            <w:pPr>
              <w:spacing w:after="0"/>
              <w:rPr>
                <w:sz w:val="22"/>
                <w:szCs w:val="22"/>
                <w:color w:val="auto"/>
              </w:rPr>
            </w:pPr>
          </w:p>
        </w:tc>
        <w:tc>
          <w:tcPr>
            <w:tcW w:w="800" w:type="dxa"/>
            <w:vAlign w:val="bottom"/>
            <w:vMerge w:val="restart"/>
          </w:tcPr>
          <w:p>
            <w:pPr>
              <w:jc w:val="right"/>
              <w:ind w:right="192"/>
              <w:spacing w:after="0"/>
              <w:rPr>
                <w:sz w:val="20"/>
                <w:szCs w:val="20"/>
                <w:color w:val="auto"/>
              </w:rPr>
            </w:pPr>
            <w:r>
              <w:rPr>
                <w:rFonts w:ascii="Arial" w:cs="Arial" w:eastAsia="Arial" w:hAnsi="Arial"/>
                <w:sz w:val="18"/>
                <w:szCs w:val="18"/>
                <w:color w:val="0000FF"/>
              </w:rPr>
              <w:t>999</w:t>
            </w:r>
          </w:p>
        </w:tc>
        <w:tc>
          <w:tcPr>
            <w:tcW w:w="340" w:type="dxa"/>
            <w:vAlign w:val="bottom"/>
            <w:vMerge w:val="restart"/>
          </w:tcPr>
          <w:p>
            <w:pPr>
              <w:jc w:val="center"/>
              <w:ind w:left="106"/>
              <w:spacing w:after="0"/>
              <w:rPr>
                <w:sz w:val="20"/>
                <w:szCs w:val="20"/>
                <w:color w:val="auto"/>
              </w:rPr>
            </w:pPr>
            <w:r>
              <w:rPr>
                <w:rFonts w:ascii="Arial" w:cs="Arial" w:eastAsia="Arial" w:hAnsi="Arial"/>
                <w:sz w:val="18"/>
                <w:szCs w:val="18"/>
                <w:color w:val="0000FF"/>
                <w:w w:val="91"/>
              </w:rPr>
              <w:t>D</w:t>
            </w:r>
          </w:p>
        </w:tc>
        <w:tc>
          <w:tcPr>
            <w:tcW w:w="160" w:type="dxa"/>
            <w:vAlign w:val="bottom"/>
          </w:tcPr>
          <w:p>
            <w:pPr>
              <w:spacing w:after="0"/>
              <w:rPr>
                <w:sz w:val="22"/>
                <w:szCs w:val="22"/>
                <w:color w:val="auto"/>
              </w:rPr>
            </w:pPr>
          </w:p>
        </w:tc>
        <w:tc>
          <w:tcPr>
            <w:tcW w:w="660" w:type="dxa"/>
            <w:vAlign w:val="bottom"/>
            <w:vMerge w:val="restart"/>
          </w:tcPr>
          <w:p>
            <w:pPr>
              <w:jc w:val="center"/>
              <w:ind w:right="1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w:t>
            </w:r>
          </w:p>
        </w:tc>
        <w:tc>
          <w:tcPr>
            <w:tcW w:w="60" w:type="dxa"/>
            <w:vAlign w:val="bottom"/>
          </w:tcPr>
          <w:p>
            <w:pPr>
              <w:spacing w:after="0"/>
              <w:rPr>
                <w:sz w:val="22"/>
                <w:szCs w:val="2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w:t>
            </w:r>
          </w:p>
        </w:tc>
        <w:tc>
          <w:tcPr>
            <w:tcW w:w="320" w:type="dxa"/>
            <w:vAlign w:val="bottom"/>
          </w:tcPr>
          <w:p>
            <w:pPr>
              <w:spacing w:after="0"/>
              <w:rPr>
                <w:sz w:val="22"/>
                <w:szCs w:val="22"/>
                <w:color w:val="auto"/>
              </w:rPr>
            </w:pPr>
          </w:p>
        </w:tc>
        <w:tc>
          <w:tcPr>
            <w:tcW w:w="1000" w:type="dxa"/>
            <w:vAlign w:val="bottom"/>
            <w:vMerge w:val="restart"/>
          </w:tcPr>
          <w:p>
            <w:pPr>
              <w:jc w:val="center"/>
              <w:ind w:left="155"/>
              <w:spacing w:after="0"/>
              <w:rPr>
                <w:sz w:val="20"/>
                <w:szCs w:val="20"/>
                <w:color w:val="auto"/>
              </w:rPr>
            </w:pPr>
            <w:r>
              <w:rPr>
                <w:rFonts w:ascii="Arial" w:cs="Arial" w:eastAsia="Arial" w:hAnsi="Arial"/>
                <w:sz w:val="18"/>
                <w:szCs w:val="18"/>
                <w:color w:val="0000FF"/>
              </w:rPr>
              <w:t>I</w:t>
            </w:r>
          </w:p>
        </w:tc>
        <w:tc>
          <w:tcPr>
            <w:tcW w:w="1500" w:type="dxa"/>
            <w:vAlign w:val="bottom"/>
            <w:gridSpan w:val="3"/>
          </w:tcPr>
          <w:p>
            <w:pPr>
              <w:ind w:left="140"/>
              <w:spacing w:after="0"/>
              <w:rPr>
                <w:sz w:val="20"/>
                <w:szCs w:val="20"/>
                <w:color w:val="auto"/>
              </w:rPr>
            </w:pPr>
            <w:r>
              <w:rPr>
                <w:rFonts w:ascii="Arial" w:cs="Arial" w:eastAsia="Arial" w:hAnsi="Arial"/>
                <w:sz w:val="18"/>
                <w:szCs w:val="18"/>
                <w:color w:val="0000FF"/>
              </w:rPr>
              <w:t>See Explanation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500" w:type="dxa"/>
            <w:vAlign w:val="bottom"/>
            <w:gridSpan w:val="3"/>
          </w:tcPr>
          <w:p>
            <w:pPr>
              <w:ind w:left="140"/>
              <w:spacing w:after="0" w:line="209" w:lineRule="exact"/>
              <w:rPr>
                <w:sz w:val="20"/>
                <w:szCs w:val="20"/>
                <w:color w:val="auto"/>
              </w:rPr>
            </w:pPr>
            <w:r>
              <w:rPr>
                <w:rFonts w:ascii="Arial" w:cs="Arial" w:eastAsia="Arial" w:hAnsi="Arial"/>
                <w:sz w:val="18"/>
                <w:szCs w:val="18"/>
                <w:color w:val="0000FF"/>
                <w:w w:val="91"/>
              </w:rPr>
              <w:t>of Responses</w:t>
            </w:r>
            <w:r>
              <w:rPr>
                <w:rFonts w:ascii="Arial" w:cs="Arial" w:eastAsia="Arial" w:hAnsi="Arial"/>
                <w:sz w:val="22"/>
                <w:szCs w:val="22"/>
                <w:color w:val="008000"/>
                <w:w w:val="91"/>
                <w:vertAlign w:val="superscript"/>
              </w:rPr>
              <w:t>(1)(3)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ind w:left="140"/>
              <w:spacing w:after="0"/>
              <w:rPr>
                <w:sz w:val="20"/>
                <w:szCs w:val="20"/>
                <w:color w:val="auto"/>
              </w:rPr>
            </w:pPr>
            <w:r>
              <w:rPr>
                <w:rFonts w:ascii="Arial" w:cs="Arial" w:eastAsia="Arial" w:hAnsi="Arial"/>
                <w:sz w:val="11"/>
                <w:szCs w:val="11"/>
                <w:color w:val="008000"/>
              </w:rPr>
              <w:t>(5)</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8"/>
                <w:szCs w:val="18"/>
                <w:color w:val="0000FF"/>
                <w:w w:val="86"/>
              </w:rPr>
              <w:t>06/17/2011</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color w:val="0000FF"/>
              </w:rPr>
              <w:t>2,078.6</w:t>
            </w:r>
          </w:p>
        </w:tc>
        <w:tc>
          <w:tcPr>
            <w:tcW w:w="340" w:type="dxa"/>
            <w:vAlign w:val="bottom"/>
            <w:vMerge w:val="restart"/>
          </w:tcPr>
          <w:p>
            <w:pPr>
              <w:jc w:val="center"/>
              <w:ind w:left="106"/>
              <w:spacing w:after="0"/>
              <w:rPr>
                <w:sz w:val="20"/>
                <w:szCs w:val="20"/>
                <w:color w:val="auto"/>
              </w:rPr>
            </w:pPr>
            <w:r>
              <w:rPr>
                <w:rFonts w:ascii="Arial" w:cs="Arial" w:eastAsia="Arial" w:hAnsi="Arial"/>
                <w:sz w:val="18"/>
                <w:szCs w:val="18"/>
                <w:color w:val="0000FF"/>
                <w:w w:val="99"/>
              </w:rPr>
              <w:t>A</w:t>
            </w:r>
          </w:p>
        </w:tc>
        <w:tc>
          <w:tcPr>
            <w:tcW w:w="1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1,000</w:t>
            </w:r>
          </w:p>
        </w:tc>
        <w:tc>
          <w:tcPr>
            <w:tcW w:w="60" w:type="dxa"/>
            <w:vAlign w:val="bottom"/>
          </w:tcPr>
          <w:p>
            <w:pPr>
              <w:spacing w:after="0"/>
              <w:rPr>
                <w:sz w:val="22"/>
                <w:szCs w:val="22"/>
                <w:color w:val="auto"/>
              </w:rPr>
            </w:pPr>
          </w:p>
        </w:tc>
        <w:tc>
          <w:tcPr>
            <w:tcW w:w="940" w:type="dxa"/>
            <w:vAlign w:val="bottom"/>
            <w:gridSpan w:val="3"/>
            <w:vMerge w:val="restart"/>
          </w:tcPr>
          <w:p>
            <w:pPr>
              <w:jc w:val="right"/>
              <w:ind w:right="92"/>
              <w:spacing w:after="0"/>
              <w:rPr>
                <w:sz w:val="20"/>
                <w:szCs w:val="20"/>
                <w:color w:val="auto"/>
              </w:rPr>
            </w:pPr>
            <w:r>
              <w:rPr>
                <w:rFonts w:ascii="Arial" w:cs="Arial" w:eastAsia="Arial" w:hAnsi="Arial"/>
                <w:sz w:val="18"/>
                <w:szCs w:val="18"/>
                <w:color w:val="0000FF"/>
              </w:rPr>
              <w:t>2,079.6</w:t>
            </w:r>
          </w:p>
        </w:tc>
        <w:tc>
          <w:tcPr>
            <w:tcW w:w="1000" w:type="dxa"/>
            <w:vAlign w:val="bottom"/>
            <w:vMerge w:val="restart"/>
          </w:tcPr>
          <w:p>
            <w:pPr>
              <w:jc w:val="center"/>
              <w:ind w:left="155"/>
              <w:spacing w:after="0"/>
              <w:rPr>
                <w:sz w:val="20"/>
                <w:szCs w:val="20"/>
                <w:color w:val="auto"/>
              </w:rPr>
            </w:pPr>
            <w:r>
              <w:rPr>
                <w:rFonts w:ascii="Arial" w:cs="Arial" w:eastAsia="Arial" w:hAnsi="Arial"/>
                <w:sz w:val="18"/>
                <w:szCs w:val="18"/>
                <w:color w:val="0000FF"/>
              </w:rPr>
              <w:t>I</w:t>
            </w:r>
          </w:p>
        </w:tc>
        <w:tc>
          <w:tcPr>
            <w:tcW w:w="1500" w:type="dxa"/>
            <w:vAlign w:val="bottom"/>
            <w:gridSpan w:val="3"/>
          </w:tcPr>
          <w:p>
            <w:pPr>
              <w:ind w:left="140"/>
              <w:spacing w:after="0"/>
              <w:rPr>
                <w:sz w:val="20"/>
                <w:szCs w:val="20"/>
                <w:color w:val="auto"/>
              </w:rPr>
            </w:pPr>
            <w:r>
              <w:rPr>
                <w:rFonts w:ascii="Arial" w:cs="Arial" w:eastAsia="Arial" w:hAnsi="Arial"/>
                <w:sz w:val="18"/>
                <w:szCs w:val="18"/>
                <w:color w:val="0000FF"/>
              </w:rPr>
              <w:t>See Explanation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500" w:type="dxa"/>
            <w:vAlign w:val="bottom"/>
            <w:gridSpan w:val="3"/>
          </w:tcPr>
          <w:p>
            <w:pPr>
              <w:ind w:left="140"/>
              <w:spacing w:after="0" w:line="209" w:lineRule="exact"/>
              <w:rPr>
                <w:sz w:val="20"/>
                <w:szCs w:val="20"/>
                <w:color w:val="auto"/>
              </w:rPr>
            </w:pPr>
            <w:r>
              <w:rPr>
                <w:rFonts w:ascii="Arial" w:cs="Arial" w:eastAsia="Arial" w:hAnsi="Arial"/>
                <w:sz w:val="18"/>
                <w:szCs w:val="18"/>
                <w:color w:val="0000FF"/>
                <w:w w:val="91"/>
              </w:rPr>
              <w:t>of Responses</w:t>
            </w:r>
            <w:r>
              <w:rPr>
                <w:rFonts w:ascii="Arial" w:cs="Arial" w:eastAsia="Arial" w:hAnsi="Arial"/>
                <w:sz w:val="22"/>
                <w:szCs w:val="22"/>
                <w:color w:val="008000"/>
                <w:w w:val="91"/>
                <w:vertAlign w:val="superscript"/>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ind w:left="140"/>
              <w:spacing w:after="0"/>
              <w:rPr>
                <w:sz w:val="20"/>
                <w:szCs w:val="20"/>
                <w:color w:val="auto"/>
              </w:rPr>
            </w:pPr>
            <w:r>
              <w:rPr>
                <w:rFonts w:ascii="Arial" w:cs="Arial" w:eastAsia="Arial" w:hAnsi="Arial"/>
                <w:sz w:val="11"/>
                <w:szCs w:val="11"/>
                <w:color w:val="008000"/>
              </w:rPr>
              <w:t>(4)(5)</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340" w:type="dxa"/>
            <w:vAlign w:val="bottom"/>
            <w:tcBorders>
              <w:bottom w:val="single" w:sz="8" w:color="2C2C2C"/>
            </w:tcBorders>
            <w:gridSpan w:val="8"/>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9"/>
          </w:tcPr>
          <w:p>
            <w:pPr>
              <w:jc w:val="center"/>
              <w:ind w:left="1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0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00" w:type="dxa"/>
            <w:vAlign w:val="bottom"/>
            <w:gridSpan w:val="16"/>
          </w:tcPr>
          <w:p>
            <w:pPr>
              <w:jc w:val="center"/>
              <w:ind w:left="7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2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12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10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4"/>
          </w:tcPr>
          <w:p>
            <w:pPr>
              <w:ind w:left="3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4"/>
          </w:tcPr>
          <w:p>
            <w:pPr>
              <w:ind w:left="3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2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Tarrant Capital Advisors, Inc.</w:t>
              </w:r>
            </w:hyperlink>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40" w:type="dxa"/>
            <w:vAlign w:val="bottom"/>
          </w:tcPr>
          <w:p>
            <w:pPr>
              <w:spacing w:after="0"/>
              <w:rPr>
                <w:sz w:val="24"/>
                <w:szCs w:val="24"/>
                <w:color w:val="auto"/>
              </w:rPr>
            </w:pPr>
          </w:p>
        </w:tc>
        <w:tc>
          <w:tcPr>
            <w:tcW w:w="122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C/O TPG CAPITAL, L.P.</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301 COMMERCE STREET, SUITE 3300</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FORT WORTH</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TX</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40" w:type="dxa"/>
            <w:vAlign w:val="bottom"/>
          </w:tcPr>
          <w:p>
            <w:pPr>
              <w:spacing w:after="0"/>
              <w:rPr>
                <w:sz w:val="24"/>
                <w:szCs w:val="24"/>
                <w:color w:val="auto"/>
              </w:rPr>
            </w:pPr>
          </w:p>
        </w:tc>
        <w:tc>
          <w:tcPr>
            <w:tcW w:w="1220" w:type="dxa"/>
            <w:vAlign w:val="bottom"/>
            <w:gridSpan w:val="2"/>
          </w:tcPr>
          <w:p>
            <w:pPr>
              <w:ind w:left="34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BONDERMAN DAVID</w:t>
              </w:r>
            </w:hyperlink>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40" w:type="dxa"/>
            <w:vAlign w:val="bottom"/>
          </w:tcPr>
          <w:p>
            <w:pPr>
              <w:spacing w:after="0"/>
              <w:rPr>
                <w:sz w:val="24"/>
                <w:szCs w:val="24"/>
                <w:color w:val="auto"/>
              </w:rPr>
            </w:pPr>
          </w:p>
        </w:tc>
        <w:tc>
          <w:tcPr>
            <w:tcW w:w="122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TPG ADVISORS III, INC.</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C/O TPG CAPITAL, L.P.</w:t>
            </w:r>
          </w:p>
        </w:tc>
        <w:tc>
          <w:tcPr>
            <w:tcW w:w="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FORT WORTH</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TX</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40" w:type="dxa"/>
            <w:vAlign w:val="bottom"/>
          </w:tcPr>
          <w:p>
            <w:pPr>
              <w:spacing w:after="0"/>
              <w:rPr>
                <w:sz w:val="24"/>
                <w:szCs w:val="24"/>
                <w:color w:val="auto"/>
              </w:rPr>
            </w:pPr>
          </w:p>
        </w:tc>
        <w:tc>
          <w:tcPr>
            <w:tcW w:w="1220" w:type="dxa"/>
            <w:vAlign w:val="bottom"/>
            <w:gridSpan w:val="2"/>
          </w:tcPr>
          <w:p>
            <w:pPr>
              <w:ind w:left="34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pacing w:after="0"/>
        <w:rPr>
          <w:sz w:val="20"/>
          <w:szCs w:val="20"/>
          <w:color w:val="auto"/>
        </w:rPr>
      </w:pPr>
      <w:r>
        <w:rPr>
          <w:sz w:val="1"/>
          <w:szCs w:val="1"/>
          <w:color w:val="auto"/>
        </w:rPr>
        <w:drawing>
          <wp:inline distT="0" distB="0" distL="0" distR="0">
            <wp:extent cx="34290" cy="2374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4290" cy="237490"/>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07" w:orient="portrait"/>
          <w:cols w:equalWidth="0" w:num="1">
            <w:col w:w="11420"/>
          </w:cols>
          <w:pgMar w:left="240" w:top="226" w:right="2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COULTER JAMES 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1642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1642110"/>
                    </a:xfrm>
                    <a:prstGeom prst="rect">
                      <a:avLst/>
                    </a:prstGeom>
                    <a:noFill/>
                  </pic:spPr>
                </pic:pic>
              </a:graphicData>
            </a:graphic>
          </wp:anchor>
        </w:drawing>
      </w:r>
    </w:p>
    <w:p>
      <w:pPr>
        <w:spacing w:after="0" w:line="316"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C/O TPG CAPITAL, L.P.</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301 COMMERCE STREET, SUITE 3300</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FORT WORTH</w:t>
            </w:r>
          </w:p>
        </w:tc>
        <w:tc>
          <w:tcPr>
            <w:tcW w:w="1100" w:type="dxa"/>
            <w:vAlign w:val="bottom"/>
          </w:tcPr>
          <w:p>
            <w:pPr>
              <w:ind w:left="160"/>
              <w:spacing w:after="0"/>
              <w:rPr>
                <w:sz w:val="20"/>
                <w:szCs w:val="20"/>
                <w:color w:val="auto"/>
              </w:rPr>
            </w:pPr>
            <w:r>
              <w:rPr>
                <w:rFonts w:ascii="Arial" w:cs="Arial" w:eastAsia="Arial" w:hAnsi="Arial"/>
                <w:sz w:val="18"/>
                <w:szCs w:val="18"/>
                <w:color w:val="0000FF"/>
              </w:rPr>
              <w:t>TX</w:t>
            </w:r>
          </w:p>
        </w:tc>
        <w:tc>
          <w:tcPr>
            <w:tcW w:w="1940" w:type="dxa"/>
            <w:vAlign w:val="bottom"/>
          </w:tcPr>
          <w:p>
            <w:pPr>
              <w:ind w:left="5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the Agreement to Tender, dated as of March 13, 2011, between the TPG Specialty Lending, Inc. (the "Issuer") and Tarrant Advisors, Inc., a Texas corporation ("Tarrant"), the Issuer purchased 999 shares of Common Stock of the Issuer from Tarrant for $999.</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Subsequent to the redemption, pursuant to a subscription agreement by and between TSL Advisers, LLC, a Delaware limited liability company ("TSL Advisers") and the Issuer, TSL Advisers acquired 2,868 shares of Common Stock of the Issuer, of which 2,078.6 shares are indirectly beneficially owned by Tarrant.</w:t>
      </w:r>
    </w:p>
    <w:p>
      <w:pPr>
        <w:spacing w:after="0" w:line="30" w:lineRule="exact"/>
        <w:rPr>
          <w:rFonts w:ascii="Arial" w:cs="Arial" w:eastAsia="Arial" w:hAnsi="Arial"/>
          <w:sz w:val="14"/>
          <w:szCs w:val="14"/>
          <w:color w:val="008000"/>
        </w:rPr>
      </w:pPr>
    </w:p>
    <w:p>
      <w:pPr>
        <w:ind w:right="160"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David Bonderman and James G. Coulter are directors, officers, and the sole stockholders of Tarrant Capital Advisors, Inc. ("Tarrant Capital"). Tarrant Capital is the sole stockholder of Tarrant which beneficially owns 2,079.6 shares of Common Stock reported herein. Because of the relationship of Messrs. Bonderman and Coulter and Tarrant Capital (together, the "Reporting Persons") to Tarrant, the Reporting Persons may be deemed to beneficially own the share directly owned by Tarrant. Messrs. Bonderman and Coulter disclaim beneficial ownership of this share except to the extent of their pecuniary interest therein.</w:t>
      </w:r>
    </w:p>
    <w:p>
      <w:pPr>
        <w:spacing w:after="0" w:line="31" w:lineRule="exact"/>
        <w:rPr>
          <w:rFonts w:ascii="Arial" w:cs="Arial" w:eastAsia="Arial" w:hAnsi="Arial"/>
          <w:sz w:val="14"/>
          <w:szCs w:val="14"/>
          <w:color w:val="008000"/>
        </w:rPr>
      </w:pPr>
    </w:p>
    <w:p>
      <w:pPr>
        <w:ind w:right="40"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Messrs. Bonderman and Coutler are also directors, officers and sole shareholders of TPG Group Holdings (SBS) Advisors, Inc. ("Group Holdings"). Group Holdings is the general partner of TPG Group Holdings (SBS), L.P., a Delaware limited partnership, which is the sole member of TPG Holdings II-A, LLC, a Delaware limited liability company, which is the general partner of TPG Holdings II, L.P., a Delaware limited partnership, which is the managing member of TSL Advisers, which beneficially owns 2,868 of the shares of Common Stock of the Issuer, including the 2,078.6 shares of Common Stock of the Issuer reported herein. Because of Messrs. Bonderman and Coulter's relationship to TSL Advisers, they may be deemed to beneficially own the shares directly owned by TSL Advisers. Messrs. Bonderman and Coulter disclaim beneficial ownership of the Shares except to the extent of their pecuniary interest therein.</w:t>
      </w:r>
    </w:p>
    <w:p>
      <w:pPr>
        <w:spacing w:after="0" w:line="11" w:lineRule="exact"/>
        <w:rPr>
          <w:rFonts w:ascii="Arial" w:cs="Arial" w:eastAsia="Arial" w:hAnsi="Arial"/>
          <w:sz w:val="12"/>
          <w:szCs w:val="12"/>
          <w:color w:val="008000"/>
        </w:rPr>
      </w:pPr>
    </w:p>
    <w:p>
      <w:pPr>
        <w:ind w:right="14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17, 2011, the Issuer delivered a capital drawdown notice to its investors relating to the sale of 35,000 shares of Common Stock. Following the closing of this sale, none of Group Holdings, Tarrant Capital, Mr. Bonderman or Mr. Coulter will beneficially own more than 10% of the Common Stock of the Issuer.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firstLine="9"/>
        <w:spacing w:after="0" w:line="233" w:lineRule="auto"/>
        <w:tabs>
          <w:tab w:leader="none" w:pos="19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Reporting Persons are jointly filing this Form 4 pursuant to Rule 16a-3(j) under the Exchange Act. (7) Ronald Cami is signing on behalf of each of Messrs. Bonderman and Coulter pursuant to the authorization and designation letters dated July 1, 2010 which were previously filed with the Securities and Exchange Commission as an exhibit to a Form 3 filed by Messrs. Bonderman and Coulter on July 26, 2010 (SEC File No. 001-11238).</w:t>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Ronald Cami,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84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9842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of Tarrant Capital</w:t>
      </w:r>
      <w:r>
        <w:rPr>
          <w:sz w:val="20"/>
          <w:szCs w:val="20"/>
          <w:color w:val="auto"/>
        </w:rPr>
        <w:tab/>
      </w:r>
      <w:r>
        <w:rPr>
          <w:rFonts w:ascii="Arial" w:cs="Arial" w:eastAsia="Arial" w:hAnsi="Arial"/>
          <w:sz w:val="15"/>
          <w:szCs w:val="15"/>
          <w:color w:val="0000FF"/>
        </w:rPr>
        <w:t>06/21/2011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Advisors,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628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ectPr>
          <w:pgSz w:w="11900" w:h="16838" w:orient="portrait"/>
          <w:cols w:equalWidth="0" w:num="1">
            <w:col w:w="11320"/>
          </w:cols>
          <w:pgMar w:left="280" w:top="118" w:right="29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Ronald Cami,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8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David Bonderman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8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Ronald Cami,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8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James G.Coulter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01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010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0000FF"/>
        </w:rPr>
        <w:t>06/21/2011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06/21/2011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8900" w:space="220"/>
            <w:col w:w="2200"/>
          </w:cols>
          <w:pgMar w:left="280" w:top="118" w:right="2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18"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2" Type="http://schemas.openxmlformats.org/officeDocument/2006/relationships/hyperlink" Target="http://www.sec.gov/cgi-bin/browse-edgar?action=getcompany&amp;CIK=0001418850" TargetMode="External"/><Relationship Id="rId13" Type="http://schemas.openxmlformats.org/officeDocument/2006/relationships/hyperlink" Target="http://www.sec.gov/cgi-bin/browse-edgar?action=getcompany&amp;CIK=0001508655" TargetMode="External"/><Relationship Id="rId14" Type="http://schemas.openxmlformats.org/officeDocument/2006/relationships/hyperlink" Target="http://www.sec.gov/cgi-bin/browse-edgar?action=getcompany&amp;CIK=0000860866" TargetMode="External"/><Relationship Id="rId16" Type="http://schemas.openxmlformats.org/officeDocument/2006/relationships/hyperlink" Target="http://www.sec.gov/cgi-bin/browse-edgar?action=getcompany&amp;CIK=0001099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2019-12-17T04:59:42Z</dcterms:created>
  <dcterms:modified xsi:type="dcterms:W3CDTF">2019-12-17T04:59:42Z</dcterms:modified>
</cp:coreProperties>
</file>