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92710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36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520" w:right="34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5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001-36364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8"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500" w:type="dxa"/>
            <w:vAlign w:val="bottom"/>
          </w:tcPr>
          <w:p>
            <w:pPr>
              <w:jc w:val="center"/>
              <w:ind w:right="1859"/>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right"/>
              <w:ind w:right="6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500" w:type="dxa"/>
            <w:vAlign w:val="bottom"/>
          </w:tcPr>
          <w:p>
            <w:pPr>
              <w:jc w:val="center"/>
              <w:ind w:right="18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60" w:type="dxa"/>
            <w:vAlign w:val="bottom"/>
          </w:tcPr>
          <w:p>
            <w:pPr>
              <w:jc w:val="center"/>
              <w:ind w:left="18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500" w:type="dxa"/>
            <w:vAlign w:val="bottom"/>
          </w:tcPr>
          <w:p>
            <w:pPr>
              <w:jc w:val="center"/>
              <w:ind w:right="1839"/>
              <w:spacing w:after="0"/>
              <w:rPr>
                <w:sz w:val="20"/>
                <w:szCs w:val="20"/>
                <w:color w:val="auto"/>
              </w:rPr>
            </w:pPr>
            <w:r>
              <w:rPr>
                <w:rFonts w:ascii="Arial" w:cs="Arial" w:eastAsia="Arial" w:hAnsi="Arial"/>
                <w:sz w:val="14"/>
                <w:szCs w:val="14"/>
                <w:b w:val="1"/>
                <w:bCs w:val="1"/>
                <w:color w:val="auto"/>
                <w:w w:val="95"/>
              </w:rPr>
              <w:t>Incorporation or Organization)</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4500" w:type="dxa"/>
            <w:vAlign w:val="bottom"/>
          </w:tcPr>
          <w:p>
            <w:pPr>
              <w:jc w:val="center"/>
              <w:ind w:right="1839"/>
              <w:spacing w:after="0"/>
              <w:rPr>
                <w:sz w:val="20"/>
                <w:szCs w:val="20"/>
                <w:color w:val="auto"/>
              </w:rPr>
            </w:pPr>
            <w:r>
              <w:rPr>
                <w:rFonts w:ascii="Arial" w:cs="Arial" w:eastAsia="Arial" w:hAnsi="Arial"/>
                <w:sz w:val="18"/>
                <w:szCs w:val="18"/>
                <w:b w:val="1"/>
                <w:bCs w:val="1"/>
                <w:color w:val="auto"/>
                <w:w w:val="89"/>
              </w:rPr>
              <w:t>301 Commerce Street, Suite 3300,</w:t>
            </w:r>
          </w:p>
        </w:tc>
        <w:tc>
          <w:tcPr>
            <w:tcW w:w="3060" w:type="dxa"/>
            <w:vAlign w:val="bottom"/>
          </w:tcPr>
          <w:p>
            <w:pPr>
              <w:spacing w:after="0"/>
              <w:rPr>
                <w:sz w:val="22"/>
                <w:szCs w:val="22"/>
                <w:color w:val="auto"/>
              </w:rPr>
            </w:pPr>
          </w:p>
        </w:tc>
      </w:tr>
      <w:tr>
        <w:trPr>
          <w:trHeight w:val="212"/>
        </w:trPr>
        <w:tc>
          <w:tcPr>
            <w:tcW w:w="4500" w:type="dxa"/>
            <w:vAlign w:val="bottom"/>
          </w:tcPr>
          <w:p>
            <w:pPr>
              <w:jc w:val="center"/>
              <w:ind w:right="1839"/>
              <w:spacing w:after="0"/>
              <w:rPr>
                <w:sz w:val="20"/>
                <w:szCs w:val="20"/>
                <w:color w:val="auto"/>
              </w:rPr>
            </w:pPr>
            <w:r>
              <w:rPr>
                <w:rFonts w:ascii="Arial" w:cs="Arial" w:eastAsia="Arial" w:hAnsi="Arial"/>
                <w:sz w:val="18"/>
                <w:szCs w:val="18"/>
                <w:b w:val="1"/>
                <w:bCs w:val="1"/>
                <w:color w:val="auto"/>
                <w:w w:val="97"/>
              </w:rPr>
              <w:t>Fort Worth, TX</w:t>
            </w:r>
          </w:p>
        </w:tc>
        <w:tc>
          <w:tcPr>
            <w:tcW w:w="306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4500" w:type="dxa"/>
            <w:vAlign w:val="bottom"/>
          </w:tcPr>
          <w:p>
            <w:pPr>
              <w:jc w:val="center"/>
              <w:ind w:right="18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5"/>
              </w:rPr>
              <w:t>(Zip Code)</w:t>
            </w:r>
          </w:p>
        </w:tc>
      </w:tr>
    </w:tbl>
    <w:p>
      <w:pPr>
        <w:spacing w:after="0" w:line="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56515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9"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5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540" w:type="dxa"/>
        <w:tblCellMar>
          <w:top w:w="0" w:type="dxa"/>
          <w:left w:w="0" w:type="dxa"/>
          <w:bottom w:w="0" w:type="dxa"/>
          <w:right w:w="0" w:type="dxa"/>
        </w:tblCellMar>
      </w:tblPr>
      <w:tr>
        <w:trPr>
          <w:trHeight w:val="283"/>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222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29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222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520" w:type="dxa"/>
            <w:vAlign w:val="bottom"/>
          </w:tcPr>
          <w:p>
            <w:pPr>
              <w:ind w:left="222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jc w:val="both"/>
        <w:ind w:right="1800"/>
        <w:spacing w:after="0" w:line="27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$.01 par value per share, outstanding at November 5, 2018 was 65,382,824.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759460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39" w:right="2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80" w:type="dxa"/>
            <w:vAlign w:val="bottom"/>
            <w:gridSpan w:val="7"/>
            <w:vMerge w:val="restart"/>
          </w:tcPr>
          <w:p>
            <w:pPr>
              <w:ind w:left="80"/>
              <w:spacing w:after="0"/>
              <w:rPr>
                <w:sz w:val="20"/>
                <w:szCs w:val="20"/>
                <w:color w:val="auto"/>
              </w:rPr>
            </w:pPr>
            <w:r>
              <w:rPr>
                <w:rFonts w:ascii="Arial" w:cs="Arial" w:eastAsia="Arial" w:hAnsi="Arial"/>
                <w:sz w:val="14"/>
                <w:szCs w:val="14"/>
                <w:b w:val="1"/>
                <w:bCs w:val="1"/>
                <w:color w:val="auto"/>
              </w:rPr>
              <w:t>INDEX</w:t>
            </w:r>
          </w:p>
        </w:tc>
        <w:tc>
          <w:tcPr>
            <w:tcW w:w="120" w:type="dxa"/>
            <w:vAlign w:val="bottom"/>
            <w:vMerge w:val="restart"/>
          </w:tcPr>
          <w:p>
            <w:pPr>
              <w:spacing w:after="0"/>
              <w:rPr>
                <w:sz w:val="14"/>
                <w:szCs w:val="14"/>
                <w:color w:val="auto"/>
              </w:rPr>
            </w:pPr>
          </w:p>
        </w:tc>
        <w:tc>
          <w:tcPr>
            <w:tcW w:w="900" w:type="dxa"/>
            <w:vAlign w:val="bottom"/>
          </w:tcPr>
          <w:p>
            <w:pPr>
              <w:jc w:val="right"/>
              <w:ind w:right="17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980" w:type="dxa"/>
            <w:vAlign w:val="bottom"/>
            <w:tcBorders>
              <w:bottom w:val="single" w:sz="8" w:color="auto"/>
            </w:tcBorders>
            <w:gridSpan w:val="7"/>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291"/>
        </w:trPr>
        <w:tc>
          <w:tcPr>
            <w:tcW w:w="1100" w:type="dxa"/>
            <w:vAlign w:val="bottom"/>
          </w:tcPr>
          <w:p>
            <w:pPr>
              <w:spacing w:after="0"/>
              <w:rPr>
                <w:sz w:val="20"/>
                <w:szCs w:val="20"/>
                <w:color w:val="auto"/>
              </w:rPr>
            </w:pPr>
            <w:r>
              <w:rPr>
                <w:rFonts w:ascii="Arial" w:cs="Arial" w:eastAsia="Arial" w:hAnsi="Arial"/>
                <w:sz w:val="18"/>
                <w:szCs w:val="18"/>
                <w:color w:val="auto"/>
              </w:rPr>
              <w:t>PART I.</w:t>
            </w:r>
          </w:p>
        </w:tc>
        <w:tc>
          <w:tcPr>
            <w:tcW w:w="942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14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Financial Statements</w:t>
              </w:r>
            </w:hyperlink>
          </w:p>
        </w:tc>
        <w:tc>
          <w:tcPr>
            <w:tcW w:w="740" w:type="dxa"/>
            <w:vAlign w:val="bottom"/>
            <w:tcBorders>
              <w:top w:val="single" w:sz="8" w:color="0000EE"/>
            </w:tcBorders>
            <w:gridSpan w:val="4"/>
          </w:tcPr>
          <w:p>
            <w:pPr>
              <w:spacing w:after="0"/>
              <w:rPr>
                <w:sz w:val="24"/>
                <w:szCs w:val="24"/>
                <w:color w:val="auto"/>
              </w:rPr>
            </w:pPr>
          </w:p>
        </w:tc>
        <w:tc>
          <w:tcPr>
            <w:tcW w:w="722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942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September 30, 2018 (Unaudited) and December 31, 2017</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852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Statements of Operations for the three and nine months ended September 30, 2018 and 2017 (Unaudited)</w:t>
              </w:r>
            </w:hyperlink>
          </w:p>
        </w:tc>
        <w:tc>
          <w:tcPr>
            <w:tcW w:w="900" w:type="dxa"/>
            <w:vAlign w:val="bottom"/>
            <w:gridSpan w:val="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942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Schedules of Investments as of September 30, 2018 (Unaudited) and December 31, 2017</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864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17">
              <w:r>
                <w:rPr>
                  <w:rFonts w:ascii="Arial" w:cs="Arial" w:eastAsia="Arial" w:hAnsi="Arial"/>
                  <w:sz w:val="18"/>
                  <w:szCs w:val="18"/>
                  <w:color w:val="0000EE"/>
                  <w:w w:val="88"/>
                </w:rPr>
                <w:t>Consolidated Statements of Changes in Net Assets for the nine months ended September 30, 2018 and 2017 (Unaudited)</w:t>
              </w:r>
            </w:hyperlink>
          </w:p>
        </w:tc>
        <w:tc>
          <w:tcPr>
            <w:tcW w:w="78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786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Consolidated Statements of Cash Flows for the nine months ended September 30, 2018 and 2017 (Unaudited)</w:t>
              </w:r>
            </w:hyperlink>
          </w:p>
        </w:tc>
        <w:tc>
          <w:tcPr>
            <w:tcW w:w="1560" w:type="dxa"/>
            <w:vAlign w:val="bottom"/>
            <w:gridSpan w:val="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402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Notes to Consolidated Financial Statements (Unaudited)</w:t>
              </w:r>
            </w:hyperlink>
          </w:p>
        </w:tc>
        <w:tc>
          <w:tcPr>
            <w:tcW w:w="5400" w:type="dxa"/>
            <w:vAlign w:val="bottom"/>
            <w:gridSpan w:val="10"/>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9420" w:type="dxa"/>
            <w:vAlign w:val="bottom"/>
            <w:gridSpan w:val="21"/>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1"/>
              </w:rPr>
            </w:pPr>
            <w:hyperlink w:anchor="page65">
              <w:r>
                <w:rPr>
                  <w:rFonts w:ascii="Arial" w:cs="Arial" w:eastAsia="Arial" w:hAnsi="Arial"/>
                  <w:sz w:val="18"/>
                  <w:szCs w:val="18"/>
                  <w:color w:val="0000EE"/>
                  <w:w w:val="91"/>
                </w:rPr>
                <w:t>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3020" w:type="dxa"/>
            <w:vAlign w:val="bottom"/>
            <w:gridSpan w:val="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66">
              <w:r>
                <w:rPr>
                  <w:rFonts w:ascii="Arial" w:cs="Arial" w:eastAsia="Arial" w:hAnsi="Arial"/>
                  <w:sz w:val="18"/>
                  <w:szCs w:val="18"/>
                  <w:color w:val="0000EE"/>
                  <w:w w:val="86"/>
                </w:rPr>
                <w:t>Controls and Procedures</w:t>
              </w:r>
            </w:hyperlink>
          </w:p>
        </w:tc>
        <w:tc>
          <w:tcPr>
            <w:tcW w:w="768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PART II.</w:t>
            </w:r>
          </w:p>
        </w:tc>
        <w:tc>
          <w:tcPr>
            <w:tcW w:w="184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67">
              <w:r>
                <w:rPr>
                  <w:rFonts w:ascii="Arial" w:cs="Arial" w:eastAsia="Arial" w:hAnsi="Arial"/>
                  <w:sz w:val="18"/>
                  <w:szCs w:val="18"/>
                  <w:color w:val="0000EE"/>
                  <w:w w:val="93"/>
                </w:rPr>
                <w:t>OTHER INFORMATION</w:t>
              </w:r>
            </w:hyperlink>
          </w:p>
        </w:tc>
        <w:tc>
          <w:tcPr>
            <w:tcW w:w="758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9420" w:type="dxa"/>
            <w:vAlign w:val="bottom"/>
            <w:gridSpan w:val="21"/>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Legal Proceedings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1A.</w:t>
            </w:r>
          </w:p>
        </w:tc>
        <w:tc>
          <w:tcPr>
            <w:tcW w:w="8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3"/>
              </w:rPr>
            </w:pPr>
            <w:hyperlink w:anchor="page67">
              <w:r>
                <w:rPr>
                  <w:rFonts w:ascii="Arial" w:cs="Arial" w:eastAsia="Arial" w:hAnsi="Arial"/>
                  <w:sz w:val="18"/>
                  <w:szCs w:val="18"/>
                  <w:color w:val="0000EE"/>
                  <w:w w:val="83"/>
                </w:rPr>
                <w:t>Risk Factors</w:t>
              </w:r>
            </w:hyperlink>
          </w:p>
        </w:tc>
        <w:tc>
          <w:tcPr>
            <w:tcW w:w="420" w:type="dxa"/>
            <w:vAlign w:val="bottom"/>
            <w:tcBorders>
              <w:top w:val="single" w:sz="8" w:color="0000EE"/>
            </w:tcBorders>
            <w:gridSpan w:val="2"/>
          </w:tcPr>
          <w:p>
            <w:pPr>
              <w:spacing w:after="0"/>
              <w:rPr>
                <w:sz w:val="24"/>
                <w:szCs w:val="24"/>
                <w:color w:val="auto"/>
              </w:rPr>
            </w:pPr>
          </w:p>
        </w:tc>
        <w:tc>
          <w:tcPr>
            <w:tcW w:w="8140" w:type="dxa"/>
            <w:vAlign w:val="bottom"/>
            <w:gridSpan w:val="1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43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71">
              <w:r>
                <w:rPr>
                  <w:rFonts w:ascii="Arial" w:cs="Arial" w:eastAsia="Arial" w:hAnsi="Arial"/>
                  <w:sz w:val="18"/>
                  <w:szCs w:val="18"/>
                  <w:color w:val="0000EE"/>
                  <w:w w:val="88"/>
                </w:rPr>
                <w:t>Unregistered Sales of Equity Securities and Use of Proceeds</w:t>
              </w:r>
            </w:hyperlink>
          </w:p>
        </w:tc>
        <w:tc>
          <w:tcPr>
            <w:tcW w:w="5120" w:type="dxa"/>
            <w:vAlign w:val="bottom"/>
            <w:gridSpan w:val="9"/>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228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71">
              <w:r>
                <w:rPr>
                  <w:rFonts w:ascii="Arial" w:cs="Arial" w:eastAsia="Arial" w:hAnsi="Arial"/>
                  <w:sz w:val="18"/>
                  <w:szCs w:val="18"/>
                  <w:color w:val="0000EE"/>
                  <w:w w:val="88"/>
                </w:rPr>
                <w:t>Defaults Upon Senior Securities</w:t>
              </w:r>
            </w:hyperlink>
          </w:p>
        </w:tc>
        <w:tc>
          <w:tcPr>
            <w:tcW w:w="714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172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71">
              <w:r>
                <w:rPr>
                  <w:rFonts w:ascii="Arial" w:cs="Arial" w:eastAsia="Arial" w:hAnsi="Arial"/>
                  <w:sz w:val="18"/>
                  <w:szCs w:val="18"/>
                  <w:color w:val="0000EE"/>
                  <w:w w:val="88"/>
                </w:rPr>
                <w:t>Mine Safety Disclosures</w:t>
              </w:r>
            </w:hyperlink>
          </w:p>
        </w:tc>
        <w:tc>
          <w:tcPr>
            <w:tcW w:w="7700" w:type="dxa"/>
            <w:vAlign w:val="bottom"/>
            <w:gridSpan w:val="1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5.</w:t>
            </w:r>
          </w:p>
        </w:tc>
        <w:tc>
          <w:tcPr>
            <w:tcW w:w="9420" w:type="dxa"/>
            <w:vAlign w:val="bottom"/>
            <w:gridSpan w:val="21"/>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6.</w:t>
            </w:r>
          </w:p>
        </w:tc>
        <w:tc>
          <w:tcPr>
            <w:tcW w:w="1260" w:type="dxa"/>
            <w:vAlign w:val="bottom"/>
            <w:tcBorders>
              <w:top w:val="single" w:sz="8" w:color="0000EE"/>
            </w:tcBorders>
            <w:gridSpan w:val="3"/>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Exhibits</w:t>
              </w:r>
            </w:hyperlink>
          </w:p>
        </w:tc>
        <w:tc>
          <w:tcPr>
            <w:tcW w:w="8160" w:type="dxa"/>
            <w:vAlign w:val="bottom"/>
            <w:gridSpan w:val="18"/>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80" w:type="dxa"/>
            <w:vAlign w:val="bottom"/>
            <w:gridSpan w:val="2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520" w:type="dxa"/>
            <w:vAlign w:val="bottom"/>
            <w:gridSpan w:val="22"/>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SIGNATURES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80" w:firstLine="259"/>
        <w:spacing w:after="0" w:line="273" w:lineRule="auto"/>
        <w:rPr>
          <w:sz w:val="20"/>
          <w:szCs w:val="20"/>
          <w:color w:val="auto"/>
        </w:rPr>
      </w:pPr>
      <w:r>
        <w:rPr>
          <w:rFonts w:ascii="Arial" w:cs="Arial" w:eastAsia="Arial" w:hAnsi="Arial"/>
          <w:sz w:val="17"/>
          <w:szCs w:val="17"/>
          <w:color w:val="auto"/>
        </w:rPr>
        <w:t>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78" w:lineRule="exact"/>
        <w:rPr>
          <w:sz w:val="20"/>
          <w:szCs w:val="20"/>
          <w:color w:val="auto"/>
        </w:rPr>
      </w:pPr>
    </w:p>
    <w:p>
      <w:pPr>
        <w:ind w:right="340" w:firstLine="259"/>
        <w:spacing w:after="0" w:line="264" w:lineRule="auto"/>
        <w:rPr>
          <w:sz w:val="20"/>
          <w:szCs w:val="20"/>
          <w:color w:val="auto"/>
        </w:rPr>
      </w:pPr>
      <w:r>
        <w:rPr>
          <w:rFonts w:ascii="Arial" w:cs="Arial" w:eastAsia="Arial" w:hAnsi="Arial"/>
          <w:sz w:val="18"/>
          <w:szCs w:val="18"/>
          <w:color w:val="auto"/>
        </w:rPr>
        <w:t>In addition to factors previously identified elsewhere in the reports and other documents TPG Specialty Lending, Inc. has filed with the Securities and Exchange Commission, or SEC, the following factors, among others, could cause actual results to differ materially from forward-looking statements or historical performance:</w:t>
      </w:r>
    </w:p>
    <w:p>
      <w:pPr>
        <w:spacing w:after="0" w:line="73" w:lineRule="exact"/>
        <w:rPr>
          <w:sz w:val="20"/>
          <w:szCs w:val="20"/>
          <w:color w:val="auto"/>
        </w:rPr>
      </w:pPr>
    </w:p>
    <w:p>
      <w:pPr>
        <w:ind w:left="520" w:right="620" w:hanging="255"/>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62" w:lineRule="exact"/>
        <w:rPr>
          <w:rFonts w:ascii="Arial" w:cs="Arial" w:eastAsia="Arial" w:hAnsi="Arial"/>
          <w:sz w:val="18"/>
          <w:szCs w:val="18"/>
          <w:color w:val="auto"/>
        </w:rPr>
      </w:pPr>
    </w:p>
    <w:p>
      <w:pPr>
        <w:ind w:left="520" w:right="420" w:hanging="255"/>
        <w:spacing w:after="0" w:line="342" w:lineRule="auto"/>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15"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17" w:lineRule="exact"/>
        <w:rPr>
          <w:rFonts w:ascii="Arial" w:cs="Arial" w:eastAsia="Arial" w:hAnsi="Arial"/>
          <w:sz w:val="18"/>
          <w:szCs w:val="18"/>
          <w:color w:val="auto"/>
        </w:rPr>
      </w:pPr>
    </w:p>
    <w:p>
      <w:pPr>
        <w:ind w:left="520" w:right="20" w:hanging="255"/>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 entitled “Risk Factors” in this report and in our Annual Report on Form 10-K for the year ended December 31, 2017, filed with the SEC on February 21, 2018, and elsewhere in our filings with the SEC.</w:t>
      </w:r>
    </w:p>
    <w:p>
      <w:pPr>
        <w:spacing w:after="0" w:line="170" w:lineRule="exact"/>
        <w:rPr>
          <w:sz w:val="20"/>
          <w:szCs w:val="20"/>
          <w:color w:val="auto"/>
        </w:rPr>
      </w:pPr>
    </w:p>
    <w:p>
      <w:pPr>
        <w:ind w:firstLine="259"/>
        <w:spacing w:after="0" w:line="291"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 The safe harbor provisions of Section 21E of the Securities Exchange Act of 1934, as amended, or the Exchange Act, which preclude civil liability for certain forward-looking statements, do not apply to the forward-looking statements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8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 (amortized cost of $1,755,305 and $1,523,844,</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1,804,458</w:t>
            </w:r>
          </w:p>
        </w:tc>
        <w:tc>
          <w:tcPr>
            <w:tcW w:w="3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1,557,803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Non-controlled, affiliated investments (amortized cost of $39,023 and $0, respectively)</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39,078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Controlled, affiliated investments (amortized cost of $163,427 and $162,406, respectively)</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138,395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135,920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Total investments at fair value (amortized cost of $1,957,755 and $1,686,250, respectively)</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1,981,931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1,693,723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(restricted cash of $6,669 and $3,150, respectively)</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Interest receivable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9,339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2,007,041</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1,720,238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Debt (net of deferred financing costs of $15,675 and $11,770, respectively)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877,401</w:t>
            </w:r>
          </w:p>
        </w:tc>
        <w:tc>
          <w:tcPr>
            <w:tcW w:w="30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703,428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Management fees payable to affiliate</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6,850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Dividends payable</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Other payables to affiliate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2,272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14,400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933,860</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750,954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$0.01 par value; 100,000,000 shares authorized; no shares issued</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outstanding</w:t>
            </w:r>
          </w:p>
        </w:tc>
        <w:tc>
          <w:tcPr>
            <w:tcW w:w="22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880" w:type="dxa"/>
            <w:vAlign w:val="bottom"/>
          </w:tcPr>
          <w:p>
            <w:pPr>
              <w:spacing w:after="0"/>
              <w:rPr>
                <w:sz w:val="20"/>
                <w:szCs w:val="20"/>
                <w:color w:val="auto"/>
              </w:rPr>
            </w:pPr>
            <w:r>
              <w:rPr>
                <w:rFonts w:ascii="Arial" w:cs="Arial" w:eastAsia="Arial" w:hAnsi="Arial"/>
                <w:sz w:val="18"/>
                <w:szCs w:val="18"/>
                <w:color w:val="auto"/>
              </w:rPr>
              <w:t>Common stock, $0.01 par value; 400,000,000 shares authorized, 65,257,331 and</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ind w:left="140"/>
              <w:spacing w:after="0"/>
              <w:rPr>
                <w:sz w:val="20"/>
                <w:szCs w:val="20"/>
                <w:color w:val="auto"/>
              </w:rPr>
            </w:pPr>
            <w:r>
              <w:rPr>
                <w:rFonts w:ascii="Arial" w:cs="Arial" w:eastAsia="Arial" w:hAnsi="Arial"/>
                <w:sz w:val="18"/>
                <w:szCs w:val="18"/>
                <w:color w:val="auto"/>
              </w:rPr>
              <w:t>60,336,281 shares issued, respectively; and 65,168,251 and 60,247,201 shares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140"/>
              <w:spacing w:after="0"/>
              <w:rPr>
                <w:sz w:val="20"/>
                <w:szCs w:val="20"/>
                <w:color w:val="auto"/>
              </w:rPr>
            </w:pPr>
            <w:r>
              <w:rPr>
                <w:rFonts w:ascii="Arial" w:cs="Arial" w:eastAsia="Arial" w:hAnsi="Arial"/>
                <w:sz w:val="18"/>
                <w:szCs w:val="18"/>
                <w:color w:val="auto"/>
              </w:rPr>
              <w:t>outstanding, respectively</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653</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989,907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906,521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Treasury stock at cost; 89,080 and 89,080 shares held, respectively</w:t>
            </w:r>
          </w:p>
        </w:tc>
        <w:tc>
          <w:tcPr>
            <w:tcW w:w="220" w:type="dxa"/>
            <w:vAlign w:val="bottom"/>
          </w:tcPr>
          <w:p>
            <w:pPr>
              <w:spacing w:after="0"/>
              <w:rPr>
                <w:sz w:val="19"/>
                <w:szCs w:val="19"/>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(1,359)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Undistributed net investment income</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73,752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Net unrealized gains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17,755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Undistributed net realized losses</w:t>
            </w: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(7,527)</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(4,989)</w:t>
            </w: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Net Assets</w:t>
            </w: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1,073,181</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969,284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2,007,041</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1,720,238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80" w:type="dxa"/>
            <w:vAlign w:val="bottom"/>
            <w:vMerge w:val="continue"/>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8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304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September 30, 2018</w:t>
            </w:r>
          </w:p>
        </w:tc>
        <w:tc>
          <w:tcPr>
            <w:tcW w:w="60" w:type="dxa"/>
            <w:vAlign w:val="bottom"/>
          </w:tcPr>
          <w:p>
            <w:pPr>
              <w:spacing w:after="0"/>
              <w:rPr>
                <w:sz w:val="14"/>
                <w:szCs w:val="14"/>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September 30, 2017</w:t>
            </w:r>
          </w:p>
        </w:tc>
        <w:tc>
          <w:tcPr>
            <w:tcW w:w="60" w:type="dxa"/>
            <w:vAlign w:val="bottom"/>
          </w:tcPr>
          <w:p>
            <w:pPr>
              <w:spacing w:after="0"/>
              <w:rPr>
                <w:sz w:val="14"/>
                <w:szCs w:val="14"/>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September 30, 2018</w:t>
            </w:r>
          </w:p>
        </w:tc>
        <w:tc>
          <w:tcPr>
            <w:tcW w:w="80" w:type="dxa"/>
            <w:vAlign w:val="bottom"/>
          </w:tcPr>
          <w:p>
            <w:pPr>
              <w:spacing w:after="0"/>
              <w:rPr>
                <w:sz w:val="14"/>
                <w:szCs w:val="14"/>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September 30, 2017</w:t>
            </w:r>
          </w:p>
        </w:tc>
        <w:tc>
          <w:tcPr>
            <w:tcW w:w="0" w:type="dxa"/>
            <w:vAlign w:val="bottom"/>
          </w:tcPr>
          <w:p>
            <w:pPr>
              <w:spacing w:after="0"/>
              <w:rPr>
                <w:sz w:val="1"/>
                <w:szCs w:val="1"/>
                <w:color w:val="auto"/>
              </w:rPr>
            </w:pPr>
          </w:p>
        </w:tc>
      </w:tr>
      <w:tr>
        <w:trPr>
          <w:trHeight w:val="169"/>
        </w:trPr>
        <w:tc>
          <w:tcPr>
            <w:tcW w:w="508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Income</w:t>
            </w:r>
          </w:p>
        </w:tc>
        <w:tc>
          <w:tcPr>
            <w:tcW w:w="60" w:type="dxa"/>
            <w:vAlign w:val="bottom"/>
            <w:tcBorders>
              <w:top w:val="single" w:sz="8" w:color="auto"/>
            </w:tcBorders>
            <w:shd w:val="clear" w:color="auto" w:fill="CFF0FC"/>
          </w:tcPr>
          <w:p>
            <w:pPr>
              <w:spacing w:after="0"/>
              <w:rPr>
                <w:sz w:val="14"/>
                <w:szCs w:val="14"/>
                <w:color w:val="auto"/>
              </w:rPr>
            </w:pPr>
          </w:p>
        </w:tc>
        <w:tc>
          <w:tcPr>
            <w:tcW w:w="13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auto"/>
            </w:tcBorders>
            <w:shd w:val="clear" w:color="auto" w:fill="CFF0FC"/>
          </w:tcPr>
          <w:p>
            <w:pPr>
              <w:spacing w:after="0"/>
              <w:rPr>
                <w:sz w:val="14"/>
                <w:szCs w:val="14"/>
                <w:color w:val="auto"/>
              </w:rPr>
            </w:pPr>
          </w:p>
        </w:tc>
        <w:tc>
          <w:tcPr>
            <w:tcW w:w="13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auto"/>
            </w:tcBorders>
            <w:shd w:val="clear" w:color="auto" w:fill="CFF0FC"/>
          </w:tcPr>
          <w:p>
            <w:pPr>
              <w:spacing w:after="0"/>
              <w:rPr>
                <w:sz w:val="14"/>
                <w:szCs w:val="14"/>
                <w:color w:val="auto"/>
              </w:rPr>
            </w:pPr>
          </w:p>
        </w:tc>
        <w:tc>
          <w:tcPr>
            <w:tcW w:w="13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130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80" w:type="dxa"/>
            <w:vAlign w:val="bottom"/>
          </w:tcPr>
          <w:p>
            <w:pPr>
              <w:spacing w:after="0"/>
              <w:rPr>
                <w:sz w:val="20"/>
                <w:szCs w:val="20"/>
                <w:color w:val="auto"/>
              </w:rPr>
            </w:pPr>
            <w:r>
              <w:rPr>
                <w:rFonts w:ascii="Arial" w:cs="Arial" w:eastAsia="Arial" w:hAnsi="Arial"/>
                <w:sz w:val="15"/>
                <w:szCs w:val="15"/>
                <w:color w:val="auto"/>
              </w:rPr>
              <w:t>Investment income from non-controlled, non-affiliated investments:</w:t>
            </w: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Interest from investments</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57,033</w:t>
            </w:r>
          </w:p>
        </w:tc>
        <w:tc>
          <w:tcPr>
            <w:tcW w:w="260" w:type="dxa"/>
            <w:vAlign w:val="bottom"/>
            <w:shd w:val="clear" w:color="auto" w:fill="CFF0FC"/>
          </w:tcPr>
          <w:p>
            <w:pPr>
              <w:spacing w:after="0"/>
              <w:rPr>
                <w:sz w:val="15"/>
                <w:szCs w:val="15"/>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45,354</w:t>
            </w:r>
          </w:p>
        </w:tc>
        <w:tc>
          <w:tcPr>
            <w:tcW w:w="260" w:type="dxa"/>
            <w:vAlign w:val="bottom"/>
            <w:shd w:val="clear" w:color="auto" w:fill="CFF0FC"/>
          </w:tcPr>
          <w:p>
            <w:pPr>
              <w:spacing w:after="0"/>
              <w:rPr>
                <w:sz w:val="15"/>
                <w:szCs w:val="15"/>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163,640</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148,023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260"/>
              <w:spacing w:after="0"/>
              <w:rPr>
                <w:sz w:val="20"/>
                <w:szCs w:val="20"/>
                <w:color w:val="auto"/>
              </w:rPr>
            </w:pPr>
            <w:r>
              <w:rPr>
                <w:rFonts w:ascii="Arial" w:cs="Arial" w:eastAsia="Arial" w:hAnsi="Arial"/>
                <w:sz w:val="15"/>
                <w:szCs w:val="15"/>
                <w:color w:val="auto"/>
              </w:rPr>
              <w:t>Dividend income</w:t>
            </w:r>
          </w:p>
        </w:tc>
        <w:tc>
          <w:tcPr>
            <w:tcW w:w="60" w:type="dxa"/>
            <w:vAlign w:val="bottom"/>
          </w:tcPr>
          <w:p>
            <w:pPr>
              <w:spacing w:after="0"/>
              <w:rPr>
                <w:sz w:val="15"/>
                <w:szCs w:val="15"/>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196</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income</w:t>
            </w:r>
          </w:p>
        </w:tc>
        <w:tc>
          <w:tcPr>
            <w:tcW w:w="6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1,160</w:t>
            </w:r>
          </w:p>
        </w:tc>
        <w:tc>
          <w:tcPr>
            <w:tcW w:w="260" w:type="dxa"/>
            <w:vAlign w:val="bottom"/>
            <w:shd w:val="clear" w:color="auto" w:fill="CFF0FC"/>
          </w:tcPr>
          <w:p>
            <w:pPr>
              <w:spacing w:after="0"/>
              <w:rPr>
                <w:sz w:val="15"/>
                <w:szCs w:val="15"/>
                <w:color w:val="auto"/>
              </w:rPr>
            </w:pPr>
          </w:p>
        </w:tc>
        <w:tc>
          <w:tcPr>
            <w:tcW w:w="6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3,502</w:t>
            </w:r>
          </w:p>
        </w:tc>
        <w:tc>
          <w:tcPr>
            <w:tcW w:w="260" w:type="dxa"/>
            <w:vAlign w:val="bottom"/>
            <w:shd w:val="clear" w:color="auto" w:fill="CFF0FC"/>
          </w:tcPr>
          <w:p>
            <w:pPr>
              <w:spacing w:after="0"/>
              <w:rPr>
                <w:sz w:val="15"/>
                <w:szCs w:val="15"/>
                <w:color w:val="auto"/>
              </w:rPr>
            </w:pPr>
          </w:p>
        </w:tc>
        <w:tc>
          <w:tcPr>
            <w:tcW w:w="6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10,013</w:t>
            </w:r>
          </w:p>
        </w:tc>
        <w:tc>
          <w:tcPr>
            <w:tcW w:w="26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7,982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080" w:type="dxa"/>
            <w:vAlign w:val="bottom"/>
          </w:tcPr>
          <w:p>
            <w:pPr>
              <w:ind w:left="500"/>
              <w:spacing w:after="0" w:line="156" w:lineRule="exact"/>
              <w:rPr>
                <w:sz w:val="20"/>
                <w:szCs w:val="20"/>
                <w:color w:val="auto"/>
              </w:rPr>
            </w:pPr>
            <w:r>
              <w:rPr>
                <w:rFonts w:ascii="Arial" w:cs="Arial" w:eastAsia="Arial" w:hAnsi="Arial"/>
                <w:sz w:val="15"/>
                <w:szCs w:val="15"/>
                <w:color w:val="auto"/>
              </w:rPr>
              <w:t>Total investment income from non-controlled, non-affiliated</w:t>
            </w:r>
          </w:p>
        </w:tc>
        <w:tc>
          <w:tcPr>
            <w:tcW w:w="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080" w:type="dxa"/>
            <w:vAlign w:val="bottom"/>
          </w:tcPr>
          <w:p>
            <w:pPr>
              <w:ind w:left="620"/>
              <w:spacing w:after="0"/>
              <w:rPr>
                <w:sz w:val="20"/>
                <w:szCs w:val="20"/>
                <w:color w:val="auto"/>
              </w:rPr>
            </w:pPr>
            <w:r>
              <w:rPr>
                <w:rFonts w:ascii="Arial" w:cs="Arial" w:eastAsia="Arial" w:hAnsi="Arial"/>
                <w:sz w:val="15"/>
                <w:szCs w:val="15"/>
                <w:color w:val="auto"/>
              </w:rPr>
              <w:t>investments</w:t>
            </w:r>
          </w:p>
        </w:tc>
        <w:tc>
          <w:tcPr>
            <w:tcW w:w="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58,193</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48,856</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173,849</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156,005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spacing w:after="0"/>
              <w:rPr>
                <w:sz w:val="20"/>
                <w:szCs w:val="20"/>
                <w:color w:val="auto"/>
              </w:rPr>
            </w:pPr>
            <w:r>
              <w:rPr>
                <w:rFonts w:ascii="Arial" w:cs="Arial" w:eastAsia="Arial" w:hAnsi="Arial"/>
                <w:sz w:val="15"/>
                <w:szCs w:val="15"/>
                <w:color w:val="auto"/>
              </w:rPr>
              <w:t>Investment income from non-controlled, affiliated investments:</w:t>
            </w:r>
          </w:p>
        </w:tc>
        <w:tc>
          <w:tcPr>
            <w:tcW w:w="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260"/>
              <w:spacing w:after="0"/>
              <w:rPr>
                <w:sz w:val="20"/>
                <w:szCs w:val="20"/>
                <w:color w:val="auto"/>
              </w:rPr>
            </w:pPr>
            <w:r>
              <w:rPr>
                <w:rFonts w:ascii="Arial" w:cs="Arial" w:eastAsia="Arial" w:hAnsi="Arial"/>
                <w:sz w:val="15"/>
                <w:szCs w:val="15"/>
                <w:color w:val="auto"/>
              </w:rPr>
              <w:t>Interest from investments</w:t>
            </w:r>
          </w:p>
        </w:tc>
        <w:tc>
          <w:tcPr>
            <w:tcW w:w="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1,118</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1,493</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income</w:t>
            </w:r>
          </w:p>
        </w:tc>
        <w:tc>
          <w:tcPr>
            <w:tcW w:w="6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12</w:t>
            </w:r>
          </w:p>
        </w:tc>
        <w:tc>
          <w:tcPr>
            <w:tcW w:w="260" w:type="dxa"/>
            <w:vAlign w:val="bottom"/>
            <w:shd w:val="clear" w:color="auto" w:fill="CFF0FC"/>
          </w:tcPr>
          <w:p>
            <w:pPr>
              <w:spacing w:after="0"/>
              <w:rPr>
                <w:sz w:val="15"/>
                <w:szCs w:val="15"/>
                <w:color w:val="auto"/>
              </w:rPr>
            </w:pPr>
          </w:p>
        </w:tc>
        <w:tc>
          <w:tcPr>
            <w:tcW w:w="6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6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229</w:t>
            </w:r>
          </w:p>
        </w:tc>
        <w:tc>
          <w:tcPr>
            <w:tcW w:w="26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80" w:type="dxa"/>
            <w:vAlign w:val="bottom"/>
          </w:tcPr>
          <w:p>
            <w:pPr>
              <w:ind w:left="500"/>
              <w:spacing w:after="0" w:line="169" w:lineRule="exact"/>
              <w:rPr>
                <w:sz w:val="20"/>
                <w:szCs w:val="20"/>
                <w:color w:val="auto"/>
              </w:rPr>
            </w:pPr>
            <w:r>
              <w:rPr>
                <w:rFonts w:ascii="Arial" w:cs="Arial" w:eastAsia="Arial" w:hAnsi="Arial"/>
                <w:sz w:val="15"/>
                <w:szCs w:val="15"/>
                <w:color w:val="auto"/>
              </w:rPr>
              <w:t>Total investment income from non-controlled, affiliated investments</w:t>
            </w:r>
          </w:p>
        </w:tc>
        <w:tc>
          <w:tcPr>
            <w:tcW w:w="60" w:type="dxa"/>
            <w:vAlign w:val="bottom"/>
          </w:tcPr>
          <w:p>
            <w:pPr>
              <w:spacing w:after="0"/>
              <w:rPr>
                <w:sz w:val="14"/>
                <w:szCs w:val="14"/>
                <w:color w:val="auto"/>
              </w:rPr>
            </w:pPr>
          </w:p>
        </w:tc>
        <w:tc>
          <w:tcPr>
            <w:tcW w:w="1300" w:type="dxa"/>
            <w:vAlign w:val="bottom"/>
          </w:tcPr>
          <w:p>
            <w:pPr>
              <w:jc w:val="right"/>
              <w:spacing w:after="0" w:line="169" w:lineRule="exact"/>
              <w:rPr>
                <w:sz w:val="20"/>
                <w:szCs w:val="20"/>
                <w:color w:val="auto"/>
              </w:rPr>
            </w:pPr>
            <w:r>
              <w:rPr>
                <w:rFonts w:ascii="Arial" w:cs="Arial" w:eastAsia="Arial" w:hAnsi="Arial"/>
                <w:sz w:val="15"/>
                <w:szCs w:val="15"/>
                <w:color w:val="auto"/>
              </w:rPr>
              <w:t>1,130</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300" w:type="dxa"/>
            <w:vAlign w:val="bottom"/>
          </w:tcPr>
          <w:p>
            <w:pPr>
              <w:jc w:val="right"/>
              <w:spacing w:after="0" w:line="169" w:lineRule="exact"/>
              <w:rPr>
                <w:sz w:val="20"/>
                <w:szCs w:val="20"/>
                <w:color w:val="auto"/>
              </w:rPr>
            </w:pPr>
            <w:r>
              <w:rPr>
                <w:rFonts w:ascii="Arial" w:cs="Arial" w:eastAsia="Arial" w:hAnsi="Arial"/>
                <w:sz w:val="15"/>
                <w:szCs w:val="15"/>
                <w:color w:val="auto"/>
              </w:rPr>
              <w:t>1,722</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spacing w:after="0"/>
              <w:rPr>
                <w:sz w:val="20"/>
                <w:szCs w:val="20"/>
                <w:color w:val="auto"/>
              </w:rPr>
            </w:pPr>
            <w:r>
              <w:rPr>
                <w:rFonts w:ascii="Arial" w:cs="Arial" w:eastAsia="Arial" w:hAnsi="Arial"/>
                <w:sz w:val="15"/>
                <w:szCs w:val="15"/>
                <w:color w:val="auto"/>
              </w:rPr>
              <w:t>Investment income from controlled, affiliated investments:</w:t>
            </w:r>
          </w:p>
        </w:tc>
        <w:tc>
          <w:tcPr>
            <w:tcW w:w="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260"/>
              <w:spacing w:after="0"/>
              <w:rPr>
                <w:sz w:val="20"/>
                <w:szCs w:val="20"/>
                <w:color w:val="auto"/>
              </w:rPr>
            </w:pPr>
            <w:r>
              <w:rPr>
                <w:rFonts w:ascii="Arial" w:cs="Arial" w:eastAsia="Arial" w:hAnsi="Arial"/>
                <w:sz w:val="15"/>
                <w:szCs w:val="15"/>
                <w:color w:val="auto"/>
              </w:rPr>
              <w:t>Interest from investments</w:t>
            </w:r>
          </w:p>
        </w:tc>
        <w:tc>
          <w:tcPr>
            <w:tcW w:w="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3,695</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3,398</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11,513</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5,914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income</w:t>
            </w:r>
          </w:p>
        </w:tc>
        <w:tc>
          <w:tcPr>
            <w:tcW w:w="6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(14)</w:t>
            </w:r>
          </w:p>
        </w:tc>
        <w:tc>
          <w:tcPr>
            <w:tcW w:w="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w:t>
            </w:r>
          </w:p>
        </w:tc>
        <w:tc>
          <w:tcPr>
            <w:tcW w:w="2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89</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80" w:type="dxa"/>
            <w:vAlign w:val="bottom"/>
            <w:tcBorders>
              <w:bottom w:val="single" w:sz="8" w:color="CFF0FC"/>
            </w:tcBorders>
          </w:tcPr>
          <w:p>
            <w:pPr>
              <w:ind w:left="500"/>
              <w:spacing w:after="0" w:line="169" w:lineRule="exact"/>
              <w:rPr>
                <w:sz w:val="20"/>
                <w:szCs w:val="20"/>
                <w:color w:val="auto"/>
              </w:rPr>
            </w:pPr>
            <w:r>
              <w:rPr>
                <w:rFonts w:ascii="Arial" w:cs="Arial" w:eastAsia="Arial" w:hAnsi="Arial"/>
                <w:sz w:val="15"/>
                <w:szCs w:val="15"/>
                <w:color w:val="auto"/>
              </w:rPr>
              <w:t>Total investment income from controlled, affiliated investments</w:t>
            </w:r>
          </w:p>
        </w:tc>
        <w:tc>
          <w:tcPr>
            <w:tcW w:w="6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3,681</w:t>
            </w:r>
          </w:p>
        </w:tc>
        <w:tc>
          <w:tcPr>
            <w:tcW w:w="260" w:type="dxa"/>
            <w:vAlign w:val="bottom"/>
            <w:tcBorders>
              <w:bottom w:val="single" w:sz="8" w:color="CFF0FC"/>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3,449</w:t>
            </w:r>
          </w:p>
        </w:tc>
        <w:tc>
          <w:tcPr>
            <w:tcW w:w="260" w:type="dxa"/>
            <w:vAlign w:val="bottom"/>
            <w:tcBorders>
              <w:bottom w:val="single" w:sz="8" w:color="CFF0FC"/>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11,602</w:t>
            </w:r>
          </w:p>
        </w:tc>
        <w:tc>
          <w:tcPr>
            <w:tcW w:w="260" w:type="dxa"/>
            <w:vAlign w:val="bottom"/>
            <w:tcBorders>
              <w:bottom w:val="single" w:sz="8" w:color="CFF0FC"/>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6,067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80" w:type="dxa"/>
            <w:vAlign w:val="bottom"/>
            <w:shd w:val="clear" w:color="auto" w:fill="CFF0FC"/>
          </w:tcPr>
          <w:p>
            <w:pPr>
              <w:ind w:left="740"/>
              <w:spacing w:after="0" w:line="169" w:lineRule="exact"/>
              <w:rPr>
                <w:sz w:val="20"/>
                <w:szCs w:val="20"/>
                <w:color w:val="auto"/>
              </w:rPr>
            </w:pPr>
            <w:r>
              <w:rPr>
                <w:rFonts w:ascii="Arial" w:cs="Arial" w:eastAsia="Arial" w:hAnsi="Arial"/>
                <w:sz w:val="15"/>
                <w:szCs w:val="15"/>
                <w:b w:val="1"/>
                <w:bCs w:val="1"/>
                <w:color w:val="auto"/>
              </w:rPr>
              <w:t>Total Investment Income</w:t>
            </w:r>
          </w:p>
        </w:tc>
        <w:tc>
          <w:tcPr>
            <w:tcW w:w="6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63,004</w:t>
            </w:r>
          </w:p>
        </w:tc>
        <w:tc>
          <w:tcPr>
            <w:tcW w:w="260" w:type="dxa"/>
            <w:vAlign w:val="bottom"/>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52,305</w:t>
            </w:r>
          </w:p>
        </w:tc>
        <w:tc>
          <w:tcPr>
            <w:tcW w:w="260" w:type="dxa"/>
            <w:vAlign w:val="bottom"/>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187,173</w:t>
            </w:r>
          </w:p>
        </w:tc>
        <w:tc>
          <w:tcPr>
            <w:tcW w:w="26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162,072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80" w:type="dxa"/>
            <w:vAlign w:val="bottom"/>
          </w:tcPr>
          <w:p>
            <w:pPr>
              <w:spacing w:after="0" w:line="169" w:lineRule="exact"/>
              <w:rPr>
                <w:sz w:val="20"/>
                <w:szCs w:val="20"/>
                <w:color w:val="auto"/>
              </w:rPr>
            </w:pPr>
            <w:r>
              <w:rPr>
                <w:rFonts w:ascii="Arial" w:cs="Arial" w:eastAsia="Arial" w:hAnsi="Arial"/>
                <w:sz w:val="15"/>
                <w:szCs w:val="15"/>
                <w:b w:val="1"/>
                <w:bCs w:val="1"/>
                <w:color w:val="auto"/>
              </w:rPr>
              <w:t>Expenses</w:t>
            </w: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spacing w:after="0"/>
              <w:rPr>
                <w:sz w:val="20"/>
                <w:szCs w:val="20"/>
                <w:color w:val="auto"/>
              </w:rPr>
            </w:pPr>
            <w:r>
              <w:rPr>
                <w:rFonts w:ascii="Arial" w:cs="Arial" w:eastAsia="Arial" w:hAnsi="Arial"/>
                <w:sz w:val="15"/>
                <w:szCs w:val="15"/>
                <w:color w:val="auto"/>
              </w:rPr>
              <w:t>Interest</w:t>
            </w:r>
          </w:p>
        </w:tc>
        <w:tc>
          <w:tcPr>
            <w:tcW w:w="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12,006</w:t>
            </w:r>
          </w:p>
        </w:tc>
        <w:tc>
          <w:tcPr>
            <w:tcW w:w="2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5,498</w:t>
            </w:r>
          </w:p>
        </w:tc>
        <w:tc>
          <w:tcPr>
            <w:tcW w:w="2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32,237</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20,017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spacing w:after="0"/>
              <w:rPr>
                <w:sz w:val="20"/>
                <w:szCs w:val="20"/>
                <w:color w:val="auto"/>
              </w:rPr>
            </w:pPr>
            <w:r>
              <w:rPr>
                <w:rFonts w:ascii="Arial" w:cs="Arial" w:eastAsia="Arial" w:hAnsi="Arial"/>
                <w:sz w:val="15"/>
                <w:szCs w:val="15"/>
                <w:color w:val="auto"/>
              </w:rPr>
              <w:t>Management fees</w:t>
            </w:r>
          </w:p>
        </w:tc>
        <w:tc>
          <w:tcPr>
            <w:tcW w:w="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7,538</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5,995</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21,520</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18,043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spacing w:after="0"/>
              <w:rPr>
                <w:sz w:val="20"/>
                <w:szCs w:val="20"/>
                <w:color w:val="auto"/>
              </w:rPr>
            </w:pPr>
            <w:r>
              <w:rPr>
                <w:rFonts w:ascii="Arial" w:cs="Arial" w:eastAsia="Arial" w:hAnsi="Arial"/>
                <w:sz w:val="15"/>
                <w:szCs w:val="15"/>
                <w:color w:val="auto"/>
              </w:rPr>
              <w:t>Incentive fees</w:t>
            </w:r>
          </w:p>
        </w:tc>
        <w:tc>
          <w:tcPr>
            <w:tcW w:w="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6,850</w:t>
            </w:r>
          </w:p>
        </w:tc>
        <w:tc>
          <w:tcPr>
            <w:tcW w:w="2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6,561</w:t>
            </w:r>
          </w:p>
        </w:tc>
        <w:tc>
          <w:tcPr>
            <w:tcW w:w="2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21,159</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19,808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spacing w:after="0"/>
              <w:rPr>
                <w:sz w:val="20"/>
                <w:szCs w:val="20"/>
                <w:color w:val="auto"/>
              </w:rPr>
            </w:pPr>
            <w:r>
              <w:rPr>
                <w:rFonts w:ascii="Arial" w:cs="Arial" w:eastAsia="Arial" w:hAnsi="Arial"/>
                <w:sz w:val="15"/>
                <w:szCs w:val="15"/>
                <w:color w:val="auto"/>
              </w:rPr>
              <w:t>Professional fees</w:t>
            </w:r>
          </w:p>
        </w:tc>
        <w:tc>
          <w:tcPr>
            <w:tcW w:w="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2,078</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1,211</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5,810</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4,268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spacing w:after="0"/>
              <w:rPr>
                <w:sz w:val="20"/>
                <w:szCs w:val="20"/>
                <w:color w:val="auto"/>
              </w:rPr>
            </w:pPr>
            <w:r>
              <w:rPr>
                <w:rFonts w:ascii="Arial" w:cs="Arial" w:eastAsia="Arial" w:hAnsi="Arial"/>
                <w:sz w:val="15"/>
                <w:szCs w:val="15"/>
                <w:color w:val="auto"/>
              </w:rPr>
              <w:t>Directors’ fees</w:t>
            </w:r>
          </w:p>
        </w:tc>
        <w:tc>
          <w:tcPr>
            <w:tcW w:w="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105</w:t>
            </w:r>
          </w:p>
        </w:tc>
        <w:tc>
          <w:tcPr>
            <w:tcW w:w="2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w:t>
            </w:r>
          </w:p>
        </w:tc>
        <w:tc>
          <w:tcPr>
            <w:tcW w:w="2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309</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Other general and administrative</w:t>
            </w:r>
          </w:p>
        </w:tc>
        <w:tc>
          <w:tcPr>
            <w:tcW w:w="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1,484</w:t>
            </w:r>
          </w:p>
        </w:tc>
        <w:tc>
          <w:tcPr>
            <w:tcW w:w="260" w:type="dxa"/>
            <w:vAlign w:val="bottom"/>
            <w:tcBorders>
              <w:bottom w:val="single" w:sz="8" w:color="CFF0FC"/>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1,371</w:t>
            </w:r>
          </w:p>
        </w:tc>
        <w:tc>
          <w:tcPr>
            <w:tcW w:w="260" w:type="dxa"/>
            <w:vAlign w:val="bottom"/>
            <w:tcBorders>
              <w:bottom w:val="single" w:sz="8" w:color="CFF0FC"/>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4,019</w:t>
            </w:r>
          </w:p>
        </w:tc>
        <w:tc>
          <w:tcPr>
            <w:tcW w:w="26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3,984</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8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expenses</w:t>
            </w:r>
          </w:p>
        </w:tc>
        <w:tc>
          <w:tcPr>
            <w:tcW w:w="6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30,061</w:t>
            </w:r>
          </w:p>
        </w:tc>
        <w:tc>
          <w:tcPr>
            <w:tcW w:w="260" w:type="dxa"/>
            <w:vAlign w:val="bottom"/>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20,736</w:t>
            </w:r>
          </w:p>
        </w:tc>
        <w:tc>
          <w:tcPr>
            <w:tcW w:w="260" w:type="dxa"/>
            <w:vAlign w:val="bottom"/>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85,054</w:t>
            </w:r>
          </w:p>
        </w:tc>
        <w:tc>
          <w:tcPr>
            <w:tcW w:w="26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66,422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80" w:type="dxa"/>
            <w:vAlign w:val="bottom"/>
          </w:tcPr>
          <w:p>
            <w:pPr>
              <w:spacing w:after="0" w:line="169" w:lineRule="exact"/>
              <w:rPr>
                <w:sz w:val="20"/>
                <w:szCs w:val="20"/>
                <w:color w:val="auto"/>
              </w:rPr>
            </w:pPr>
            <w:r>
              <w:rPr>
                <w:rFonts w:ascii="Arial" w:cs="Arial" w:eastAsia="Arial" w:hAnsi="Arial"/>
                <w:sz w:val="15"/>
                <w:szCs w:val="15"/>
                <w:color w:val="auto"/>
              </w:rPr>
              <w:t>Management and incentive fees waived (Note 3)</w:t>
            </w:r>
          </w:p>
        </w:tc>
        <w:tc>
          <w:tcPr>
            <w:tcW w:w="60" w:type="dxa"/>
            <w:vAlign w:val="bottom"/>
          </w:tcPr>
          <w:p>
            <w:pPr>
              <w:spacing w:after="0"/>
              <w:rPr>
                <w:sz w:val="14"/>
                <w:szCs w:val="14"/>
                <w:color w:val="auto"/>
              </w:rPr>
            </w:pPr>
          </w:p>
        </w:tc>
        <w:tc>
          <w:tcPr>
            <w:tcW w:w="156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56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56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(63)</w:t>
            </w:r>
          </w:p>
        </w:tc>
        <w:tc>
          <w:tcPr>
            <w:tcW w:w="80" w:type="dxa"/>
            <w:vAlign w:val="bottom"/>
          </w:tcPr>
          <w:p>
            <w:pPr>
              <w:spacing w:after="0"/>
              <w:rPr>
                <w:sz w:val="14"/>
                <w:szCs w:val="14"/>
                <w:color w:val="auto"/>
              </w:rPr>
            </w:pPr>
          </w:p>
        </w:tc>
        <w:tc>
          <w:tcPr>
            <w:tcW w:w="140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5080" w:type="dxa"/>
            <w:vAlign w:val="bottom"/>
            <w:tcBorders>
              <w:top w:val="single" w:sz="8" w:color="CFF0FC"/>
            </w:tcBorders>
            <w:shd w:val="clear" w:color="auto" w:fill="CFF0FC"/>
          </w:tcPr>
          <w:p>
            <w:pPr>
              <w:ind w:left="740"/>
              <w:spacing w:after="0" w:line="169" w:lineRule="exact"/>
              <w:rPr>
                <w:sz w:val="20"/>
                <w:szCs w:val="20"/>
                <w:color w:val="auto"/>
              </w:rPr>
            </w:pPr>
            <w:r>
              <w:rPr>
                <w:rFonts w:ascii="Arial" w:cs="Arial" w:eastAsia="Arial" w:hAnsi="Arial"/>
                <w:sz w:val="15"/>
                <w:szCs w:val="15"/>
                <w:b w:val="1"/>
                <w:bCs w:val="1"/>
                <w:color w:val="auto"/>
              </w:rPr>
              <w:t>Net Expenses</w:t>
            </w:r>
          </w:p>
        </w:tc>
        <w:tc>
          <w:tcPr>
            <w:tcW w:w="60" w:type="dxa"/>
            <w:vAlign w:val="bottom"/>
            <w:tcBorders>
              <w:top w:val="single" w:sz="8" w:color="auto"/>
              <w:bottom w:val="single" w:sz="8" w:color="auto"/>
            </w:tcBorders>
            <w:shd w:val="clear" w:color="auto" w:fill="CFF0FC"/>
          </w:tcPr>
          <w:p>
            <w:pPr>
              <w:spacing w:after="0"/>
              <w:rPr>
                <w:sz w:val="14"/>
                <w:szCs w:val="14"/>
                <w:color w:val="auto"/>
              </w:rPr>
            </w:pPr>
          </w:p>
        </w:tc>
        <w:tc>
          <w:tcPr>
            <w:tcW w:w="13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30,061</w:t>
            </w:r>
          </w:p>
        </w:tc>
        <w:tc>
          <w:tcPr>
            <w:tcW w:w="26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auto"/>
              <w:bottom w:val="single" w:sz="8" w:color="auto"/>
            </w:tcBorders>
            <w:shd w:val="clear" w:color="auto" w:fill="CFF0FC"/>
          </w:tcPr>
          <w:p>
            <w:pPr>
              <w:spacing w:after="0"/>
              <w:rPr>
                <w:sz w:val="14"/>
                <w:szCs w:val="14"/>
                <w:color w:val="auto"/>
              </w:rPr>
            </w:pPr>
          </w:p>
        </w:tc>
        <w:tc>
          <w:tcPr>
            <w:tcW w:w="13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20,736</w:t>
            </w:r>
          </w:p>
        </w:tc>
        <w:tc>
          <w:tcPr>
            <w:tcW w:w="26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auto"/>
              <w:bottom w:val="single" w:sz="8" w:color="auto"/>
            </w:tcBorders>
            <w:shd w:val="clear" w:color="auto" w:fill="CFF0FC"/>
          </w:tcPr>
          <w:p>
            <w:pPr>
              <w:spacing w:after="0"/>
              <w:rPr>
                <w:sz w:val="14"/>
                <w:szCs w:val="14"/>
                <w:color w:val="auto"/>
              </w:rPr>
            </w:pPr>
          </w:p>
        </w:tc>
        <w:tc>
          <w:tcPr>
            <w:tcW w:w="13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84,991</w:t>
            </w:r>
          </w:p>
        </w:tc>
        <w:tc>
          <w:tcPr>
            <w:tcW w:w="26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14"/>
                <w:szCs w:val="14"/>
                <w:color w:val="auto"/>
              </w:rPr>
            </w:pPr>
          </w:p>
        </w:tc>
        <w:tc>
          <w:tcPr>
            <w:tcW w:w="13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66,422</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80" w:type="dxa"/>
            <w:vAlign w:val="bottom"/>
          </w:tcPr>
          <w:p>
            <w:pPr>
              <w:spacing w:after="0" w:line="169" w:lineRule="exact"/>
              <w:rPr>
                <w:sz w:val="20"/>
                <w:szCs w:val="20"/>
                <w:color w:val="auto"/>
              </w:rPr>
            </w:pPr>
            <w:r>
              <w:rPr>
                <w:rFonts w:ascii="Arial" w:cs="Arial" w:eastAsia="Arial" w:hAnsi="Arial"/>
                <w:sz w:val="15"/>
                <w:szCs w:val="15"/>
                <w:b w:val="1"/>
                <w:bCs w:val="1"/>
                <w:color w:val="auto"/>
              </w:rPr>
              <w:t>Net Investment Income Before Income Taxes</w:t>
            </w:r>
          </w:p>
        </w:tc>
        <w:tc>
          <w:tcPr>
            <w:tcW w:w="60" w:type="dxa"/>
            <w:vAlign w:val="bottom"/>
          </w:tcPr>
          <w:p>
            <w:pPr>
              <w:spacing w:after="0"/>
              <w:rPr>
                <w:sz w:val="14"/>
                <w:szCs w:val="14"/>
                <w:color w:val="auto"/>
              </w:rPr>
            </w:pPr>
          </w:p>
        </w:tc>
        <w:tc>
          <w:tcPr>
            <w:tcW w:w="1300" w:type="dxa"/>
            <w:vAlign w:val="bottom"/>
          </w:tcPr>
          <w:p>
            <w:pPr>
              <w:jc w:val="right"/>
              <w:spacing w:after="0" w:line="169" w:lineRule="exact"/>
              <w:rPr>
                <w:sz w:val="20"/>
                <w:szCs w:val="20"/>
                <w:color w:val="auto"/>
              </w:rPr>
            </w:pPr>
            <w:r>
              <w:rPr>
                <w:rFonts w:ascii="Arial" w:cs="Arial" w:eastAsia="Arial" w:hAnsi="Arial"/>
                <w:sz w:val="15"/>
                <w:szCs w:val="15"/>
                <w:color w:val="auto"/>
              </w:rPr>
              <w:t>32,943</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jc w:val="right"/>
              <w:spacing w:after="0" w:line="169" w:lineRule="exact"/>
              <w:rPr>
                <w:sz w:val="20"/>
                <w:szCs w:val="20"/>
                <w:color w:val="auto"/>
              </w:rPr>
            </w:pPr>
            <w:r>
              <w:rPr>
                <w:rFonts w:ascii="Arial" w:cs="Arial" w:eastAsia="Arial" w:hAnsi="Arial"/>
                <w:sz w:val="15"/>
                <w:szCs w:val="15"/>
                <w:color w:val="auto"/>
              </w:rPr>
              <w:t>31,569</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jc w:val="right"/>
              <w:spacing w:after="0" w:line="169" w:lineRule="exact"/>
              <w:rPr>
                <w:sz w:val="20"/>
                <w:szCs w:val="20"/>
                <w:color w:val="auto"/>
              </w:rPr>
            </w:pPr>
            <w:r>
              <w:rPr>
                <w:rFonts w:ascii="Arial" w:cs="Arial" w:eastAsia="Arial" w:hAnsi="Arial"/>
                <w:sz w:val="15"/>
                <w:szCs w:val="15"/>
                <w:color w:val="auto"/>
              </w:rPr>
              <w:t>102,182</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spacing w:after="0" w:line="169" w:lineRule="exact"/>
              <w:rPr>
                <w:sz w:val="20"/>
                <w:szCs w:val="20"/>
                <w:color w:val="auto"/>
              </w:rPr>
            </w:pPr>
            <w:r>
              <w:rPr>
                <w:rFonts w:ascii="Arial" w:cs="Arial" w:eastAsia="Arial" w:hAnsi="Arial"/>
                <w:sz w:val="15"/>
                <w:szCs w:val="15"/>
                <w:color w:val="auto"/>
              </w:rPr>
              <w:t>95,650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spacing w:after="0"/>
              <w:rPr>
                <w:sz w:val="20"/>
                <w:szCs w:val="20"/>
                <w:color w:val="auto"/>
              </w:rPr>
            </w:pPr>
            <w:r>
              <w:rPr>
                <w:rFonts w:ascii="Arial" w:cs="Arial" w:eastAsia="Arial" w:hAnsi="Arial"/>
                <w:sz w:val="15"/>
                <w:szCs w:val="15"/>
                <w:color w:val="auto"/>
              </w:rPr>
              <w:t>Income taxes, including excise taxes</w:t>
            </w:r>
          </w:p>
        </w:tc>
        <w:tc>
          <w:tcPr>
            <w:tcW w:w="6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650</w:t>
            </w:r>
          </w:p>
        </w:tc>
        <w:tc>
          <w:tcPr>
            <w:tcW w:w="260" w:type="dxa"/>
            <w:vAlign w:val="bottom"/>
            <w:shd w:val="clear" w:color="auto" w:fill="CFF0FC"/>
          </w:tcPr>
          <w:p>
            <w:pPr>
              <w:spacing w:after="0"/>
              <w:rPr>
                <w:sz w:val="15"/>
                <w:szCs w:val="15"/>
                <w:color w:val="auto"/>
              </w:rPr>
            </w:pPr>
          </w:p>
        </w:tc>
        <w:tc>
          <w:tcPr>
            <w:tcW w:w="6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640</w:t>
            </w:r>
          </w:p>
        </w:tc>
        <w:tc>
          <w:tcPr>
            <w:tcW w:w="260" w:type="dxa"/>
            <w:vAlign w:val="bottom"/>
            <w:shd w:val="clear" w:color="auto" w:fill="CFF0FC"/>
          </w:tcPr>
          <w:p>
            <w:pPr>
              <w:spacing w:after="0"/>
              <w:rPr>
                <w:sz w:val="15"/>
                <w:szCs w:val="15"/>
                <w:color w:val="auto"/>
              </w:rPr>
            </w:pPr>
          </w:p>
        </w:tc>
        <w:tc>
          <w:tcPr>
            <w:tcW w:w="6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2,400</w:t>
            </w:r>
          </w:p>
        </w:tc>
        <w:tc>
          <w:tcPr>
            <w:tcW w:w="26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2,270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80" w:type="dxa"/>
            <w:vAlign w:val="bottom"/>
          </w:tcPr>
          <w:p>
            <w:pPr>
              <w:spacing w:after="0" w:line="169" w:lineRule="exact"/>
              <w:rPr>
                <w:sz w:val="20"/>
                <w:szCs w:val="20"/>
                <w:color w:val="auto"/>
              </w:rPr>
            </w:pPr>
            <w:r>
              <w:rPr>
                <w:rFonts w:ascii="Arial" w:cs="Arial" w:eastAsia="Arial" w:hAnsi="Arial"/>
                <w:sz w:val="15"/>
                <w:szCs w:val="15"/>
                <w:b w:val="1"/>
                <w:bCs w:val="1"/>
                <w:color w:val="auto"/>
              </w:rPr>
              <w:t>Net Investment Income</w:t>
            </w:r>
          </w:p>
        </w:tc>
        <w:tc>
          <w:tcPr>
            <w:tcW w:w="60" w:type="dxa"/>
            <w:vAlign w:val="bottom"/>
          </w:tcPr>
          <w:p>
            <w:pPr>
              <w:spacing w:after="0"/>
              <w:rPr>
                <w:sz w:val="14"/>
                <w:szCs w:val="14"/>
                <w:color w:val="auto"/>
              </w:rPr>
            </w:pPr>
          </w:p>
        </w:tc>
        <w:tc>
          <w:tcPr>
            <w:tcW w:w="1300" w:type="dxa"/>
            <w:vAlign w:val="bottom"/>
          </w:tcPr>
          <w:p>
            <w:pPr>
              <w:jc w:val="right"/>
              <w:spacing w:after="0" w:line="169" w:lineRule="exact"/>
              <w:rPr>
                <w:sz w:val="20"/>
                <w:szCs w:val="20"/>
                <w:color w:val="auto"/>
              </w:rPr>
            </w:pPr>
            <w:r>
              <w:rPr>
                <w:rFonts w:ascii="Arial" w:cs="Arial" w:eastAsia="Arial" w:hAnsi="Arial"/>
                <w:sz w:val="15"/>
                <w:szCs w:val="15"/>
                <w:color w:val="auto"/>
              </w:rPr>
              <w:t>32,293</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jc w:val="right"/>
              <w:spacing w:after="0" w:line="169" w:lineRule="exact"/>
              <w:rPr>
                <w:sz w:val="20"/>
                <w:szCs w:val="20"/>
                <w:color w:val="auto"/>
              </w:rPr>
            </w:pPr>
            <w:r>
              <w:rPr>
                <w:rFonts w:ascii="Arial" w:cs="Arial" w:eastAsia="Arial" w:hAnsi="Arial"/>
                <w:sz w:val="15"/>
                <w:szCs w:val="15"/>
                <w:color w:val="auto"/>
              </w:rPr>
              <w:t>30,929</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jc w:val="right"/>
              <w:spacing w:after="0" w:line="169" w:lineRule="exact"/>
              <w:rPr>
                <w:sz w:val="20"/>
                <w:szCs w:val="20"/>
                <w:color w:val="auto"/>
              </w:rPr>
            </w:pPr>
            <w:r>
              <w:rPr>
                <w:rFonts w:ascii="Arial" w:cs="Arial" w:eastAsia="Arial" w:hAnsi="Arial"/>
                <w:sz w:val="15"/>
                <w:szCs w:val="15"/>
                <w:color w:val="auto"/>
              </w:rPr>
              <w:t>99,782</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spacing w:after="0" w:line="169" w:lineRule="exact"/>
              <w:rPr>
                <w:sz w:val="20"/>
                <w:szCs w:val="20"/>
                <w:color w:val="auto"/>
              </w:rPr>
            </w:pPr>
            <w:r>
              <w:rPr>
                <w:rFonts w:ascii="Arial" w:cs="Arial" w:eastAsia="Arial" w:hAnsi="Arial"/>
                <w:sz w:val="15"/>
                <w:szCs w:val="15"/>
                <w:color w:val="auto"/>
              </w:rPr>
              <w:t>93,380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Unrealized and Realized Gains (Losses)</w:t>
            </w:r>
          </w:p>
        </w:tc>
        <w:tc>
          <w:tcPr>
            <w:tcW w:w="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spacing w:after="0"/>
              <w:rPr>
                <w:sz w:val="20"/>
                <w:szCs w:val="20"/>
                <w:color w:val="auto"/>
              </w:rPr>
            </w:pPr>
            <w:r>
              <w:rPr>
                <w:rFonts w:ascii="Arial" w:cs="Arial" w:eastAsia="Arial" w:hAnsi="Arial"/>
                <w:sz w:val="15"/>
                <w:szCs w:val="15"/>
                <w:color w:val="auto"/>
              </w:rPr>
              <w:t>Net change in unrealized gains (losses):</w:t>
            </w: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Non-controlled, non-affiliated investments</w:t>
            </w:r>
          </w:p>
        </w:tc>
        <w:tc>
          <w:tcPr>
            <w:tcW w:w="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12,129</w:t>
            </w:r>
          </w:p>
        </w:tc>
        <w:tc>
          <w:tcPr>
            <w:tcW w:w="2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(564)</w:t>
            </w:r>
          </w:p>
        </w:tc>
        <w:tc>
          <w:tcPr>
            <w:tcW w:w="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15,193</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6,831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260"/>
              <w:spacing w:after="0"/>
              <w:rPr>
                <w:sz w:val="20"/>
                <w:szCs w:val="20"/>
                <w:color w:val="auto"/>
              </w:rPr>
            </w:pPr>
            <w:r>
              <w:rPr>
                <w:rFonts w:ascii="Arial" w:cs="Arial" w:eastAsia="Arial" w:hAnsi="Arial"/>
                <w:sz w:val="15"/>
                <w:szCs w:val="15"/>
                <w:color w:val="auto"/>
              </w:rPr>
              <w:t>Non-controlled, affiliated investments</w:t>
            </w:r>
          </w:p>
        </w:tc>
        <w:tc>
          <w:tcPr>
            <w:tcW w:w="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64</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55</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Controlled, affiliated investments</w:t>
            </w:r>
          </w:p>
        </w:tc>
        <w:tc>
          <w:tcPr>
            <w:tcW w:w="6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(3,791)</w:t>
            </w:r>
          </w:p>
        </w:tc>
        <w:tc>
          <w:tcPr>
            <w:tcW w:w="6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(4,680)</w:t>
            </w:r>
          </w:p>
        </w:tc>
        <w:tc>
          <w:tcPr>
            <w:tcW w:w="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1,454</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8,617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260"/>
              <w:spacing w:after="0"/>
              <w:rPr>
                <w:sz w:val="20"/>
                <w:szCs w:val="20"/>
                <w:color w:val="auto"/>
              </w:rPr>
            </w:pPr>
            <w:r>
              <w:rPr>
                <w:rFonts w:ascii="Arial" w:cs="Arial" w:eastAsia="Arial" w:hAnsi="Arial"/>
                <w:sz w:val="15"/>
                <w:szCs w:val="15"/>
                <w:color w:val="auto"/>
              </w:rPr>
              <w:t>Translation of other assets and liabilities in foreign currencies</w:t>
            </w:r>
          </w:p>
        </w:tc>
        <w:tc>
          <w:tcPr>
            <w:tcW w:w="60" w:type="dxa"/>
            <w:vAlign w:val="bottom"/>
          </w:tcPr>
          <w:p>
            <w:pPr>
              <w:spacing w:after="0"/>
              <w:rPr>
                <w:sz w:val="15"/>
                <w:szCs w:val="15"/>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5"/>
                <w:szCs w:val="15"/>
                <w:color w:val="auto"/>
              </w:rPr>
              <w:t>(1,588)</w:t>
            </w:r>
          </w:p>
        </w:tc>
        <w:tc>
          <w:tcPr>
            <w:tcW w:w="60" w:type="dxa"/>
            <w:vAlign w:val="bottom"/>
          </w:tcPr>
          <w:p>
            <w:pPr>
              <w:spacing w:after="0"/>
              <w:rPr>
                <w:sz w:val="15"/>
                <w:szCs w:val="15"/>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5"/>
                <w:szCs w:val="15"/>
                <w:color w:val="auto"/>
              </w:rPr>
              <w:t>(1,701)</w:t>
            </w:r>
          </w:p>
        </w:tc>
        <w:tc>
          <w:tcPr>
            <w:tcW w:w="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2,316</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5"/>
                <w:szCs w:val="15"/>
                <w:color w:val="auto"/>
              </w:rPr>
              <w:t>(10,359)</w:t>
            </w: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Interest rate swaps</w:t>
            </w:r>
          </w:p>
        </w:tc>
        <w:tc>
          <w:tcPr>
            <w:tcW w:w="6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(2,002)</w:t>
            </w:r>
          </w:p>
        </w:tc>
        <w:tc>
          <w:tcPr>
            <w:tcW w:w="6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(1,682)</w:t>
            </w:r>
          </w:p>
        </w:tc>
        <w:tc>
          <w:tcPr>
            <w:tcW w:w="6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(7,980)</w:t>
            </w:r>
          </w:p>
        </w:tc>
        <w:tc>
          <w:tcPr>
            <w:tcW w:w="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ind w:left="740"/>
              <w:spacing w:after="0"/>
              <w:rPr>
                <w:sz w:val="20"/>
                <w:szCs w:val="20"/>
                <w:color w:val="auto"/>
              </w:rPr>
            </w:pPr>
            <w:r>
              <w:rPr>
                <w:rFonts w:ascii="Arial" w:cs="Arial" w:eastAsia="Arial" w:hAnsi="Arial"/>
                <w:sz w:val="15"/>
                <w:szCs w:val="15"/>
                <w:color w:val="auto"/>
              </w:rPr>
              <w:t>Total net change in unrealized gains (losses)</w:t>
            </w:r>
          </w:p>
        </w:tc>
        <w:tc>
          <w:tcPr>
            <w:tcW w:w="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jc w:val="right"/>
              <w:spacing w:after="0" w:line="169" w:lineRule="exact"/>
              <w:rPr>
                <w:sz w:val="20"/>
                <w:szCs w:val="20"/>
                <w:color w:val="auto"/>
              </w:rPr>
            </w:pPr>
            <w:r>
              <w:rPr>
                <w:rFonts w:ascii="Arial" w:cs="Arial" w:eastAsia="Arial" w:hAnsi="Arial"/>
                <w:sz w:val="15"/>
                <w:szCs w:val="15"/>
                <w:color w:val="auto"/>
              </w:rPr>
              <w:t>4,812</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(8,627)</w:t>
            </w:r>
          </w:p>
        </w:tc>
        <w:tc>
          <w:tcPr>
            <w:tcW w:w="60" w:type="dxa"/>
            <w:vAlign w:val="bottom"/>
          </w:tcPr>
          <w:p>
            <w:pPr>
              <w:spacing w:after="0"/>
              <w:rPr>
                <w:sz w:val="14"/>
                <w:szCs w:val="14"/>
                <w:color w:val="auto"/>
              </w:rPr>
            </w:pPr>
          </w:p>
        </w:tc>
        <w:tc>
          <w:tcPr>
            <w:tcW w:w="1300" w:type="dxa"/>
            <w:vAlign w:val="bottom"/>
          </w:tcPr>
          <w:p>
            <w:pPr>
              <w:jc w:val="right"/>
              <w:spacing w:after="0" w:line="169" w:lineRule="exact"/>
              <w:rPr>
                <w:sz w:val="20"/>
                <w:szCs w:val="20"/>
                <w:color w:val="auto"/>
              </w:rPr>
            </w:pPr>
            <w:r>
              <w:rPr>
                <w:rFonts w:ascii="Arial" w:cs="Arial" w:eastAsia="Arial" w:hAnsi="Arial"/>
                <w:sz w:val="15"/>
                <w:szCs w:val="15"/>
                <w:color w:val="auto"/>
              </w:rPr>
              <w:t>11,038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spacing w:after="0" w:line="169" w:lineRule="exact"/>
              <w:rPr>
                <w:sz w:val="20"/>
                <w:szCs w:val="20"/>
                <w:color w:val="auto"/>
              </w:rPr>
            </w:pPr>
            <w:r>
              <w:rPr>
                <w:rFonts w:ascii="Arial" w:cs="Arial" w:eastAsia="Arial" w:hAnsi="Arial"/>
                <w:sz w:val="15"/>
                <w:szCs w:val="15"/>
                <w:color w:val="auto"/>
              </w:rPr>
              <w:t>5,694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8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Realized gains (losses):</w:t>
            </w:r>
          </w:p>
        </w:tc>
        <w:tc>
          <w:tcPr>
            <w:tcW w:w="60" w:type="dxa"/>
            <w:vAlign w:val="bottom"/>
            <w:tcBorders>
              <w:top w:val="single" w:sz="8" w:color="auto"/>
            </w:tcBorders>
            <w:shd w:val="clear" w:color="auto" w:fill="CFF0FC"/>
          </w:tcPr>
          <w:p>
            <w:pPr>
              <w:spacing w:after="0"/>
              <w:rPr>
                <w:sz w:val="14"/>
                <w:szCs w:val="14"/>
                <w:color w:val="auto"/>
              </w:rPr>
            </w:pPr>
          </w:p>
        </w:tc>
        <w:tc>
          <w:tcPr>
            <w:tcW w:w="13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auto"/>
            </w:tcBorders>
            <w:shd w:val="clear" w:color="auto" w:fill="CFF0FC"/>
          </w:tcPr>
          <w:p>
            <w:pPr>
              <w:spacing w:after="0"/>
              <w:rPr>
                <w:sz w:val="14"/>
                <w:szCs w:val="14"/>
                <w:color w:val="auto"/>
              </w:rPr>
            </w:pPr>
          </w:p>
        </w:tc>
        <w:tc>
          <w:tcPr>
            <w:tcW w:w="13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auto"/>
            </w:tcBorders>
            <w:shd w:val="clear" w:color="auto" w:fill="CFF0FC"/>
          </w:tcPr>
          <w:p>
            <w:pPr>
              <w:spacing w:after="0"/>
              <w:rPr>
                <w:sz w:val="14"/>
                <w:szCs w:val="14"/>
                <w:color w:val="auto"/>
              </w:rPr>
            </w:pPr>
          </w:p>
        </w:tc>
        <w:tc>
          <w:tcPr>
            <w:tcW w:w="130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130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260"/>
              <w:spacing w:after="0"/>
              <w:rPr>
                <w:sz w:val="20"/>
                <w:szCs w:val="20"/>
                <w:color w:val="auto"/>
              </w:rPr>
            </w:pPr>
            <w:r>
              <w:rPr>
                <w:rFonts w:ascii="Arial" w:cs="Arial" w:eastAsia="Arial" w:hAnsi="Arial"/>
                <w:sz w:val="15"/>
                <w:szCs w:val="15"/>
                <w:color w:val="auto"/>
              </w:rPr>
              <w:t>Non-controlled, non-affiliated investments</w:t>
            </w:r>
          </w:p>
        </w:tc>
        <w:tc>
          <w:tcPr>
            <w:tcW w:w="60" w:type="dxa"/>
            <w:vAlign w:val="bottom"/>
          </w:tcPr>
          <w:p>
            <w:pPr>
              <w:spacing w:after="0"/>
              <w:rPr>
                <w:sz w:val="15"/>
                <w:szCs w:val="15"/>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2,413</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3,093</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7,008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Non-controlled, affiliated investments</w:t>
            </w:r>
          </w:p>
        </w:tc>
        <w:tc>
          <w:tcPr>
            <w:tcW w:w="6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080" w:type="dxa"/>
            <w:vAlign w:val="bottom"/>
          </w:tcPr>
          <w:p>
            <w:pPr>
              <w:ind w:left="260"/>
              <w:spacing w:after="0"/>
              <w:rPr>
                <w:sz w:val="20"/>
                <w:szCs w:val="20"/>
                <w:color w:val="auto"/>
              </w:rPr>
            </w:pPr>
            <w:r>
              <w:rPr>
                <w:rFonts w:ascii="Arial" w:cs="Arial" w:eastAsia="Arial" w:hAnsi="Arial"/>
                <w:sz w:val="15"/>
                <w:szCs w:val="15"/>
                <w:color w:val="auto"/>
              </w:rPr>
              <w:t>Controlled, affiliated investments</w:t>
            </w:r>
          </w:p>
        </w:tc>
        <w:tc>
          <w:tcPr>
            <w:tcW w:w="60" w:type="dxa"/>
            <w:vAlign w:val="bottom"/>
          </w:tcPr>
          <w:p>
            <w:pPr>
              <w:spacing w:after="0"/>
              <w:rPr>
                <w:sz w:val="15"/>
                <w:szCs w:val="15"/>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5"/>
                <w:szCs w:val="15"/>
                <w:color w:val="auto"/>
              </w:rPr>
              <w:t>(9,589)</w:t>
            </w:r>
          </w:p>
        </w:tc>
        <w:tc>
          <w:tcPr>
            <w:tcW w:w="80" w:type="dxa"/>
            <w:vAlign w:val="bottom"/>
          </w:tcPr>
          <w:p>
            <w:pPr>
              <w:spacing w:after="0"/>
              <w:rPr>
                <w:sz w:val="15"/>
                <w:szCs w:val="15"/>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5"/>
                <w:szCs w:val="15"/>
                <w:color w:val="auto"/>
              </w:rPr>
              <w:t>(21,776)</w:t>
            </w:r>
          </w:p>
        </w:tc>
        <w:tc>
          <w:tcPr>
            <w:tcW w:w="0" w:type="dxa"/>
            <w:vAlign w:val="bottom"/>
          </w:tcPr>
          <w:p>
            <w:pPr>
              <w:spacing w:after="0"/>
              <w:rPr>
                <w:sz w:val="1"/>
                <w:szCs w:val="1"/>
                <w:color w:val="auto"/>
              </w:rPr>
            </w:pPr>
          </w:p>
        </w:tc>
      </w:tr>
      <w:tr>
        <w:trPr>
          <w:trHeight w:val="176"/>
        </w:trPr>
        <w:tc>
          <w:tcPr>
            <w:tcW w:w="50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Foreign currency transactions</w:t>
            </w:r>
          </w:p>
        </w:tc>
        <w:tc>
          <w:tcPr>
            <w:tcW w:w="6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275</w:t>
            </w:r>
          </w:p>
        </w:tc>
        <w:tc>
          <w:tcPr>
            <w:tcW w:w="260" w:type="dxa"/>
            <w:vAlign w:val="bottom"/>
            <w:shd w:val="clear" w:color="auto" w:fill="CFF0FC"/>
          </w:tcPr>
          <w:p>
            <w:pPr>
              <w:spacing w:after="0"/>
              <w:rPr>
                <w:sz w:val="15"/>
                <w:szCs w:val="15"/>
                <w:color w:val="auto"/>
              </w:rPr>
            </w:pPr>
          </w:p>
        </w:tc>
        <w:tc>
          <w:tcPr>
            <w:tcW w:w="6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44</w:t>
            </w:r>
          </w:p>
        </w:tc>
        <w:tc>
          <w:tcPr>
            <w:tcW w:w="260" w:type="dxa"/>
            <w:vAlign w:val="bottom"/>
            <w:shd w:val="clear" w:color="auto" w:fill="CFF0FC"/>
          </w:tcPr>
          <w:p>
            <w:pPr>
              <w:spacing w:after="0"/>
              <w:rPr>
                <w:sz w:val="15"/>
                <w:szCs w:val="15"/>
                <w:color w:val="auto"/>
              </w:rPr>
            </w:pPr>
          </w:p>
        </w:tc>
        <w:tc>
          <w:tcPr>
            <w:tcW w:w="6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461</w:t>
            </w:r>
          </w:p>
        </w:tc>
        <w:tc>
          <w:tcPr>
            <w:tcW w:w="26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557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80" w:type="dxa"/>
            <w:vAlign w:val="bottom"/>
          </w:tcPr>
          <w:p>
            <w:pPr>
              <w:ind w:left="740"/>
              <w:spacing w:after="0" w:line="169" w:lineRule="exact"/>
              <w:rPr>
                <w:sz w:val="20"/>
                <w:szCs w:val="20"/>
                <w:color w:val="auto"/>
              </w:rPr>
            </w:pPr>
            <w:r>
              <w:rPr>
                <w:rFonts w:ascii="Arial" w:cs="Arial" w:eastAsia="Arial" w:hAnsi="Arial"/>
                <w:sz w:val="15"/>
                <w:szCs w:val="15"/>
                <w:color w:val="auto"/>
              </w:rPr>
              <w:t>Total net realized gains (losses)</w:t>
            </w:r>
          </w:p>
        </w:tc>
        <w:tc>
          <w:tcPr>
            <w:tcW w:w="60" w:type="dxa"/>
            <w:vAlign w:val="bottom"/>
          </w:tcPr>
          <w:p>
            <w:pPr>
              <w:spacing w:after="0"/>
              <w:rPr>
                <w:sz w:val="14"/>
                <w:szCs w:val="14"/>
                <w:color w:val="auto"/>
              </w:rPr>
            </w:pPr>
          </w:p>
        </w:tc>
        <w:tc>
          <w:tcPr>
            <w:tcW w:w="1300" w:type="dxa"/>
            <w:vAlign w:val="bottom"/>
          </w:tcPr>
          <w:p>
            <w:pPr>
              <w:jc w:val="right"/>
              <w:spacing w:after="0" w:line="169" w:lineRule="exact"/>
              <w:rPr>
                <w:sz w:val="20"/>
                <w:szCs w:val="20"/>
                <w:color w:val="auto"/>
              </w:rPr>
            </w:pPr>
            <w:r>
              <w:rPr>
                <w:rFonts w:ascii="Arial" w:cs="Arial" w:eastAsia="Arial" w:hAnsi="Arial"/>
                <w:sz w:val="15"/>
                <w:szCs w:val="15"/>
                <w:color w:val="auto"/>
              </w:rPr>
              <w:t>275</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jc w:val="right"/>
              <w:spacing w:after="0" w:line="169" w:lineRule="exact"/>
              <w:rPr>
                <w:sz w:val="20"/>
                <w:szCs w:val="20"/>
                <w:color w:val="auto"/>
              </w:rPr>
            </w:pPr>
            <w:r>
              <w:rPr>
                <w:rFonts w:ascii="Arial" w:cs="Arial" w:eastAsia="Arial" w:hAnsi="Arial"/>
                <w:sz w:val="15"/>
                <w:szCs w:val="15"/>
                <w:color w:val="auto"/>
              </w:rPr>
              <w:t>2,457</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(6,035)</w:t>
            </w:r>
          </w:p>
        </w:tc>
        <w:tc>
          <w:tcPr>
            <w:tcW w:w="80" w:type="dxa"/>
            <w:vAlign w:val="bottom"/>
          </w:tcPr>
          <w:p>
            <w:pPr>
              <w:spacing w:after="0"/>
              <w:rPr>
                <w:sz w:val="14"/>
                <w:szCs w:val="14"/>
                <w:color w:val="auto"/>
              </w:rPr>
            </w:pPr>
          </w:p>
        </w:tc>
        <w:tc>
          <w:tcPr>
            <w:tcW w:w="14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(14,211)</w:t>
            </w:r>
          </w:p>
        </w:tc>
        <w:tc>
          <w:tcPr>
            <w:tcW w:w="0" w:type="dxa"/>
            <w:vAlign w:val="bottom"/>
          </w:tcPr>
          <w:p>
            <w:pPr>
              <w:spacing w:after="0"/>
              <w:rPr>
                <w:sz w:val="1"/>
                <w:szCs w:val="1"/>
                <w:color w:val="auto"/>
              </w:rPr>
            </w:pPr>
          </w:p>
        </w:tc>
      </w:tr>
      <w:tr>
        <w:trPr>
          <w:trHeight w:val="20"/>
        </w:trPr>
        <w:tc>
          <w:tcPr>
            <w:tcW w:w="5080" w:type="dxa"/>
            <w:vAlign w:val="bottom"/>
            <w:vMerge w:val="restart"/>
            <w:shd w:val="clear" w:color="auto" w:fill="CFF0FC"/>
          </w:tcPr>
          <w:p>
            <w:pPr>
              <w:ind w:left="1000"/>
              <w:spacing w:after="0"/>
              <w:rPr>
                <w:sz w:val="20"/>
                <w:szCs w:val="20"/>
                <w:color w:val="auto"/>
              </w:rPr>
            </w:pPr>
            <w:r>
              <w:rPr>
                <w:rFonts w:ascii="Arial" w:cs="Arial" w:eastAsia="Arial" w:hAnsi="Arial"/>
                <w:sz w:val="15"/>
                <w:szCs w:val="15"/>
                <w:b w:val="1"/>
                <w:bCs w:val="1"/>
                <w:color w:val="auto"/>
              </w:rPr>
              <w:t>Total Unrealized and Realized Gains (Losses)</w:t>
            </w:r>
          </w:p>
        </w:tc>
        <w:tc>
          <w:tcPr>
            <w:tcW w:w="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8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5,087</w:t>
            </w:r>
          </w:p>
        </w:tc>
        <w:tc>
          <w:tcPr>
            <w:tcW w:w="2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(6,170)</w:t>
            </w:r>
          </w:p>
        </w:tc>
        <w:tc>
          <w:tcPr>
            <w:tcW w:w="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5,003</w:t>
            </w: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(8,517)</w:t>
            </w:r>
          </w:p>
        </w:tc>
        <w:tc>
          <w:tcPr>
            <w:tcW w:w="0" w:type="dxa"/>
            <w:vAlign w:val="bottom"/>
          </w:tcPr>
          <w:p>
            <w:pPr>
              <w:spacing w:after="0"/>
              <w:rPr>
                <w:sz w:val="1"/>
                <w:szCs w:val="1"/>
                <w:color w:val="auto"/>
              </w:rPr>
            </w:pPr>
          </w:p>
        </w:tc>
      </w:tr>
      <w:tr>
        <w:trPr>
          <w:trHeight w:val="209"/>
        </w:trPr>
        <w:tc>
          <w:tcPr>
            <w:tcW w:w="5080" w:type="dxa"/>
            <w:vAlign w:val="bottom"/>
            <w:tcBorders>
              <w:bottom w:val="single" w:sz="8" w:color="CFF0FC"/>
            </w:tcBorders>
          </w:tcPr>
          <w:p>
            <w:pPr>
              <w:ind w:left="1000"/>
              <w:spacing w:after="0" w:line="169" w:lineRule="exact"/>
              <w:rPr>
                <w:sz w:val="20"/>
                <w:szCs w:val="20"/>
                <w:color w:val="auto"/>
              </w:rPr>
            </w:pPr>
            <w:r>
              <w:rPr>
                <w:rFonts w:ascii="Arial" w:cs="Arial" w:eastAsia="Arial" w:hAnsi="Arial"/>
                <w:sz w:val="15"/>
                <w:szCs w:val="15"/>
                <w:b w:val="1"/>
                <w:bCs w:val="1"/>
                <w:color w:val="auto"/>
              </w:rPr>
              <w:t>Increase in Net Assets Resulting from Operations</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37,380</w:t>
            </w:r>
          </w:p>
        </w:tc>
        <w:tc>
          <w:tcPr>
            <w:tcW w:w="260" w:type="dxa"/>
            <w:vAlign w:val="bottom"/>
            <w:tcBorders>
              <w:bottom w:val="single" w:sz="8" w:color="CFF0FC"/>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24,759</w:t>
            </w:r>
          </w:p>
        </w:tc>
        <w:tc>
          <w:tcPr>
            <w:tcW w:w="260" w:type="dxa"/>
            <w:vAlign w:val="bottom"/>
            <w:tcBorders>
              <w:bottom w:val="single" w:sz="8" w:color="CFF0FC"/>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104,785</w:t>
            </w:r>
          </w:p>
        </w:tc>
        <w:tc>
          <w:tcPr>
            <w:tcW w:w="260" w:type="dxa"/>
            <w:vAlign w:val="bottom"/>
            <w:tcBorders>
              <w:bottom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84,863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080" w:type="dxa"/>
            <w:vAlign w:val="bottom"/>
            <w:shd w:val="clear" w:color="auto" w:fill="CFF0FC"/>
          </w:tcPr>
          <w:p>
            <w:pPr>
              <w:spacing w:after="0" w:line="156" w:lineRule="exact"/>
              <w:rPr>
                <w:sz w:val="20"/>
                <w:szCs w:val="20"/>
                <w:color w:val="auto"/>
              </w:rPr>
            </w:pPr>
            <w:r>
              <w:rPr>
                <w:rFonts w:ascii="Arial" w:cs="Arial" w:eastAsia="Arial" w:hAnsi="Arial"/>
                <w:sz w:val="15"/>
                <w:szCs w:val="15"/>
                <w:color w:val="auto"/>
              </w:rPr>
              <w:t>Earnings per common share—basic and diluted</w:t>
            </w: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0.57</w:t>
            </w:r>
          </w:p>
        </w:tc>
        <w:tc>
          <w:tcPr>
            <w:tcW w:w="260" w:type="dxa"/>
            <w:vAlign w:val="bottom"/>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0.41</w:t>
            </w:r>
          </w:p>
        </w:tc>
        <w:tc>
          <w:tcPr>
            <w:tcW w:w="260" w:type="dxa"/>
            <w:vAlign w:val="bottom"/>
            <w:shd w:val="clear" w:color="auto" w:fill="CFF0FC"/>
          </w:tcPr>
          <w:p>
            <w:pPr>
              <w:spacing w:after="0"/>
              <w:rPr>
                <w:sz w:val="13"/>
                <w:szCs w:val="13"/>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1.65</w:t>
            </w:r>
          </w:p>
        </w:tc>
        <w:tc>
          <w:tcPr>
            <w:tcW w:w="26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line="156" w:lineRule="exact"/>
              <w:rPr>
                <w:sz w:val="20"/>
                <w:szCs w:val="20"/>
                <w:color w:val="auto"/>
              </w:rPr>
            </w:pPr>
            <w:r>
              <w:rPr>
                <w:rFonts w:ascii="Arial" w:cs="Arial" w:eastAsia="Arial" w:hAnsi="Arial"/>
                <w:sz w:val="15"/>
                <w:szCs w:val="15"/>
                <w:color w:val="auto"/>
              </w:rPr>
              <w:t>1.42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080" w:type="dxa"/>
            <w:vAlign w:val="bottom"/>
          </w:tcPr>
          <w:p>
            <w:pPr>
              <w:spacing w:after="0" w:line="169" w:lineRule="exact"/>
              <w:rPr>
                <w:sz w:val="20"/>
                <w:szCs w:val="20"/>
                <w:color w:val="auto"/>
              </w:rPr>
            </w:pPr>
            <w:r>
              <w:rPr>
                <w:rFonts w:ascii="Arial" w:cs="Arial" w:eastAsia="Arial" w:hAnsi="Arial"/>
                <w:sz w:val="15"/>
                <w:szCs w:val="15"/>
                <w:color w:val="auto"/>
              </w:rPr>
              <w:t>Weighted average shares of common stock outstanding—basic and diluted</w:t>
            </w:r>
          </w:p>
        </w:tc>
        <w:tc>
          <w:tcPr>
            <w:tcW w:w="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65,101,482</w:t>
            </w:r>
          </w:p>
        </w:tc>
        <w:tc>
          <w:tcPr>
            <w:tcW w:w="2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60,057,567</w:t>
            </w:r>
          </w:p>
        </w:tc>
        <w:tc>
          <w:tcPr>
            <w:tcW w:w="2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63,582,506</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59,923,323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Schedule of Investments as of September 30, 2018</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Initial</w:t>
            </w: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Reference</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Amortized</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restart"/>
          </w:tcPr>
          <w:p>
            <w:pPr>
              <w:jc w:val="right"/>
              <w:ind w:right="150"/>
              <w:spacing w:after="0"/>
              <w:rPr>
                <w:sz w:val="20"/>
                <w:szCs w:val="20"/>
                <w:color w:val="auto"/>
              </w:rPr>
            </w:pPr>
            <w:r>
              <w:rPr>
                <w:rFonts w:ascii="Arial" w:cs="Arial" w:eastAsia="Arial" w:hAnsi="Arial"/>
                <w:sz w:val="14"/>
                <w:szCs w:val="14"/>
                <w:b w:val="1"/>
                <w:bCs w:val="1"/>
                <w:color w:val="auto"/>
                <w:w w:val="95"/>
              </w:rPr>
              <w:t>Percentage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8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100" w:type="dxa"/>
            <w:vAlign w:val="bottom"/>
          </w:tcPr>
          <w:p>
            <w:pPr>
              <w:spacing w:after="0"/>
              <w:rPr>
                <w:sz w:val="12"/>
                <w:szCs w:val="12"/>
                <w:color w:val="auto"/>
              </w:rPr>
            </w:pPr>
          </w:p>
        </w:tc>
        <w:tc>
          <w:tcPr>
            <w:tcW w:w="2460" w:type="dxa"/>
            <w:vAlign w:val="bottom"/>
            <w:gridSpan w:val="2"/>
            <w:vMerge w:val="restart"/>
          </w:tcPr>
          <w:p>
            <w:pPr>
              <w:ind w:left="820"/>
              <w:spacing w:after="0"/>
              <w:rPr>
                <w:sz w:val="20"/>
                <w:szCs w:val="20"/>
                <w:color w:val="auto"/>
              </w:rPr>
            </w:pPr>
            <w:r>
              <w:rPr>
                <w:rFonts w:ascii="Arial" w:cs="Arial" w:eastAsia="Arial" w:hAnsi="Arial"/>
                <w:sz w:val="14"/>
                <w:szCs w:val="14"/>
                <w:b w:val="1"/>
                <w:bCs w:val="1"/>
                <w:color w:val="auto"/>
              </w:rPr>
              <w:t>Investment</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Rate and</w:t>
            </w: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6"/>
              </w:rPr>
              <w:t>Interest Rate</w:t>
            </w: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(10)</w:t>
            </w:r>
          </w:p>
        </w:tc>
        <w:tc>
          <w:tcPr>
            <w:tcW w:w="9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2"/>
            <w:vMerge w:val="continue"/>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Spread</w:t>
            </w: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2"/>
                <w:szCs w:val="12"/>
                <w:b w:val="1"/>
                <w:bCs w:val="1"/>
                <w:color w:val="auto"/>
              </w:rPr>
              <w:t>(2)(8)</w:t>
            </w:r>
          </w:p>
        </w:tc>
        <w:tc>
          <w:tcPr>
            <w:tcW w:w="22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98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87"/>
              </w:rPr>
              <w:t>of Net Assets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Debt Investments</w:t>
            </w:r>
          </w:p>
        </w:tc>
        <w:tc>
          <w:tcPr>
            <w:tcW w:w="100" w:type="dxa"/>
            <w:vAlign w:val="bottom"/>
            <w:tcBorders>
              <w:top w:val="single" w:sz="8" w:color="CFF0FC"/>
            </w:tcBorders>
            <w:shd w:val="clear" w:color="auto" w:fill="CFF0FC"/>
          </w:tcPr>
          <w:p>
            <w:pPr>
              <w:spacing w:after="0"/>
              <w:rPr>
                <w:sz w:val="19"/>
                <w:szCs w:val="19"/>
                <w:color w:val="auto"/>
              </w:rPr>
            </w:pPr>
          </w:p>
        </w:tc>
        <w:tc>
          <w:tcPr>
            <w:tcW w:w="23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b w:val="1"/>
                <w:bCs w:val="1"/>
                <w:color w:val="auto"/>
                <w:w w:val="97"/>
              </w:rPr>
              <w:t>Beverage, food and tobacco</w:t>
            </w:r>
          </w:p>
        </w:tc>
        <w:tc>
          <w:tcPr>
            <w:tcW w:w="1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5"/>
                <w:szCs w:val="15"/>
                <w:color w:val="auto"/>
              </w:rPr>
              <w:t>(3)(7)</w:t>
            </w:r>
          </w:p>
        </w:tc>
        <w:tc>
          <w:tcPr>
            <w:tcW w:w="256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w w:val="99"/>
              </w:rPr>
              <w:t>Second-lien loan ($59,621 par,</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6/30/2017</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+ 9.05%</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11.44%</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59,621</w:t>
            </w:r>
          </w:p>
        </w:tc>
        <w:tc>
          <w:tcPr>
            <w:tcW w:w="5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59,621</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spacing w:after="0"/>
              <w:rPr>
                <w:sz w:val="20"/>
                <w:szCs w:val="20"/>
                <w:color w:val="auto"/>
              </w:rPr>
            </w:pPr>
          </w:p>
        </w:tc>
        <w:tc>
          <w:tcPr>
            <w:tcW w:w="256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due 9/2021)</w:t>
            </w: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b w:val="1"/>
                <w:bCs w:val="1"/>
                <w:color w:val="auto"/>
              </w:rPr>
              <w:t>Business services</w:t>
            </w:r>
          </w:p>
        </w:tc>
        <w:tc>
          <w:tcPr>
            <w:tcW w:w="1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Acceo Solutions, Inc. </w:t>
            </w:r>
            <w:r>
              <w:rPr>
                <w:rFonts w:ascii="Arial" w:cs="Arial" w:eastAsia="Arial" w:hAnsi="Arial"/>
                <w:sz w:val="15"/>
                <w:szCs w:val="15"/>
                <w:color w:val="auto"/>
              </w:rPr>
              <w:t>(3)(4)(5)</w:t>
            </w:r>
          </w:p>
        </w:tc>
        <w:tc>
          <w:tcPr>
            <w:tcW w:w="256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First-lien loan (CAD 64,838</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7/6/2018</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89"/>
              </w:rPr>
              <w:t>C + 5.25%</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7.08%</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48,345</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49,157</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spacing w:after="0"/>
              <w:rPr>
                <w:sz w:val="20"/>
                <w:szCs w:val="20"/>
                <w:color w:val="auto"/>
              </w:rPr>
            </w:pPr>
          </w:p>
        </w:tc>
        <w:tc>
          <w:tcPr>
            <w:tcW w:w="256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par, due 7/2023)</w:t>
            </w: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480" w:type="dxa"/>
            <w:vAlign w:val="bottom"/>
            <w:gridSpan w:val="4"/>
            <w:shd w:val="clear" w:color="auto" w:fill="CFF0FC"/>
          </w:tcPr>
          <w:p>
            <w:pPr>
              <w:ind w:left="220"/>
              <w:spacing w:after="0"/>
              <w:rPr>
                <w:sz w:val="20"/>
                <w:szCs w:val="20"/>
                <w:color w:val="auto"/>
              </w:rPr>
            </w:pPr>
            <w:r>
              <w:rPr>
                <w:rFonts w:ascii="Arial" w:cs="Arial" w:eastAsia="Arial" w:hAnsi="Arial"/>
                <w:sz w:val="18"/>
                <w:szCs w:val="18"/>
                <w:color w:val="auto"/>
              </w:rPr>
              <w:t>(CAD 63,541)</w:t>
            </w: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80" w:type="dxa"/>
            <w:vAlign w:val="bottom"/>
          </w:tcPr>
          <w:p>
            <w:pPr>
              <w:spacing w:after="0"/>
              <w:rPr>
                <w:sz w:val="20"/>
                <w:szCs w:val="20"/>
                <w:color w:val="auto"/>
              </w:rPr>
            </w:pPr>
            <w:r>
              <w:rPr>
                <w:rFonts w:ascii="Arial" w:cs="Arial" w:eastAsia="Arial" w:hAnsi="Arial"/>
                <w:sz w:val="18"/>
                <w:szCs w:val="18"/>
                <w:color w:val="auto"/>
              </w:rPr>
              <w:t xml:space="preserve">Integration Appliance, Inc. </w:t>
            </w:r>
            <w:r>
              <w:rPr>
                <w:rFonts w:ascii="Arial" w:cs="Arial" w:eastAsia="Arial" w:hAnsi="Arial"/>
                <w:sz w:val="15"/>
                <w:szCs w:val="15"/>
                <w:color w:val="auto"/>
              </w:rPr>
              <w:t>(3)</w:t>
            </w:r>
          </w:p>
        </w:tc>
        <w:tc>
          <w:tcPr>
            <w:tcW w:w="2560" w:type="dxa"/>
            <w:vAlign w:val="bottom"/>
            <w:gridSpan w:val="3"/>
          </w:tcPr>
          <w:p>
            <w:pPr>
              <w:ind w:left="100"/>
              <w:spacing w:after="0"/>
              <w:rPr>
                <w:sz w:val="20"/>
                <w:szCs w:val="20"/>
                <w:color w:val="auto"/>
              </w:rPr>
            </w:pPr>
            <w:r>
              <w:rPr>
                <w:rFonts w:ascii="Arial" w:cs="Arial" w:eastAsia="Arial" w:hAnsi="Arial"/>
                <w:sz w:val="18"/>
                <w:szCs w:val="18"/>
                <w:color w:val="auto"/>
                <w:w w:val="95"/>
              </w:rPr>
              <w:t>First-lien loan ($52,381 par, due</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8/13/2018</w:t>
            </w: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L + 7.25%</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9.36%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51,574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51,693</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p>
        </w:tc>
        <w:tc>
          <w:tcPr>
            <w:tcW w:w="2440" w:type="dxa"/>
            <w:vAlign w:val="bottom"/>
            <w:gridSpan w:val="2"/>
          </w:tcPr>
          <w:p>
            <w:pPr>
              <w:ind w:left="100"/>
              <w:spacing w:after="0"/>
              <w:rPr>
                <w:sz w:val="20"/>
                <w:szCs w:val="20"/>
                <w:color w:val="auto"/>
              </w:rPr>
            </w:pPr>
            <w:r>
              <w:rPr>
                <w:rFonts w:ascii="Arial" w:cs="Arial" w:eastAsia="Arial" w:hAnsi="Arial"/>
                <w:sz w:val="18"/>
                <w:szCs w:val="18"/>
                <w:color w:val="auto"/>
              </w:rPr>
              <w:t>8/2023)</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Jive Software, Inc. </w:t>
            </w:r>
            <w:r>
              <w:rPr>
                <w:rFonts w:ascii="Arial" w:cs="Arial" w:eastAsia="Arial" w:hAnsi="Arial"/>
                <w:sz w:val="15"/>
                <w:szCs w:val="15"/>
                <w:color w:val="auto"/>
              </w:rPr>
              <w:t>(3)(5)</w:t>
            </w:r>
          </w:p>
        </w:tc>
        <w:tc>
          <w:tcPr>
            <w:tcW w:w="256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w w:val="95"/>
              </w:rPr>
              <w:t>First-lien loan ($52,785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6/12/2017</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+ 9.25%</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11.49%</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51,225</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55,556</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spacing w:after="0"/>
              <w:rPr>
                <w:sz w:val="20"/>
                <w:szCs w:val="20"/>
                <w:color w:val="auto"/>
              </w:rPr>
            </w:pPr>
          </w:p>
        </w:tc>
        <w:tc>
          <w:tcPr>
            <w:tcW w:w="24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6/2022)</w:t>
            </w: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80" w:type="dxa"/>
            <w:vAlign w:val="bottom"/>
          </w:tcPr>
          <w:p>
            <w:pPr>
              <w:spacing w:after="0"/>
              <w:rPr>
                <w:sz w:val="20"/>
                <w:szCs w:val="20"/>
                <w:color w:val="auto"/>
              </w:rPr>
            </w:pPr>
            <w:r>
              <w:rPr>
                <w:rFonts w:ascii="Arial" w:cs="Arial" w:eastAsia="Arial" w:hAnsi="Arial"/>
                <w:sz w:val="18"/>
                <w:szCs w:val="18"/>
                <w:color w:val="auto"/>
              </w:rPr>
              <w:t xml:space="preserve">Motus, LLC </w:t>
            </w:r>
            <w:r>
              <w:rPr>
                <w:rFonts w:ascii="Arial" w:cs="Arial" w:eastAsia="Arial" w:hAnsi="Arial"/>
                <w:sz w:val="15"/>
                <w:szCs w:val="15"/>
                <w:color w:val="auto"/>
              </w:rPr>
              <w:t>(3)</w:t>
            </w:r>
          </w:p>
        </w:tc>
        <w:tc>
          <w:tcPr>
            <w:tcW w:w="2560" w:type="dxa"/>
            <w:vAlign w:val="bottom"/>
            <w:gridSpan w:val="3"/>
          </w:tcPr>
          <w:p>
            <w:pPr>
              <w:ind w:left="100"/>
              <w:spacing w:after="0"/>
              <w:rPr>
                <w:sz w:val="20"/>
                <w:szCs w:val="20"/>
                <w:color w:val="auto"/>
              </w:rPr>
            </w:pPr>
            <w:r>
              <w:rPr>
                <w:rFonts w:ascii="Arial" w:cs="Arial" w:eastAsia="Arial" w:hAnsi="Arial"/>
                <w:sz w:val="18"/>
                <w:szCs w:val="18"/>
                <w:color w:val="auto"/>
                <w:w w:val="95"/>
              </w:rPr>
              <w:t>First-lien loan ($69,227 par, due</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1/17/2018</w:t>
            </w: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L + 6.75%</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8.92%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67,536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68,291</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p>
        </w:tc>
        <w:tc>
          <w:tcPr>
            <w:tcW w:w="2440" w:type="dxa"/>
            <w:vAlign w:val="bottom"/>
            <w:gridSpan w:val="2"/>
          </w:tcPr>
          <w:p>
            <w:pPr>
              <w:ind w:left="100"/>
              <w:spacing w:after="0"/>
              <w:rPr>
                <w:sz w:val="20"/>
                <w:szCs w:val="20"/>
                <w:color w:val="auto"/>
              </w:rPr>
            </w:pPr>
            <w:r>
              <w:rPr>
                <w:rFonts w:ascii="Arial" w:cs="Arial" w:eastAsia="Arial" w:hAnsi="Arial"/>
                <w:sz w:val="18"/>
                <w:szCs w:val="18"/>
                <w:color w:val="auto"/>
              </w:rPr>
              <w:t>1/2024)</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Nintex Global Limited </w:t>
            </w:r>
            <w:r>
              <w:rPr>
                <w:rFonts w:ascii="Arial" w:cs="Arial" w:eastAsia="Arial" w:hAnsi="Arial"/>
                <w:sz w:val="15"/>
                <w:szCs w:val="15"/>
                <w:color w:val="auto"/>
              </w:rPr>
              <w:t>(3)(5)</w:t>
            </w:r>
          </w:p>
        </w:tc>
        <w:tc>
          <w:tcPr>
            <w:tcW w:w="256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w w:val="95"/>
              </w:rPr>
              <w:t>First-lien loan ($72,156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3/30/2018</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+ 6.75%</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9.00%</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70,499</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70,894</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spacing w:after="0"/>
              <w:rPr>
                <w:sz w:val="20"/>
                <w:szCs w:val="20"/>
                <w:color w:val="auto"/>
              </w:rPr>
            </w:pPr>
          </w:p>
        </w:tc>
        <w:tc>
          <w:tcPr>
            <w:tcW w:w="24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4/2024)</w:t>
            </w: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80" w:type="dxa"/>
            <w:vAlign w:val="bottom"/>
          </w:tcPr>
          <w:p>
            <w:pPr>
              <w:spacing w:after="0"/>
              <w:rPr>
                <w:sz w:val="20"/>
                <w:szCs w:val="20"/>
                <w:color w:val="auto"/>
              </w:rPr>
            </w:pPr>
            <w:r>
              <w:rPr>
                <w:rFonts w:ascii="Arial" w:cs="Arial" w:eastAsia="Arial" w:hAnsi="Arial"/>
                <w:sz w:val="18"/>
                <w:szCs w:val="18"/>
                <w:color w:val="auto"/>
              </w:rPr>
              <w:t xml:space="preserve">Sovos Compliance, LLC </w:t>
            </w:r>
            <w:r>
              <w:rPr>
                <w:rFonts w:ascii="Arial" w:cs="Arial" w:eastAsia="Arial" w:hAnsi="Arial"/>
                <w:sz w:val="15"/>
                <w:szCs w:val="15"/>
                <w:color w:val="auto"/>
              </w:rPr>
              <w:t>(3)</w:t>
            </w:r>
          </w:p>
        </w:tc>
        <w:tc>
          <w:tcPr>
            <w:tcW w:w="2560" w:type="dxa"/>
            <w:vAlign w:val="bottom"/>
            <w:gridSpan w:val="3"/>
          </w:tcPr>
          <w:p>
            <w:pPr>
              <w:ind w:left="100"/>
              <w:spacing w:after="0"/>
              <w:rPr>
                <w:sz w:val="20"/>
                <w:szCs w:val="20"/>
                <w:color w:val="auto"/>
              </w:rPr>
            </w:pPr>
            <w:r>
              <w:rPr>
                <w:rFonts w:ascii="Arial" w:cs="Arial" w:eastAsia="Arial" w:hAnsi="Arial"/>
                <w:sz w:val="18"/>
                <w:szCs w:val="18"/>
                <w:color w:val="auto"/>
                <w:w w:val="95"/>
              </w:rPr>
              <w:t>First-lien loan ($36,547 par, due</w:t>
            </w:r>
          </w:p>
        </w:tc>
        <w:tc>
          <w:tcPr>
            <w:tcW w:w="840" w:type="dxa"/>
            <w:vAlign w:val="bottom"/>
          </w:tcPr>
          <w:p>
            <w:pPr>
              <w:jc w:val="right"/>
              <w:spacing w:after="0"/>
              <w:rPr>
                <w:sz w:val="20"/>
                <w:szCs w:val="20"/>
                <w:color w:val="auto"/>
              </w:rPr>
            </w:pPr>
            <w:r>
              <w:rPr>
                <w:rFonts w:ascii="Arial" w:cs="Arial" w:eastAsia="Arial" w:hAnsi="Arial"/>
                <w:sz w:val="18"/>
                <w:szCs w:val="18"/>
                <w:color w:val="auto"/>
              </w:rPr>
              <w:t>7/1/2016</w:t>
            </w: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L + 6.00%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8.24%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36,161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36,643</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p>
        </w:tc>
        <w:tc>
          <w:tcPr>
            <w:tcW w:w="2440" w:type="dxa"/>
            <w:vAlign w:val="bottom"/>
            <w:gridSpan w:val="2"/>
          </w:tcPr>
          <w:p>
            <w:pPr>
              <w:ind w:left="100"/>
              <w:spacing w:after="0"/>
              <w:rPr>
                <w:sz w:val="20"/>
                <w:szCs w:val="20"/>
                <w:color w:val="auto"/>
              </w:rPr>
            </w:pPr>
            <w:r>
              <w:rPr>
                <w:rFonts w:ascii="Arial" w:cs="Arial" w:eastAsia="Arial" w:hAnsi="Arial"/>
                <w:sz w:val="18"/>
                <w:szCs w:val="18"/>
                <w:color w:val="auto"/>
              </w:rPr>
              <w:t>3/2022)</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Tangoe, Inc. </w:t>
            </w:r>
            <w:r>
              <w:rPr>
                <w:rFonts w:ascii="Arial" w:cs="Arial" w:eastAsia="Arial" w:hAnsi="Arial"/>
                <w:sz w:val="15"/>
                <w:szCs w:val="15"/>
                <w:color w:val="auto"/>
              </w:rPr>
              <w:t>(3)(5)</w:t>
            </w:r>
          </w:p>
        </w:tc>
        <w:tc>
          <w:tcPr>
            <w:tcW w:w="256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w w:val="95"/>
              </w:rPr>
              <w:t>First-lien loan ($49,912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6/16/2017</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+ 8.50%</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11.01%</w:t>
            </w:r>
          </w:p>
        </w:tc>
        <w:tc>
          <w:tcPr>
            <w:tcW w:w="2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48,389</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49,662</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FF0FC"/>
          </w:tcPr>
          <w:p>
            <w:pPr>
              <w:spacing w:after="0"/>
              <w:rPr>
                <w:sz w:val="18"/>
                <w:szCs w:val="18"/>
                <w:color w:val="auto"/>
              </w:rPr>
            </w:pPr>
          </w:p>
        </w:tc>
        <w:tc>
          <w:tcPr>
            <w:tcW w:w="24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6/2022)</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3"/>
              </w:rPr>
              <w:t>(incl. 0.50%</w:t>
            </w: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PIK)</w:t>
            </w:r>
          </w:p>
        </w:tc>
        <w:tc>
          <w:tcPr>
            <w:tcW w:w="80" w:type="dxa"/>
            <w:vAlign w:val="bottom"/>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3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373,729</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381,896</w:t>
            </w:r>
          </w:p>
        </w:tc>
        <w:tc>
          <w:tcPr>
            <w:tcW w:w="20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Chemicals</w:t>
            </w:r>
          </w:p>
        </w:tc>
        <w:tc>
          <w:tcPr>
            <w:tcW w:w="100" w:type="dxa"/>
            <w:vAlign w:val="bottom"/>
            <w:shd w:val="clear" w:color="auto" w:fill="CFF0FC"/>
          </w:tcPr>
          <w:p>
            <w:pPr>
              <w:spacing w:after="0"/>
              <w:rPr>
                <w:sz w:val="19"/>
                <w:szCs w:val="19"/>
                <w:color w:val="auto"/>
              </w:rPr>
            </w:pPr>
          </w:p>
        </w:tc>
        <w:tc>
          <w:tcPr>
            <w:tcW w:w="2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80" w:type="dxa"/>
            <w:vAlign w:val="bottom"/>
          </w:tcPr>
          <w:p>
            <w:pPr>
              <w:spacing w:after="0"/>
              <w:rPr>
                <w:sz w:val="20"/>
                <w:szCs w:val="20"/>
                <w:color w:val="auto"/>
              </w:rPr>
            </w:pPr>
            <w:r>
              <w:rPr>
                <w:rFonts w:ascii="Arial" w:cs="Arial" w:eastAsia="Arial" w:hAnsi="Arial"/>
                <w:sz w:val="18"/>
                <w:szCs w:val="18"/>
                <w:color w:val="auto"/>
              </w:rPr>
              <w:t xml:space="preserve">Vertellus Specialties, Inc. </w:t>
            </w:r>
            <w:r>
              <w:rPr>
                <w:rFonts w:ascii="Arial" w:cs="Arial" w:eastAsia="Arial" w:hAnsi="Arial"/>
                <w:sz w:val="15"/>
                <w:szCs w:val="15"/>
                <w:color w:val="auto"/>
              </w:rPr>
              <w:t>(3)</w:t>
            </w:r>
          </w:p>
        </w:tc>
        <w:tc>
          <w:tcPr>
            <w:tcW w:w="2560" w:type="dxa"/>
            <w:vAlign w:val="bottom"/>
            <w:gridSpan w:val="3"/>
          </w:tcPr>
          <w:p>
            <w:pPr>
              <w:ind w:left="100"/>
              <w:spacing w:after="0"/>
              <w:rPr>
                <w:sz w:val="20"/>
                <w:szCs w:val="20"/>
                <w:color w:val="auto"/>
              </w:rPr>
            </w:pPr>
            <w:r>
              <w:rPr>
                <w:rFonts w:ascii="Arial" w:cs="Arial" w:eastAsia="Arial" w:hAnsi="Arial"/>
                <w:sz w:val="18"/>
                <w:szCs w:val="18"/>
                <w:color w:val="auto"/>
                <w:w w:val="99"/>
              </w:rPr>
              <w:t>First-lien loan ($4,967 par, due</w:t>
            </w:r>
          </w:p>
        </w:tc>
        <w:tc>
          <w:tcPr>
            <w:tcW w:w="840" w:type="dxa"/>
            <w:vAlign w:val="bottom"/>
          </w:tcPr>
          <w:p>
            <w:pPr>
              <w:jc w:val="right"/>
              <w:spacing w:after="0"/>
              <w:rPr>
                <w:sz w:val="20"/>
                <w:szCs w:val="20"/>
                <w:color w:val="auto"/>
              </w:rPr>
            </w:pPr>
            <w:r>
              <w:rPr>
                <w:rFonts w:ascii="Arial" w:cs="Arial" w:eastAsia="Arial" w:hAnsi="Arial"/>
                <w:sz w:val="18"/>
                <w:szCs w:val="18"/>
                <w:color w:val="auto"/>
                <w:w w:val="88"/>
              </w:rPr>
              <w:t>10/31/2016</w:t>
            </w: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L + 9.00%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11.09%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4,967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4,967</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p>
        </w:tc>
        <w:tc>
          <w:tcPr>
            <w:tcW w:w="2440" w:type="dxa"/>
            <w:vAlign w:val="bottom"/>
            <w:gridSpan w:val="2"/>
          </w:tcPr>
          <w:p>
            <w:pPr>
              <w:ind w:left="100"/>
              <w:spacing w:after="0"/>
              <w:rPr>
                <w:sz w:val="20"/>
                <w:szCs w:val="20"/>
                <w:color w:val="auto"/>
              </w:rPr>
            </w:pPr>
            <w:r>
              <w:rPr>
                <w:rFonts w:ascii="Arial" w:cs="Arial" w:eastAsia="Arial" w:hAnsi="Arial"/>
                <w:sz w:val="18"/>
                <w:szCs w:val="18"/>
                <w:color w:val="auto"/>
              </w:rPr>
              <w:t>10/2018)</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80" w:type="dxa"/>
            <w:vAlign w:val="bottom"/>
            <w:shd w:val="clear" w:color="auto" w:fill="CFF0FC"/>
          </w:tcPr>
          <w:p>
            <w:pPr>
              <w:spacing w:after="0"/>
              <w:rPr>
                <w:sz w:val="18"/>
                <w:szCs w:val="18"/>
                <w:color w:val="auto"/>
              </w:rPr>
            </w:pPr>
          </w:p>
        </w:tc>
        <w:tc>
          <w:tcPr>
            <w:tcW w:w="256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Second-lien loan ($3,341 par,</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10/31/2016</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+ 12.00%</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14.09%</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3,341</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3,341</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spacing w:after="0"/>
              <w:rPr>
                <w:sz w:val="20"/>
                <w:szCs w:val="20"/>
                <w:color w:val="auto"/>
              </w:rPr>
            </w:pPr>
          </w:p>
        </w:tc>
        <w:tc>
          <w:tcPr>
            <w:tcW w:w="256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due 10/2021)</w:t>
            </w: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8,308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8,308</w:t>
            </w: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Education</w:t>
            </w:r>
          </w:p>
        </w:tc>
        <w:tc>
          <w:tcPr>
            <w:tcW w:w="100" w:type="dxa"/>
            <w:vAlign w:val="bottom"/>
            <w:tcBorders>
              <w:top w:val="single" w:sz="8" w:color="CFF0FC"/>
            </w:tcBorders>
            <w:shd w:val="clear" w:color="auto" w:fill="CFF0FC"/>
          </w:tcPr>
          <w:p>
            <w:pPr>
              <w:spacing w:after="0"/>
              <w:rPr>
                <w:sz w:val="19"/>
                <w:szCs w:val="19"/>
                <w:color w:val="auto"/>
              </w:rPr>
            </w:pPr>
          </w:p>
        </w:tc>
        <w:tc>
          <w:tcPr>
            <w:tcW w:w="23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80" w:type="dxa"/>
            <w:vAlign w:val="bottom"/>
          </w:tcPr>
          <w:p>
            <w:pPr>
              <w:spacing w:after="0"/>
              <w:rPr>
                <w:sz w:val="20"/>
                <w:szCs w:val="20"/>
                <w:color w:val="auto"/>
              </w:rPr>
            </w:pPr>
            <w:r>
              <w:rPr>
                <w:rFonts w:ascii="Arial" w:cs="Arial" w:eastAsia="Arial" w:hAnsi="Arial"/>
                <w:sz w:val="18"/>
                <w:szCs w:val="18"/>
                <w:color w:val="auto"/>
                <w:w w:val="96"/>
              </w:rPr>
              <w:t xml:space="preserve">Curriculum Associates, LLC </w:t>
            </w:r>
            <w:r>
              <w:rPr>
                <w:rFonts w:ascii="Arial" w:cs="Arial" w:eastAsia="Arial" w:hAnsi="Arial"/>
                <w:sz w:val="15"/>
                <w:szCs w:val="15"/>
                <w:color w:val="auto"/>
                <w:w w:val="96"/>
              </w:rPr>
              <w:t>(3)</w:t>
            </w:r>
          </w:p>
        </w:tc>
        <w:tc>
          <w:tcPr>
            <w:tcW w:w="2560" w:type="dxa"/>
            <w:vAlign w:val="bottom"/>
            <w:gridSpan w:val="3"/>
          </w:tcPr>
          <w:p>
            <w:pPr>
              <w:ind w:left="100"/>
              <w:spacing w:after="0"/>
              <w:rPr>
                <w:sz w:val="20"/>
                <w:szCs w:val="20"/>
                <w:color w:val="auto"/>
              </w:rPr>
            </w:pPr>
            <w:r>
              <w:rPr>
                <w:rFonts w:ascii="Arial" w:cs="Arial" w:eastAsia="Arial" w:hAnsi="Arial"/>
                <w:sz w:val="18"/>
                <w:szCs w:val="18"/>
                <w:color w:val="auto"/>
                <w:w w:val="95"/>
              </w:rPr>
              <w:t>First-lien loan ($50,000 par, due</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2/28/2018</w:t>
            </w: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L + 6.00%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8.24%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48,566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49,000</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5"/>
                <w:szCs w:val="15"/>
                <w:color w:val="auto"/>
              </w:rPr>
              <w:t>(5)</w:t>
            </w:r>
          </w:p>
        </w:tc>
        <w:tc>
          <w:tcPr>
            <w:tcW w:w="2440" w:type="dxa"/>
            <w:vAlign w:val="bottom"/>
            <w:gridSpan w:val="2"/>
          </w:tcPr>
          <w:p>
            <w:pPr>
              <w:ind w:left="100"/>
              <w:spacing w:after="0"/>
              <w:rPr>
                <w:sz w:val="20"/>
                <w:szCs w:val="20"/>
                <w:color w:val="auto"/>
              </w:rPr>
            </w:pPr>
            <w:r>
              <w:rPr>
                <w:rFonts w:ascii="Arial" w:cs="Arial" w:eastAsia="Arial" w:hAnsi="Arial"/>
                <w:sz w:val="18"/>
                <w:szCs w:val="18"/>
                <w:color w:val="auto"/>
              </w:rPr>
              <w:t>2/2024)</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w w:val="97"/>
              </w:rPr>
              <w:t>Frontline Technologies Group,</w:t>
            </w:r>
          </w:p>
        </w:tc>
        <w:tc>
          <w:tcPr>
            <w:tcW w:w="256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w w:val="95"/>
              </w:rPr>
              <w:t>First-lien loan ($47,345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9/18/2017</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+ 6.50%</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8.74%</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46,758</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47,203</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(3)</w:t>
            </w:r>
          </w:p>
        </w:tc>
        <w:tc>
          <w:tcPr>
            <w:tcW w:w="24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9/2023)</w:t>
            </w: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80" w:type="dxa"/>
            <w:vAlign w:val="bottom"/>
          </w:tcPr>
          <w:p>
            <w:pPr>
              <w:spacing w:after="0"/>
              <w:rPr>
                <w:sz w:val="20"/>
                <w:szCs w:val="20"/>
                <w:color w:val="auto"/>
              </w:rPr>
            </w:pPr>
            <w:r>
              <w:rPr>
                <w:rFonts w:ascii="Arial" w:cs="Arial" w:eastAsia="Arial" w:hAnsi="Arial"/>
                <w:sz w:val="18"/>
                <w:szCs w:val="18"/>
                <w:color w:val="auto"/>
                <w:w w:val="99"/>
              </w:rPr>
              <w:t>Illuminate Education, Inc.</w:t>
            </w:r>
            <w:r>
              <w:rPr>
                <w:rFonts w:ascii="Arial" w:cs="Arial" w:eastAsia="Arial" w:hAnsi="Arial"/>
                <w:sz w:val="15"/>
                <w:szCs w:val="15"/>
                <w:color w:val="auto"/>
                <w:w w:val="99"/>
              </w:rPr>
              <w:t>(3)(5)</w:t>
            </w:r>
          </w:p>
        </w:tc>
        <w:tc>
          <w:tcPr>
            <w:tcW w:w="2560" w:type="dxa"/>
            <w:vAlign w:val="bottom"/>
            <w:gridSpan w:val="3"/>
          </w:tcPr>
          <w:p>
            <w:pPr>
              <w:ind w:left="100"/>
              <w:spacing w:after="0"/>
              <w:rPr>
                <w:sz w:val="20"/>
                <w:szCs w:val="20"/>
                <w:color w:val="auto"/>
              </w:rPr>
            </w:pPr>
            <w:r>
              <w:rPr>
                <w:rFonts w:ascii="Arial" w:cs="Arial" w:eastAsia="Arial" w:hAnsi="Arial"/>
                <w:sz w:val="18"/>
                <w:szCs w:val="18"/>
                <w:color w:val="auto"/>
                <w:w w:val="95"/>
              </w:rPr>
              <w:t>First-lien loan ($64,838 par, due</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8/25/2017</w:t>
            </w: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L + 7.25%</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9.47%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63,708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64,189</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tcBorders>
              <w:bottom w:val="single" w:sz="8" w:color="CFF0FC"/>
            </w:tcBorders>
          </w:tcPr>
          <w:p>
            <w:pPr>
              <w:spacing w:after="0"/>
              <w:rPr>
                <w:sz w:val="20"/>
                <w:szCs w:val="20"/>
                <w:color w:val="auto"/>
              </w:rPr>
            </w:pPr>
          </w:p>
        </w:tc>
        <w:tc>
          <w:tcPr>
            <w:tcW w:w="2440" w:type="dxa"/>
            <w:vAlign w:val="bottom"/>
            <w:tcBorders>
              <w:bottom w:val="single" w:sz="8" w:color="CFF0FC"/>
            </w:tcBorders>
            <w:gridSpan w:val="2"/>
          </w:tcPr>
          <w:p>
            <w:pPr>
              <w:ind w:left="100"/>
              <w:spacing w:after="0"/>
              <w:rPr>
                <w:sz w:val="20"/>
                <w:szCs w:val="20"/>
                <w:color w:val="auto"/>
              </w:rPr>
            </w:pPr>
            <w:r>
              <w:rPr>
                <w:rFonts w:ascii="Arial" w:cs="Arial" w:eastAsia="Arial" w:hAnsi="Arial"/>
                <w:sz w:val="18"/>
                <w:szCs w:val="18"/>
                <w:color w:val="auto"/>
              </w:rPr>
              <w:t>8/2022)</w:t>
            </w:r>
          </w:p>
        </w:tc>
        <w:tc>
          <w:tcPr>
            <w:tcW w:w="12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90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159,032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160,392</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80" w:type="dxa"/>
            <w:vAlign w:val="bottom"/>
          </w:tcPr>
          <w:p>
            <w:pPr>
              <w:spacing w:after="0"/>
              <w:rPr>
                <w:sz w:val="20"/>
                <w:szCs w:val="20"/>
                <w:color w:val="auto"/>
              </w:rPr>
            </w:pPr>
            <w:r>
              <w:rPr>
                <w:rFonts w:ascii="Arial" w:cs="Arial" w:eastAsia="Arial" w:hAnsi="Arial"/>
                <w:sz w:val="18"/>
                <w:szCs w:val="18"/>
                <w:b w:val="1"/>
                <w:bCs w:val="1"/>
                <w:color w:val="auto"/>
              </w:rPr>
              <w:t>Financial services</w:t>
            </w:r>
          </w:p>
        </w:tc>
        <w:tc>
          <w:tcPr>
            <w:tcW w:w="1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AppStar Financial, LLC </w:t>
            </w:r>
            <w:r>
              <w:rPr>
                <w:rFonts w:ascii="Arial" w:cs="Arial" w:eastAsia="Arial" w:hAnsi="Arial"/>
                <w:sz w:val="15"/>
                <w:szCs w:val="15"/>
                <w:color w:val="auto"/>
              </w:rPr>
              <w:t>(3)</w:t>
            </w:r>
          </w:p>
        </w:tc>
        <w:tc>
          <w:tcPr>
            <w:tcW w:w="256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w w:val="95"/>
              </w:rPr>
              <w:t>First-lien loan ($18,956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8/18/2015</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+ 7.50%</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9.74%</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18,754</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19,218</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spacing w:after="0"/>
              <w:rPr>
                <w:sz w:val="20"/>
                <w:szCs w:val="20"/>
                <w:color w:val="auto"/>
              </w:rPr>
            </w:pPr>
          </w:p>
        </w:tc>
        <w:tc>
          <w:tcPr>
            <w:tcW w:w="24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8/2020)</w:t>
            </w: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80" w:type="dxa"/>
            <w:vAlign w:val="bottom"/>
          </w:tcPr>
          <w:p>
            <w:pPr>
              <w:spacing w:after="0"/>
              <w:rPr>
                <w:sz w:val="20"/>
                <w:szCs w:val="20"/>
                <w:color w:val="auto"/>
              </w:rPr>
            </w:pPr>
            <w:r>
              <w:rPr>
                <w:rFonts w:ascii="Arial" w:cs="Arial" w:eastAsia="Arial" w:hAnsi="Arial"/>
                <w:sz w:val="18"/>
                <w:szCs w:val="18"/>
                <w:color w:val="auto"/>
              </w:rPr>
              <w:t xml:space="preserve">AvidXchange, Inc. </w:t>
            </w:r>
            <w:r>
              <w:rPr>
                <w:rFonts w:ascii="Arial" w:cs="Arial" w:eastAsia="Arial" w:hAnsi="Arial"/>
                <w:sz w:val="15"/>
                <w:szCs w:val="15"/>
                <w:color w:val="auto"/>
              </w:rPr>
              <w:t>(3)</w:t>
            </w:r>
          </w:p>
        </w:tc>
        <w:tc>
          <w:tcPr>
            <w:tcW w:w="2560" w:type="dxa"/>
            <w:vAlign w:val="bottom"/>
            <w:gridSpan w:val="3"/>
          </w:tcPr>
          <w:p>
            <w:pPr>
              <w:ind w:left="100"/>
              <w:spacing w:after="0"/>
              <w:rPr>
                <w:sz w:val="20"/>
                <w:szCs w:val="20"/>
                <w:color w:val="auto"/>
              </w:rPr>
            </w:pPr>
            <w:r>
              <w:rPr>
                <w:rFonts w:ascii="Arial" w:cs="Arial" w:eastAsia="Arial" w:hAnsi="Arial"/>
                <w:sz w:val="18"/>
                <w:szCs w:val="18"/>
                <w:color w:val="auto"/>
                <w:w w:val="95"/>
              </w:rPr>
              <w:t>First-lien loan ($54,449 par, due</w:t>
            </w:r>
          </w:p>
        </w:tc>
        <w:tc>
          <w:tcPr>
            <w:tcW w:w="840" w:type="dxa"/>
            <w:vAlign w:val="bottom"/>
          </w:tcPr>
          <w:p>
            <w:pPr>
              <w:jc w:val="right"/>
              <w:spacing w:after="0"/>
              <w:rPr>
                <w:sz w:val="20"/>
                <w:szCs w:val="20"/>
                <w:color w:val="auto"/>
              </w:rPr>
            </w:pPr>
            <w:r>
              <w:rPr>
                <w:rFonts w:ascii="Arial" w:cs="Arial" w:eastAsia="Arial" w:hAnsi="Arial"/>
                <w:sz w:val="18"/>
                <w:szCs w:val="18"/>
                <w:color w:val="auto"/>
              </w:rPr>
              <w:t>8/7/2015</w:t>
            </w: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L + 9.50%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11.75%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54,027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55,402</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p>
        </w:tc>
        <w:tc>
          <w:tcPr>
            <w:tcW w:w="2440" w:type="dxa"/>
            <w:vAlign w:val="bottom"/>
            <w:gridSpan w:val="2"/>
          </w:tcPr>
          <w:p>
            <w:pPr>
              <w:ind w:left="100"/>
              <w:spacing w:after="0"/>
              <w:rPr>
                <w:sz w:val="20"/>
                <w:szCs w:val="20"/>
                <w:color w:val="auto"/>
              </w:rPr>
            </w:pPr>
            <w:r>
              <w:rPr>
                <w:rFonts w:ascii="Arial" w:cs="Arial" w:eastAsia="Arial" w:hAnsi="Arial"/>
                <w:sz w:val="18"/>
                <w:szCs w:val="18"/>
                <w:color w:val="auto"/>
              </w:rPr>
              <w:t>8/2020)</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G Treasury SS, LLC </w:t>
            </w:r>
            <w:r>
              <w:rPr>
                <w:rFonts w:ascii="Arial" w:cs="Arial" w:eastAsia="Arial" w:hAnsi="Arial"/>
                <w:sz w:val="15"/>
                <w:szCs w:val="15"/>
                <w:color w:val="auto"/>
              </w:rPr>
              <w:t>(3)</w:t>
            </w:r>
          </w:p>
        </w:tc>
        <w:tc>
          <w:tcPr>
            <w:tcW w:w="256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w w:val="95"/>
              </w:rPr>
              <w:t>First-lien loan ($30,306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4/9/2018</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+ 9.25%</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w:t>
            </w:r>
          </w:p>
        </w:tc>
        <w:tc>
          <w:tcPr>
            <w:tcW w:w="2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29,644</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29,839</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FF0FC"/>
          </w:tcPr>
          <w:p>
            <w:pPr>
              <w:spacing w:after="0"/>
              <w:rPr>
                <w:sz w:val="18"/>
                <w:szCs w:val="18"/>
                <w:color w:val="auto"/>
              </w:rPr>
            </w:pPr>
          </w:p>
        </w:tc>
        <w:tc>
          <w:tcPr>
            <w:tcW w:w="24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4/2022)</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3"/>
              </w:rPr>
              <w:t>(incl. 3.00%</w:t>
            </w: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PIK)</w:t>
            </w:r>
          </w:p>
        </w:tc>
        <w:tc>
          <w:tcPr>
            <w:tcW w:w="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 xml:space="preserve">Government Brands, LLC </w:t>
            </w:r>
            <w:r>
              <w:rPr>
                <w:rFonts w:ascii="Arial" w:cs="Arial" w:eastAsia="Arial" w:hAnsi="Arial"/>
                <w:sz w:val="15"/>
                <w:szCs w:val="15"/>
                <w:color w:val="auto"/>
              </w:rPr>
              <w:t>(3)</w:t>
            </w:r>
          </w:p>
        </w:tc>
        <w:tc>
          <w:tcPr>
            <w:tcW w:w="2500" w:type="dxa"/>
            <w:vAlign w:val="bottom"/>
          </w:tcPr>
          <w:p>
            <w:pPr>
              <w:ind w:left="60"/>
              <w:spacing w:after="0"/>
              <w:rPr>
                <w:sz w:val="20"/>
                <w:szCs w:val="20"/>
                <w:color w:val="auto"/>
              </w:rPr>
            </w:pPr>
            <w:r>
              <w:rPr>
                <w:rFonts w:ascii="Arial" w:cs="Arial" w:eastAsia="Arial" w:hAnsi="Arial"/>
                <w:sz w:val="18"/>
                <w:szCs w:val="18"/>
                <w:color w:val="auto"/>
                <w:w w:val="94"/>
              </w:rPr>
              <w:t>First-lien loan ($45,572 par, due</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3/15/2018</w:t>
            </w: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L + 9.25%</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11.50%</w:t>
            </w:r>
          </w:p>
        </w:tc>
        <w:tc>
          <w:tcPr>
            <w:tcW w:w="780" w:type="dxa"/>
            <w:vAlign w:val="bottom"/>
          </w:tcPr>
          <w:p>
            <w:pPr>
              <w:jc w:val="right"/>
              <w:spacing w:after="0"/>
              <w:rPr>
                <w:sz w:val="20"/>
                <w:szCs w:val="20"/>
                <w:color w:val="auto"/>
              </w:rPr>
            </w:pPr>
            <w:r>
              <w:rPr>
                <w:rFonts w:ascii="Arial" w:cs="Arial" w:eastAsia="Arial" w:hAnsi="Arial"/>
                <w:sz w:val="18"/>
                <w:szCs w:val="18"/>
                <w:color w:val="auto"/>
              </w:rPr>
              <w:t>44,658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44,940</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auto"/>
              </w:rPr>
              <w:t>3/2023)</w:t>
            </w: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color w:val="auto"/>
                <w:w w:val="99"/>
              </w:rPr>
              <w:t>(incl. 2.50%</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PIK)</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PayLease, LLC </w:t>
            </w:r>
            <w:r>
              <w:rPr>
                <w:rFonts w:ascii="Arial" w:cs="Arial" w:eastAsia="Arial" w:hAnsi="Arial"/>
                <w:sz w:val="15"/>
                <w:szCs w:val="15"/>
                <w:color w:val="auto"/>
              </w:rPr>
              <w:t>(3)</w:t>
            </w: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4"/>
              </w:rPr>
              <w:t>First-lien loan ($56,100 par, due</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7/28/2017</w:t>
            </w: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L + 7.00%</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9.24%</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55,150</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56,100</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7/2022)</w:t>
            </w:r>
          </w:p>
        </w:tc>
        <w:tc>
          <w:tcPr>
            <w:tcW w:w="10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PaySimple, Inc. </w:t>
            </w:r>
            <w:r>
              <w:rPr>
                <w:rFonts w:ascii="Arial" w:cs="Arial" w:eastAsia="Arial" w:hAnsi="Arial"/>
                <w:sz w:val="15"/>
                <w:szCs w:val="15"/>
                <w:color w:val="auto"/>
              </w:rPr>
              <w:t>(3)(5)</w:t>
            </w:r>
          </w:p>
        </w:tc>
        <w:tc>
          <w:tcPr>
            <w:tcW w:w="2500" w:type="dxa"/>
            <w:vAlign w:val="bottom"/>
          </w:tcPr>
          <w:p>
            <w:pPr>
              <w:ind w:left="60"/>
              <w:spacing w:after="0"/>
              <w:rPr>
                <w:sz w:val="20"/>
                <w:szCs w:val="20"/>
                <w:color w:val="auto"/>
              </w:rPr>
            </w:pPr>
            <w:r>
              <w:rPr>
                <w:rFonts w:ascii="Arial" w:cs="Arial" w:eastAsia="Arial" w:hAnsi="Arial"/>
                <w:sz w:val="18"/>
                <w:szCs w:val="18"/>
                <w:color w:val="auto"/>
                <w:w w:val="94"/>
              </w:rPr>
              <w:t>First-lien loan ($58,994 par, due</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4/17/2018</w:t>
            </w: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L + 8.25%</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10.50%</w:t>
            </w:r>
          </w:p>
        </w:tc>
        <w:tc>
          <w:tcPr>
            <w:tcW w:w="780" w:type="dxa"/>
            <w:vAlign w:val="bottom"/>
          </w:tcPr>
          <w:p>
            <w:pPr>
              <w:jc w:val="right"/>
              <w:spacing w:after="0"/>
              <w:rPr>
                <w:sz w:val="20"/>
                <w:szCs w:val="20"/>
                <w:color w:val="auto"/>
              </w:rPr>
            </w:pPr>
            <w:r>
              <w:rPr>
                <w:rFonts w:ascii="Arial" w:cs="Arial" w:eastAsia="Arial" w:hAnsi="Arial"/>
                <w:sz w:val="18"/>
                <w:szCs w:val="18"/>
                <w:color w:val="auto"/>
              </w:rPr>
              <w:t>58,702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58,847</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auto"/>
              </w:rPr>
              <w:t>3/2022)</w:t>
            </w: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color w:val="auto"/>
                <w:w w:val="99"/>
              </w:rPr>
              <w:t>(incl. 1.75%</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PIK)</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Swift Gift Limited </w:t>
            </w:r>
            <w:r>
              <w:rPr>
                <w:rFonts w:ascii="Arial" w:cs="Arial" w:eastAsia="Arial" w:hAnsi="Arial"/>
                <w:sz w:val="15"/>
                <w:szCs w:val="15"/>
                <w:color w:val="auto"/>
              </w:rPr>
              <w:t>(3)(5)</w:t>
            </w: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4"/>
              </w:rPr>
              <w:t>First-lien loan ($28,948 par, due</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7/31/2017</w:t>
            </w: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L + 6.50%</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8.75%</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28,368</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30,033</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1/2022)</w:t>
            </w:r>
          </w:p>
        </w:tc>
        <w:tc>
          <w:tcPr>
            <w:tcW w:w="10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289,303</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294,379</w:t>
            </w: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9"/>
                <w:szCs w:val="19"/>
                <w:color w:val="auto"/>
              </w:rPr>
            </w:pPr>
          </w:p>
        </w:tc>
      </w:tr>
      <w:tr>
        <w:trPr>
          <w:trHeight w:val="223"/>
        </w:trPr>
        <w:tc>
          <w:tcPr>
            <w:tcW w:w="2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Healthcare</w:t>
            </w:r>
          </w:p>
        </w:tc>
        <w:tc>
          <w:tcPr>
            <w:tcW w:w="25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Caris Life Sciences, Inc.</w:t>
            </w:r>
          </w:p>
        </w:tc>
        <w:tc>
          <w:tcPr>
            <w:tcW w:w="2500" w:type="dxa"/>
            <w:vAlign w:val="bottom"/>
          </w:tcPr>
          <w:p>
            <w:pPr>
              <w:ind w:left="60"/>
              <w:spacing w:after="0"/>
              <w:rPr>
                <w:sz w:val="20"/>
                <w:szCs w:val="20"/>
                <w:color w:val="auto"/>
              </w:rPr>
            </w:pPr>
            <w:r>
              <w:rPr>
                <w:rFonts w:ascii="Arial" w:cs="Arial" w:eastAsia="Arial" w:hAnsi="Arial"/>
                <w:sz w:val="18"/>
                <w:szCs w:val="18"/>
                <w:color w:val="auto"/>
                <w:w w:val="98"/>
              </w:rPr>
              <w:t>First-lien loan ($2,500 par, due</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9/21/2018</w:t>
            </w:r>
          </w:p>
        </w:tc>
        <w:tc>
          <w:tcPr>
            <w:tcW w:w="960" w:type="dxa"/>
            <w:vAlign w:val="bottom"/>
          </w:tcPr>
          <w:p>
            <w:pPr>
              <w:jc w:val="right"/>
              <w:spacing w:after="0"/>
              <w:rPr>
                <w:sz w:val="20"/>
                <w:szCs w:val="20"/>
                <w:color w:val="auto"/>
              </w:rPr>
            </w:pPr>
            <w:r>
              <w:rPr>
                <w:rFonts w:ascii="Arial" w:cs="Arial" w:eastAsia="Arial" w:hAnsi="Arial"/>
                <w:sz w:val="18"/>
                <w:szCs w:val="18"/>
                <w:color w:val="auto"/>
              </w:rPr>
              <w:t>11.30%</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11.30%</w:t>
            </w:r>
          </w:p>
        </w:tc>
        <w:tc>
          <w:tcPr>
            <w:tcW w:w="780" w:type="dxa"/>
            <w:vAlign w:val="bottom"/>
          </w:tcPr>
          <w:p>
            <w:pPr>
              <w:jc w:val="right"/>
              <w:spacing w:after="0"/>
              <w:rPr>
                <w:sz w:val="20"/>
                <w:szCs w:val="20"/>
                <w:color w:val="auto"/>
              </w:rPr>
            </w:pPr>
            <w:r>
              <w:rPr>
                <w:rFonts w:ascii="Arial" w:cs="Arial" w:eastAsia="Arial" w:hAnsi="Arial"/>
                <w:sz w:val="18"/>
                <w:szCs w:val="18"/>
                <w:color w:val="auto"/>
              </w:rPr>
              <w:t>2,219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2,219</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auto"/>
              </w:rPr>
              <w:t>9/2023)</w:t>
            </w:r>
          </w:p>
        </w:tc>
        <w:tc>
          <w:tcPr>
            <w:tcW w:w="1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Caris Life Sciences, Inc.</w:t>
            </w: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Convertible note ($2,500 par,</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9/21/2018</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8.00%</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due 9/2023)</w:t>
            </w:r>
          </w:p>
        </w:tc>
        <w:tc>
          <w:tcPr>
            <w:tcW w:w="10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w w:val="92"/>
              </w:rPr>
              <w:t>Integrated Practice Solutions, Inc.</w:t>
            </w:r>
          </w:p>
        </w:tc>
        <w:tc>
          <w:tcPr>
            <w:tcW w:w="2500" w:type="dxa"/>
            <w:vAlign w:val="bottom"/>
          </w:tcPr>
          <w:p>
            <w:pPr>
              <w:ind w:left="60"/>
              <w:spacing w:after="0"/>
              <w:rPr>
                <w:sz w:val="20"/>
                <w:szCs w:val="20"/>
                <w:color w:val="auto"/>
              </w:rPr>
            </w:pPr>
            <w:r>
              <w:rPr>
                <w:rFonts w:ascii="Arial" w:cs="Arial" w:eastAsia="Arial" w:hAnsi="Arial"/>
                <w:sz w:val="18"/>
                <w:szCs w:val="18"/>
                <w:color w:val="auto"/>
                <w:w w:val="94"/>
              </w:rPr>
              <w:t>First-lien loan ($32,094 par, due</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6/30/2017</w:t>
            </w: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L + 8.00%</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10.24%</w:t>
            </w:r>
          </w:p>
        </w:tc>
        <w:tc>
          <w:tcPr>
            <w:tcW w:w="780" w:type="dxa"/>
            <w:vAlign w:val="bottom"/>
          </w:tcPr>
          <w:p>
            <w:pPr>
              <w:jc w:val="right"/>
              <w:spacing w:after="0"/>
              <w:rPr>
                <w:sz w:val="20"/>
                <w:szCs w:val="20"/>
                <w:color w:val="auto"/>
              </w:rPr>
            </w:pPr>
            <w:r>
              <w:rPr>
                <w:rFonts w:ascii="Arial" w:cs="Arial" w:eastAsia="Arial" w:hAnsi="Arial"/>
                <w:sz w:val="18"/>
                <w:szCs w:val="18"/>
                <w:color w:val="auto"/>
              </w:rPr>
              <w:t>31,365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32,014</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5"/>
                <w:szCs w:val="15"/>
                <w:color w:val="auto"/>
              </w:rPr>
              <w:t>(3)(5)</w:t>
            </w:r>
          </w:p>
        </w:tc>
        <w:tc>
          <w:tcPr>
            <w:tcW w:w="2500" w:type="dxa"/>
            <w:vAlign w:val="bottom"/>
          </w:tcPr>
          <w:p>
            <w:pPr>
              <w:ind w:left="60"/>
              <w:spacing w:after="0"/>
              <w:rPr>
                <w:sz w:val="20"/>
                <w:szCs w:val="20"/>
                <w:color w:val="auto"/>
              </w:rPr>
            </w:pPr>
            <w:r>
              <w:rPr>
                <w:rFonts w:ascii="Arial" w:cs="Arial" w:eastAsia="Arial" w:hAnsi="Arial"/>
                <w:sz w:val="18"/>
                <w:szCs w:val="18"/>
                <w:color w:val="auto"/>
              </w:rPr>
              <w:t>6/2022)</w:t>
            </w:r>
          </w:p>
        </w:tc>
        <w:tc>
          <w:tcPr>
            <w:tcW w:w="1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MatrixCare, Inc. </w:t>
            </w:r>
            <w:r>
              <w:rPr>
                <w:rFonts w:ascii="Arial" w:cs="Arial" w:eastAsia="Arial" w:hAnsi="Arial"/>
                <w:sz w:val="15"/>
                <w:szCs w:val="15"/>
                <w:color w:val="auto"/>
              </w:rPr>
              <w:t>(3)(5)</w:t>
            </w: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4"/>
              </w:rPr>
              <w:t>First-lien loan ($56,869 par, due</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12/17/2015</w:t>
            </w: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L + 5.25%</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7.33%</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56,163</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57,580</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12/2021)</w:t>
            </w:r>
          </w:p>
        </w:tc>
        <w:tc>
          <w:tcPr>
            <w:tcW w:w="10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MedeAnalytics, Inc. </w:t>
            </w:r>
            <w:r>
              <w:rPr>
                <w:rFonts w:ascii="Arial" w:cs="Arial" w:eastAsia="Arial" w:hAnsi="Arial"/>
                <w:sz w:val="15"/>
                <w:szCs w:val="15"/>
                <w:color w:val="auto"/>
              </w:rPr>
              <w:t>(3)(5)</w:t>
            </w:r>
          </w:p>
        </w:tc>
        <w:tc>
          <w:tcPr>
            <w:tcW w:w="2500" w:type="dxa"/>
            <w:vAlign w:val="bottom"/>
          </w:tcPr>
          <w:p>
            <w:pPr>
              <w:ind w:left="60"/>
              <w:spacing w:after="0"/>
              <w:rPr>
                <w:sz w:val="20"/>
                <w:szCs w:val="20"/>
                <w:color w:val="auto"/>
              </w:rPr>
            </w:pPr>
            <w:r>
              <w:rPr>
                <w:rFonts w:ascii="Arial" w:cs="Arial" w:eastAsia="Arial" w:hAnsi="Arial"/>
                <w:sz w:val="18"/>
                <w:szCs w:val="18"/>
                <w:color w:val="auto"/>
                <w:w w:val="94"/>
              </w:rPr>
              <w:t>First-lien loan ($42,148 par, due</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9/30/2015</w:t>
            </w: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L + 7.00%</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9.24%</w:t>
            </w:r>
          </w:p>
        </w:tc>
        <w:tc>
          <w:tcPr>
            <w:tcW w:w="780" w:type="dxa"/>
            <w:vAlign w:val="bottom"/>
          </w:tcPr>
          <w:p>
            <w:pPr>
              <w:jc w:val="right"/>
              <w:spacing w:after="0"/>
              <w:rPr>
                <w:sz w:val="20"/>
                <w:szCs w:val="20"/>
                <w:color w:val="auto"/>
              </w:rPr>
            </w:pPr>
            <w:r>
              <w:rPr>
                <w:rFonts w:ascii="Arial" w:cs="Arial" w:eastAsia="Arial" w:hAnsi="Arial"/>
                <w:sz w:val="18"/>
                <w:szCs w:val="18"/>
                <w:color w:val="auto"/>
              </w:rPr>
              <w:t>41,579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42,570</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auto"/>
              </w:rPr>
              <w:t>9/2020)</w:t>
            </w:r>
          </w:p>
        </w:tc>
        <w:tc>
          <w:tcPr>
            <w:tcW w:w="1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Quantros, Inc. </w:t>
            </w:r>
            <w:r>
              <w:rPr>
                <w:rFonts w:ascii="Arial" w:cs="Arial" w:eastAsia="Arial" w:hAnsi="Arial"/>
                <w:sz w:val="15"/>
                <w:szCs w:val="15"/>
                <w:color w:val="auto"/>
              </w:rPr>
              <w:t>(3)(5)</w:t>
            </w: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4"/>
              </w:rPr>
              <w:t>First-lien loan ($28,340 par, due</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2/29/2016</w:t>
            </w: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L + 7.75%</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10.14%</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26,576</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27,915</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9/2019)</w:t>
            </w:r>
          </w:p>
        </w:tc>
        <w:tc>
          <w:tcPr>
            <w:tcW w:w="10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160,402</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164,798</w:t>
            </w: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9"/>
                <w:szCs w:val="19"/>
                <w:color w:val="auto"/>
              </w:rPr>
            </w:pPr>
          </w:p>
        </w:tc>
      </w:tr>
      <w:tr>
        <w:trPr>
          <w:trHeight w:val="223"/>
        </w:trPr>
        <w:tc>
          <w:tcPr>
            <w:tcW w:w="2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Hotel, gaming, and leisure</w:t>
            </w:r>
          </w:p>
        </w:tc>
        <w:tc>
          <w:tcPr>
            <w:tcW w:w="25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(3)(7)</w:t>
            </w:r>
          </w:p>
        </w:tc>
        <w:tc>
          <w:tcPr>
            <w:tcW w:w="2500" w:type="dxa"/>
            <w:vAlign w:val="bottom"/>
          </w:tcPr>
          <w:p>
            <w:pPr>
              <w:ind w:left="60"/>
              <w:spacing w:after="0"/>
              <w:rPr>
                <w:sz w:val="20"/>
                <w:szCs w:val="20"/>
                <w:color w:val="auto"/>
              </w:rPr>
            </w:pPr>
            <w:r>
              <w:rPr>
                <w:rFonts w:ascii="Arial" w:cs="Arial" w:eastAsia="Arial" w:hAnsi="Arial"/>
                <w:sz w:val="18"/>
                <w:szCs w:val="18"/>
                <w:color w:val="auto"/>
                <w:w w:val="94"/>
              </w:rPr>
              <w:t>First-lien loan ($23,278 par, due</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9/29/2015</w:t>
            </w: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L + 9.50%</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11.89%</w:t>
            </w:r>
          </w:p>
        </w:tc>
        <w:tc>
          <w:tcPr>
            <w:tcW w:w="780" w:type="dxa"/>
            <w:vAlign w:val="bottom"/>
          </w:tcPr>
          <w:p>
            <w:pPr>
              <w:jc w:val="right"/>
              <w:spacing w:after="0"/>
              <w:rPr>
                <w:sz w:val="20"/>
                <w:szCs w:val="20"/>
                <w:color w:val="auto"/>
              </w:rPr>
            </w:pPr>
            <w:r>
              <w:rPr>
                <w:rFonts w:ascii="Arial" w:cs="Arial" w:eastAsia="Arial" w:hAnsi="Arial"/>
                <w:sz w:val="18"/>
                <w:szCs w:val="18"/>
                <w:color w:val="auto"/>
              </w:rPr>
              <w:t>23,278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16,585</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auto"/>
              </w:rPr>
              <w:t>9/2019)</w:t>
            </w: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color w:val="auto"/>
                <w:w w:val="99"/>
              </w:rPr>
              <w:t>(incl. 5.00%</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PIK)</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18"/>
                <w:szCs w:val="18"/>
                <w:color w:val="auto"/>
              </w:rPr>
            </w:pP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First-lien revolving loan</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9/29/2015</w:t>
            </w: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L + 9.50%</w:t>
            </w:r>
          </w:p>
        </w:tc>
        <w:tc>
          <w:tcPr>
            <w:tcW w:w="126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11.89%</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26,462</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18,855</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16"/>
        </w:trPr>
        <w:tc>
          <w:tcPr>
            <w:tcW w:w="2520" w:type="dxa"/>
            <w:vAlign w:val="bottom"/>
            <w:shd w:val="clear" w:color="auto" w:fill="CFF0FC"/>
          </w:tcPr>
          <w:p>
            <w:pPr>
              <w:spacing w:after="0"/>
              <w:rPr>
                <w:sz w:val="18"/>
                <w:szCs w:val="18"/>
                <w:color w:val="auto"/>
              </w:rPr>
            </w:pP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($26,462 par, due 9/2019)</w:t>
            </w:r>
          </w:p>
        </w:tc>
        <w:tc>
          <w:tcPr>
            <w:tcW w:w="10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(incl. 5.00%</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PIK)</w:t>
            </w:r>
          </w:p>
        </w:tc>
        <w:tc>
          <w:tcPr>
            <w:tcW w:w="78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20" w:type="dxa"/>
            <w:vAlign w:val="bottom"/>
            <w:tcBorders>
              <w:bottom w:val="single" w:sz="8" w:color="CFF0FC"/>
            </w:tcBorders>
          </w:tcPr>
          <w:p>
            <w:pPr>
              <w:spacing w:after="0"/>
              <w:rPr>
                <w:sz w:val="19"/>
                <w:szCs w:val="19"/>
                <w:color w:val="auto"/>
              </w:rPr>
            </w:pPr>
          </w:p>
        </w:tc>
        <w:tc>
          <w:tcPr>
            <w:tcW w:w="25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49,740</w:t>
            </w:r>
          </w:p>
        </w:tc>
        <w:tc>
          <w:tcPr>
            <w:tcW w:w="2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35,440</w:t>
            </w:r>
          </w:p>
        </w:tc>
        <w:tc>
          <w:tcPr>
            <w:tcW w:w="2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9"/>
                <w:szCs w:val="19"/>
                <w:color w:val="auto"/>
              </w:rPr>
            </w:pPr>
          </w:p>
        </w:tc>
      </w:tr>
      <w:tr>
        <w:trPr>
          <w:trHeight w:val="205"/>
        </w:trPr>
        <w:tc>
          <w:tcPr>
            <w:tcW w:w="252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Human resource support</w:t>
            </w:r>
          </w:p>
        </w:tc>
        <w:tc>
          <w:tcPr>
            <w:tcW w:w="25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services</w:t>
            </w:r>
          </w:p>
        </w:tc>
        <w:tc>
          <w:tcPr>
            <w:tcW w:w="25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ClearCompany, LLC </w:t>
            </w:r>
            <w:r>
              <w:rPr>
                <w:rFonts w:ascii="Arial" w:cs="Arial" w:eastAsia="Arial" w:hAnsi="Arial"/>
                <w:sz w:val="15"/>
                <w:szCs w:val="15"/>
                <w:color w:val="auto"/>
              </w:rPr>
              <w:t>(3)</w:t>
            </w:r>
          </w:p>
        </w:tc>
        <w:tc>
          <w:tcPr>
            <w:tcW w:w="2500" w:type="dxa"/>
            <w:vAlign w:val="bottom"/>
          </w:tcPr>
          <w:p>
            <w:pPr>
              <w:ind w:left="60"/>
              <w:spacing w:after="0"/>
              <w:rPr>
                <w:sz w:val="20"/>
                <w:szCs w:val="20"/>
                <w:color w:val="auto"/>
              </w:rPr>
            </w:pPr>
            <w:r>
              <w:rPr>
                <w:rFonts w:ascii="Arial" w:cs="Arial" w:eastAsia="Arial" w:hAnsi="Arial"/>
                <w:sz w:val="18"/>
                <w:szCs w:val="18"/>
                <w:color w:val="auto"/>
                <w:w w:val="94"/>
              </w:rPr>
              <w:t>First-lien loan ($17,046 par, due</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7/23/2018</w:t>
            </w: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L + 8.50%</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10.81%</w:t>
            </w:r>
          </w:p>
        </w:tc>
        <w:tc>
          <w:tcPr>
            <w:tcW w:w="780" w:type="dxa"/>
            <w:vAlign w:val="bottom"/>
          </w:tcPr>
          <w:p>
            <w:pPr>
              <w:jc w:val="right"/>
              <w:spacing w:after="0"/>
              <w:rPr>
                <w:sz w:val="20"/>
                <w:szCs w:val="20"/>
                <w:color w:val="auto"/>
              </w:rPr>
            </w:pPr>
            <w:r>
              <w:rPr>
                <w:rFonts w:ascii="Arial" w:cs="Arial" w:eastAsia="Arial" w:hAnsi="Arial"/>
                <w:sz w:val="18"/>
                <w:szCs w:val="18"/>
                <w:color w:val="auto"/>
              </w:rPr>
              <w:t>16,760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16,795</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auto"/>
              </w:rPr>
              <w:t>7/2023)</w:t>
            </w: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color w:val="auto"/>
                <w:w w:val="99"/>
              </w:rPr>
              <w:t>(incl. 2.50%</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PIK)</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PageUp People Limited </w:t>
            </w:r>
            <w:r>
              <w:rPr>
                <w:rFonts w:ascii="Arial" w:cs="Arial" w:eastAsia="Arial" w:hAnsi="Arial"/>
                <w:sz w:val="15"/>
                <w:szCs w:val="15"/>
                <w:color w:val="auto"/>
              </w:rPr>
              <w:t>(3)(4)</w:t>
            </w: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5"/>
              </w:rPr>
              <w:t>First-lien loan (AUD 46,621 par,</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1/11/2018</w:t>
            </w:r>
          </w:p>
        </w:tc>
        <w:tc>
          <w:tcPr>
            <w:tcW w:w="9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B +</w:t>
            </w:r>
          </w:p>
        </w:tc>
        <w:tc>
          <w:tcPr>
            <w:tcW w:w="126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9.21% (incl.</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36,043</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33,311</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due 12/2022)</w:t>
            </w:r>
          </w:p>
        </w:tc>
        <w:tc>
          <w:tcPr>
            <w:tcW w:w="1040" w:type="dxa"/>
            <w:vAlign w:val="bottom"/>
            <w:shd w:val="clear" w:color="auto" w:fill="CFF0FC"/>
          </w:tcPr>
          <w:p>
            <w:pPr>
              <w:spacing w:after="0"/>
              <w:rPr>
                <w:sz w:val="20"/>
                <w:szCs w:val="20"/>
                <w:color w:val="auto"/>
              </w:rPr>
            </w:pP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7.25%</w:t>
            </w:r>
          </w:p>
        </w:tc>
        <w:tc>
          <w:tcPr>
            <w:tcW w:w="126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2.25% PIK)</w:t>
            </w:r>
          </w:p>
        </w:tc>
        <w:tc>
          <w:tcPr>
            <w:tcW w:w="780" w:type="dxa"/>
            <w:vAlign w:val="bottom"/>
            <w:shd w:val="clear" w:color="auto" w:fill="CFF0FC"/>
          </w:tcPr>
          <w:p>
            <w:pPr>
              <w:spacing w:after="0"/>
              <w:rPr>
                <w:sz w:val="20"/>
                <w:szCs w:val="20"/>
                <w:color w:val="auto"/>
              </w:rPr>
            </w:pPr>
          </w:p>
        </w:tc>
        <w:tc>
          <w:tcPr>
            <w:tcW w:w="148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(AUD 46,038)</w:t>
            </w: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PageUp People Limited </w:t>
            </w:r>
            <w:r>
              <w:rPr>
                <w:rFonts w:ascii="Arial" w:cs="Arial" w:eastAsia="Arial" w:hAnsi="Arial"/>
                <w:sz w:val="15"/>
                <w:szCs w:val="15"/>
                <w:color w:val="auto"/>
              </w:rPr>
              <w:t>(3)(4)</w:t>
            </w:r>
          </w:p>
        </w:tc>
        <w:tc>
          <w:tcPr>
            <w:tcW w:w="2500" w:type="dxa"/>
            <w:vAlign w:val="bottom"/>
          </w:tcPr>
          <w:p>
            <w:pPr>
              <w:ind w:left="60"/>
              <w:spacing w:after="0"/>
              <w:rPr>
                <w:sz w:val="20"/>
                <w:szCs w:val="20"/>
                <w:color w:val="auto"/>
              </w:rPr>
            </w:pPr>
            <w:r>
              <w:rPr>
                <w:rFonts w:ascii="Arial" w:cs="Arial" w:eastAsia="Arial" w:hAnsi="Arial"/>
                <w:sz w:val="18"/>
                <w:szCs w:val="18"/>
                <w:color w:val="auto"/>
              </w:rPr>
              <w:t>First-lien revolving loan (AUD</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1/11/2018</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B +</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w w:val="99"/>
              </w:rPr>
              <w:t>9.24% (incl.</w:t>
            </w:r>
          </w:p>
        </w:tc>
        <w:tc>
          <w:tcPr>
            <w:tcW w:w="780" w:type="dxa"/>
            <w:vAlign w:val="bottom"/>
          </w:tcPr>
          <w:p>
            <w:pPr>
              <w:jc w:val="right"/>
              <w:spacing w:after="0"/>
              <w:rPr>
                <w:sz w:val="20"/>
                <w:szCs w:val="20"/>
                <w:color w:val="auto"/>
              </w:rPr>
            </w:pPr>
            <w:r>
              <w:rPr>
                <w:rFonts w:ascii="Arial" w:cs="Arial" w:eastAsia="Arial" w:hAnsi="Arial"/>
                <w:sz w:val="18"/>
                <w:szCs w:val="18"/>
                <w:color w:val="auto"/>
              </w:rPr>
              <w:t>1,426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1,402</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r>
      <w:tr>
        <w:trPr>
          <w:trHeight w:val="230"/>
        </w:trPr>
        <w:tc>
          <w:tcPr>
            <w:tcW w:w="2520" w:type="dxa"/>
            <w:vAlign w:val="bottom"/>
            <w:tcBorders>
              <w:bottom w:val="single" w:sz="8" w:color="CFF0FC"/>
            </w:tcBorders>
          </w:tcPr>
          <w:p>
            <w:pPr>
              <w:spacing w:after="0"/>
              <w:rPr>
                <w:sz w:val="20"/>
                <w:szCs w:val="20"/>
                <w:color w:val="auto"/>
              </w:rPr>
            </w:pPr>
          </w:p>
        </w:tc>
        <w:tc>
          <w:tcPr>
            <w:tcW w:w="2500" w:type="dxa"/>
            <w:vAlign w:val="bottom"/>
            <w:tcBorders>
              <w:bottom w:val="single" w:sz="8" w:color="CFF0FC"/>
            </w:tcBorders>
          </w:tcPr>
          <w:p>
            <w:pPr>
              <w:ind w:left="60"/>
              <w:spacing w:after="0"/>
              <w:rPr>
                <w:sz w:val="20"/>
                <w:szCs w:val="20"/>
                <w:color w:val="auto"/>
              </w:rPr>
            </w:pPr>
            <w:r>
              <w:rPr>
                <w:rFonts w:ascii="Arial" w:cs="Arial" w:eastAsia="Arial" w:hAnsi="Arial"/>
                <w:sz w:val="18"/>
                <w:szCs w:val="18"/>
                <w:color w:val="auto"/>
              </w:rPr>
              <w:t>2,000 par, due 12/2022)</w:t>
            </w:r>
          </w:p>
        </w:tc>
        <w:tc>
          <w:tcPr>
            <w:tcW w:w="1040" w:type="dxa"/>
            <w:vAlign w:val="bottom"/>
            <w:tcBorders>
              <w:bottom w:val="single" w:sz="8" w:color="CFF0FC"/>
            </w:tcBorders>
          </w:tcPr>
          <w:p>
            <w:pPr>
              <w:spacing w:after="0"/>
              <w:rPr>
                <w:sz w:val="20"/>
                <w:szCs w:val="20"/>
                <w:color w:val="auto"/>
              </w:rPr>
            </w:pPr>
          </w:p>
        </w:tc>
        <w:tc>
          <w:tcPr>
            <w:tcW w:w="96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0"/>
              </w:rPr>
              <w:t>7.25%</w:t>
            </w:r>
          </w:p>
        </w:tc>
        <w:tc>
          <w:tcPr>
            <w:tcW w:w="1260" w:type="dxa"/>
            <w:vAlign w:val="bottom"/>
            <w:tcBorders>
              <w:bottom w:val="single" w:sz="8" w:color="CFF0FC"/>
            </w:tcBorders>
          </w:tcPr>
          <w:p>
            <w:pPr>
              <w:jc w:val="right"/>
              <w:ind w:right="210"/>
              <w:spacing w:after="0"/>
              <w:rPr>
                <w:sz w:val="20"/>
                <w:szCs w:val="20"/>
                <w:color w:val="auto"/>
              </w:rPr>
            </w:pPr>
            <w:r>
              <w:rPr>
                <w:rFonts w:ascii="Arial" w:cs="Arial" w:eastAsia="Arial" w:hAnsi="Arial"/>
                <w:sz w:val="18"/>
                <w:szCs w:val="18"/>
                <w:color w:val="auto"/>
              </w:rPr>
              <w:t>2.25% PIK)</w:t>
            </w: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(AUD 1,938)</w:t>
            </w:r>
          </w:p>
        </w:tc>
        <w:tc>
          <w:tcPr>
            <w:tcW w:w="220" w:type="dxa"/>
            <w:vAlign w:val="bottom"/>
            <w:tcBorders>
              <w:bottom w:val="single" w:sz="8" w:color="CFF0FC"/>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20" w:type="dxa"/>
            <w:vAlign w:val="bottom"/>
            <w:shd w:val="clear" w:color="auto" w:fill="CFF0FC"/>
          </w:tcPr>
          <w:p>
            <w:pPr>
              <w:spacing w:after="0"/>
              <w:rPr>
                <w:sz w:val="19"/>
                <w:szCs w:val="19"/>
                <w:color w:val="auto"/>
              </w:rPr>
            </w:pPr>
          </w:p>
        </w:tc>
        <w:tc>
          <w:tcPr>
            <w:tcW w:w="25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54,229</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51,508</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r>
      <w:tr>
        <w:trPr>
          <w:trHeight w:val="223"/>
        </w:trPr>
        <w:tc>
          <w:tcPr>
            <w:tcW w:w="2520" w:type="dxa"/>
            <w:vAlign w:val="bottom"/>
          </w:tcPr>
          <w:p>
            <w:pPr>
              <w:spacing w:after="0"/>
              <w:rPr>
                <w:sz w:val="20"/>
                <w:szCs w:val="20"/>
                <w:color w:val="auto"/>
              </w:rPr>
            </w:pPr>
            <w:r>
              <w:rPr>
                <w:rFonts w:ascii="Arial" w:cs="Arial" w:eastAsia="Arial" w:hAnsi="Arial"/>
                <w:sz w:val="18"/>
                <w:szCs w:val="18"/>
                <w:b w:val="1"/>
                <w:bCs w:val="1"/>
                <w:color w:val="auto"/>
              </w:rPr>
              <w:t>Insurance</w:t>
            </w:r>
          </w:p>
        </w:tc>
        <w:tc>
          <w:tcPr>
            <w:tcW w:w="2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Insurity, Inc. </w:t>
            </w:r>
            <w:r>
              <w:rPr>
                <w:rFonts w:ascii="Arial" w:cs="Arial" w:eastAsia="Arial" w:hAnsi="Arial"/>
                <w:sz w:val="15"/>
                <w:szCs w:val="15"/>
                <w:color w:val="auto"/>
              </w:rPr>
              <w:t>(3)(5)</w:t>
            </w: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4"/>
              </w:rPr>
              <w:t>First-lien loan ($62,079 par, due</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10/31/2014</w:t>
            </w: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L + 6.75%</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9.15%</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61,761</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62,855</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00" w:type="dxa"/>
            <w:vAlign w:val="bottom"/>
            <w:shd w:val="clear" w:color="auto" w:fill="CFF0FC"/>
          </w:tcPr>
          <w:p>
            <w:pPr>
              <w:ind w:left="60"/>
              <w:spacing w:after="0"/>
              <w:rPr>
                <w:sz w:val="20"/>
                <w:szCs w:val="20"/>
                <w:color w:val="auto"/>
              </w:rPr>
            </w:pPr>
            <w:r>
              <w:rPr>
                <w:rFonts w:ascii="Arial" w:cs="Arial" w:eastAsia="Arial" w:hAnsi="Arial"/>
                <w:sz w:val="18"/>
                <w:szCs w:val="18"/>
                <w:color w:val="auto"/>
              </w:rPr>
              <w:t>10/2020)</w:t>
            </w:r>
          </w:p>
        </w:tc>
        <w:tc>
          <w:tcPr>
            <w:tcW w:w="10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Riskonnect, Inc. </w:t>
            </w:r>
            <w:r>
              <w:rPr>
                <w:rFonts w:ascii="Arial" w:cs="Arial" w:eastAsia="Arial" w:hAnsi="Arial"/>
                <w:sz w:val="15"/>
                <w:szCs w:val="15"/>
                <w:color w:val="auto"/>
              </w:rPr>
              <w:t>(3)</w:t>
            </w:r>
          </w:p>
        </w:tc>
        <w:tc>
          <w:tcPr>
            <w:tcW w:w="2500" w:type="dxa"/>
            <w:vAlign w:val="bottom"/>
          </w:tcPr>
          <w:p>
            <w:pPr>
              <w:ind w:left="60"/>
              <w:spacing w:after="0"/>
              <w:rPr>
                <w:sz w:val="20"/>
                <w:szCs w:val="20"/>
                <w:color w:val="auto"/>
              </w:rPr>
            </w:pPr>
            <w:r>
              <w:rPr>
                <w:rFonts w:ascii="Arial" w:cs="Arial" w:eastAsia="Arial" w:hAnsi="Arial"/>
                <w:sz w:val="18"/>
                <w:szCs w:val="18"/>
                <w:color w:val="auto"/>
                <w:w w:val="94"/>
              </w:rPr>
              <w:t>First-lien loan ($42,800 par, due</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6/30/2017</w:t>
            </w:r>
          </w:p>
        </w:tc>
        <w:tc>
          <w:tcPr>
            <w:tcW w:w="960" w:type="dxa"/>
            <w:vAlign w:val="bottom"/>
          </w:tcPr>
          <w:p>
            <w:pPr>
              <w:jc w:val="center"/>
              <w:spacing w:after="0"/>
              <w:rPr>
                <w:sz w:val="20"/>
                <w:szCs w:val="20"/>
                <w:color w:val="auto"/>
              </w:rPr>
            </w:pPr>
            <w:r>
              <w:rPr>
                <w:rFonts w:ascii="Arial" w:cs="Arial" w:eastAsia="Arial" w:hAnsi="Arial"/>
                <w:sz w:val="18"/>
                <w:szCs w:val="18"/>
                <w:color w:val="auto"/>
                <w:w w:val="95"/>
              </w:rPr>
              <w:t>L + 7.75%</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10.14%</w:t>
            </w:r>
          </w:p>
        </w:tc>
        <w:tc>
          <w:tcPr>
            <w:tcW w:w="780" w:type="dxa"/>
            <w:vAlign w:val="bottom"/>
          </w:tcPr>
          <w:p>
            <w:pPr>
              <w:jc w:val="right"/>
              <w:spacing w:after="0"/>
              <w:rPr>
                <w:sz w:val="20"/>
                <w:szCs w:val="20"/>
                <w:color w:val="auto"/>
              </w:rPr>
            </w:pPr>
            <w:r>
              <w:rPr>
                <w:rFonts w:ascii="Arial" w:cs="Arial" w:eastAsia="Arial" w:hAnsi="Arial"/>
                <w:sz w:val="18"/>
                <w:szCs w:val="18"/>
                <w:color w:val="auto"/>
              </w:rPr>
              <w:t>42,044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42,800</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auto"/>
              </w:rPr>
              <w:t>6/2022)</w:t>
            </w:r>
          </w:p>
        </w:tc>
        <w:tc>
          <w:tcPr>
            <w:tcW w:w="1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26"/>
        </w:trPr>
        <w:tc>
          <w:tcPr>
            <w:tcW w:w="2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7</w:t>
            </w: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52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
        </w:trPr>
        <w:tc>
          <w:tcPr>
            <w:tcW w:w="2600" w:type="dxa"/>
            <w:vAlign w:val="bottom"/>
            <w:shd w:val="clear" w:color="auto" w:fill="CFF0FC"/>
          </w:tcPr>
          <w:p>
            <w:pPr>
              <w:spacing w:after="0" w:line="20" w:lineRule="exact"/>
              <w:rPr>
                <w:sz w:val="1"/>
                <w:szCs w:val="1"/>
                <w:color w:val="auto"/>
              </w:rPr>
            </w:pPr>
          </w:p>
        </w:tc>
        <w:tc>
          <w:tcPr>
            <w:tcW w:w="270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600" w:type="dxa"/>
            <w:vAlign w:val="bottom"/>
            <w:shd w:val="clear" w:color="auto" w:fill="CFF0FC"/>
          </w:tcPr>
          <w:p>
            <w:pPr>
              <w:spacing w:after="0"/>
              <w:rPr>
                <w:sz w:val="19"/>
                <w:szCs w:val="19"/>
                <w:color w:val="auto"/>
              </w:rPr>
            </w:pPr>
          </w:p>
        </w:tc>
        <w:tc>
          <w:tcPr>
            <w:tcW w:w="27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103,805</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105,655</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9"/>
                <w:szCs w:val="19"/>
                <w:color w:val="auto"/>
              </w:rPr>
            </w:pPr>
          </w:p>
        </w:tc>
      </w:tr>
      <w:tr>
        <w:trPr>
          <w:trHeight w:val="223"/>
        </w:trPr>
        <w:tc>
          <w:tcPr>
            <w:tcW w:w="2600" w:type="dxa"/>
            <w:vAlign w:val="bottom"/>
          </w:tcPr>
          <w:p>
            <w:pPr>
              <w:spacing w:after="0"/>
              <w:rPr>
                <w:sz w:val="20"/>
                <w:szCs w:val="20"/>
                <w:color w:val="auto"/>
              </w:rPr>
            </w:pPr>
            <w:r>
              <w:rPr>
                <w:rFonts w:ascii="Arial" w:cs="Arial" w:eastAsia="Arial" w:hAnsi="Arial"/>
                <w:sz w:val="18"/>
                <w:szCs w:val="18"/>
                <w:b w:val="1"/>
                <w:bCs w:val="1"/>
                <w:color w:val="auto"/>
              </w:rPr>
              <w:t>Internet services</w:t>
            </w:r>
          </w:p>
        </w:tc>
        <w:tc>
          <w:tcPr>
            <w:tcW w:w="2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Higher Logic, LLC </w:t>
            </w:r>
            <w:r>
              <w:rPr>
                <w:rFonts w:ascii="Arial" w:cs="Arial" w:eastAsia="Arial" w:hAnsi="Arial"/>
                <w:sz w:val="15"/>
                <w:szCs w:val="15"/>
                <w:color w:val="auto"/>
              </w:rPr>
              <w:t>(3)(5)</w:t>
            </w:r>
          </w:p>
        </w:tc>
        <w:tc>
          <w:tcPr>
            <w:tcW w:w="27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First-lien loan ($37,905 par, due</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6/18/2018</w:t>
            </w:r>
          </w:p>
        </w:tc>
        <w:tc>
          <w:tcPr>
            <w:tcW w:w="122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L + 6.00%</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8.39%</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37,288</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37,431</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r>
      <w:tr>
        <w:trPr>
          <w:trHeight w:val="230"/>
        </w:trPr>
        <w:tc>
          <w:tcPr>
            <w:tcW w:w="2600" w:type="dxa"/>
            <w:vAlign w:val="bottom"/>
            <w:shd w:val="clear" w:color="auto" w:fill="CFF0FC"/>
          </w:tcPr>
          <w:p>
            <w:pPr>
              <w:spacing w:after="0"/>
              <w:rPr>
                <w:sz w:val="20"/>
                <w:szCs w:val="20"/>
                <w:color w:val="auto"/>
              </w:rPr>
            </w:pPr>
          </w:p>
        </w:tc>
        <w:tc>
          <w:tcPr>
            <w:tcW w:w="27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1/2022)</w:t>
            </w:r>
          </w:p>
        </w:tc>
        <w:tc>
          <w:tcPr>
            <w:tcW w:w="10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600" w:type="dxa"/>
            <w:vAlign w:val="bottom"/>
          </w:tcPr>
          <w:p>
            <w:pPr>
              <w:spacing w:after="0"/>
              <w:rPr>
                <w:sz w:val="20"/>
                <w:szCs w:val="20"/>
                <w:color w:val="auto"/>
              </w:rPr>
            </w:pPr>
            <w:r>
              <w:rPr>
                <w:rFonts w:ascii="Arial" w:cs="Arial" w:eastAsia="Arial" w:hAnsi="Arial"/>
                <w:sz w:val="18"/>
                <w:szCs w:val="18"/>
                <w:color w:val="auto"/>
              </w:rPr>
              <w:t xml:space="preserve">Lithium Technologies, LLC </w:t>
            </w:r>
            <w:r>
              <w:rPr>
                <w:rFonts w:ascii="Arial" w:cs="Arial" w:eastAsia="Arial" w:hAnsi="Arial"/>
                <w:sz w:val="15"/>
                <w:szCs w:val="15"/>
                <w:color w:val="auto"/>
              </w:rPr>
              <w:t>(3)</w:t>
            </w:r>
          </w:p>
        </w:tc>
        <w:tc>
          <w:tcPr>
            <w:tcW w:w="2700" w:type="dxa"/>
            <w:vAlign w:val="bottom"/>
          </w:tcPr>
          <w:p>
            <w:pPr>
              <w:ind w:left="100"/>
              <w:spacing w:after="0"/>
              <w:rPr>
                <w:sz w:val="20"/>
                <w:szCs w:val="20"/>
                <w:color w:val="auto"/>
              </w:rPr>
            </w:pPr>
            <w:r>
              <w:rPr>
                <w:rFonts w:ascii="Arial" w:cs="Arial" w:eastAsia="Arial" w:hAnsi="Arial"/>
                <w:sz w:val="18"/>
                <w:szCs w:val="18"/>
                <w:color w:val="auto"/>
              </w:rPr>
              <w:t>First-lien loan ($50,000 par, due</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10/3/2017</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L + 8.00%</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10.35%</w:t>
            </w:r>
          </w:p>
        </w:tc>
        <w:tc>
          <w:tcPr>
            <w:tcW w:w="760" w:type="dxa"/>
            <w:vAlign w:val="bottom"/>
          </w:tcPr>
          <w:p>
            <w:pPr>
              <w:jc w:val="right"/>
              <w:spacing w:after="0"/>
              <w:rPr>
                <w:sz w:val="20"/>
                <w:szCs w:val="20"/>
                <w:color w:val="auto"/>
              </w:rPr>
            </w:pPr>
            <w:r>
              <w:rPr>
                <w:rFonts w:ascii="Arial" w:cs="Arial" w:eastAsia="Arial" w:hAnsi="Arial"/>
                <w:sz w:val="18"/>
                <w:szCs w:val="18"/>
                <w:color w:val="auto"/>
              </w:rPr>
              <w:t>48,992</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49,866</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r>
      <w:tr>
        <w:trPr>
          <w:trHeight w:val="230"/>
        </w:trPr>
        <w:tc>
          <w:tcPr>
            <w:tcW w:w="2600" w:type="dxa"/>
            <w:vAlign w:val="bottom"/>
            <w:tcBorders>
              <w:bottom w:val="single" w:sz="8" w:color="CFF0FC"/>
            </w:tcBorders>
          </w:tcPr>
          <w:p>
            <w:pPr>
              <w:spacing w:after="0"/>
              <w:rPr>
                <w:sz w:val="20"/>
                <w:szCs w:val="20"/>
                <w:color w:val="auto"/>
              </w:rPr>
            </w:pPr>
          </w:p>
        </w:tc>
        <w:tc>
          <w:tcPr>
            <w:tcW w:w="270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10/2022)</w:t>
            </w:r>
          </w:p>
        </w:tc>
        <w:tc>
          <w:tcPr>
            <w:tcW w:w="1020" w:type="dxa"/>
            <w:vAlign w:val="bottom"/>
            <w:tcBorders>
              <w:bottom w:val="single" w:sz="8" w:color="CFF0FC"/>
            </w:tcBorders>
          </w:tcPr>
          <w:p>
            <w:pPr>
              <w:spacing w:after="0"/>
              <w:rPr>
                <w:sz w:val="20"/>
                <w:szCs w:val="20"/>
                <w:color w:val="auto"/>
              </w:rPr>
            </w:pPr>
          </w:p>
        </w:tc>
        <w:tc>
          <w:tcPr>
            <w:tcW w:w="1220" w:type="dxa"/>
            <w:vAlign w:val="bottom"/>
            <w:tcBorders>
              <w:bottom w:val="single" w:sz="8" w:color="CFF0FC"/>
            </w:tcBorders>
          </w:tcPr>
          <w:p>
            <w:pPr>
              <w:spacing w:after="0"/>
              <w:rPr>
                <w:sz w:val="20"/>
                <w:szCs w:val="20"/>
                <w:color w:val="auto"/>
              </w:rPr>
            </w:pPr>
          </w:p>
        </w:tc>
        <w:tc>
          <w:tcPr>
            <w:tcW w:w="1020" w:type="dxa"/>
            <w:vAlign w:val="bottom"/>
            <w:tcBorders>
              <w:bottom w:val="single" w:sz="8" w:color="CFF0FC"/>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600" w:type="dxa"/>
            <w:vAlign w:val="bottom"/>
            <w:shd w:val="clear" w:color="auto" w:fill="CFF0FC"/>
          </w:tcPr>
          <w:p>
            <w:pPr>
              <w:spacing w:after="0"/>
              <w:rPr>
                <w:sz w:val="19"/>
                <w:szCs w:val="19"/>
                <w:color w:val="auto"/>
              </w:rPr>
            </w:pPr>
          </w:p>
        </w:tc>
        <w:tc>
          <w:tcPr>
            <w:tcW w:w="27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86,280</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87,297</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9"/>
                <w:szCs w:val="19"/>
                <w:color w:val="auto"/>
              </w:rPr>
            </w:pPr>
          </w:p>
        </w:tc>
      </w:tr>
      <w:tr>
        <w:trPr>
          <w:trHeight w:val="223"/>
        </w:trPr>
        <w:tc>
          <w:tcPr>
            <w:tcW w:w="2600" w:type="dxa"/>
            <w:vAlign w:val="bottom"/>
          </w:tcPr>
          <w:p>
            <w:pPr>
              <w:spacing w:after="0"/>
              <w:rPr>
                <w:sz w:val="20"/>
                <w:szCs w:val="20"/>
                <w:color w:val="auto"/>
              </w:rPr>
            </w:pPr>
            <w:r>
              <w:rPr>
                <w:rFonts w:ascii="Arial" w:cs="Arial" w:eastAsia="Arial" w:hAnsi="Arial"/>
                <w:sz w:val="18"/>
                <w:szCs w:val="18"/>
                <w:b w:val="1"/>
                <w:bCs w:val="1"/>
                <w:color w:val="auto"/>
              </w:rPr>
              <w:t>Manufacturing</w:t>
            </w:r>
          </w:p>
        </w:tc>
        <w:tc>
          <w:tcPr>
            <w:tcW w:w="2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Industrial Physics, LLC </w:t>
            </w:r>
            <w:r>
              <w:rPr>
                <w:rFonts w:ascii="Arial" w:cs="Arial" w:eastAsia="Arial" w:hAnsi="Arial"/>
                <w:sz w:val="15"/>
                <w:szCs w:val="15"/>
                <w:color w:val="auto"/>
              </w:rPr>
              <w:t>(3)</w:t>
            </w:r>
          </w:p>
        </w:tc>
        <w:tc>
          <w:tcPr>
            <w:tcW w:w="27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First-lien loan ($9,900 par, due</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7"/>
              </w:rPr>
              <w:t>10/23/2017</w:t>
            </w:r>
          </w:p>
        </w:tc>
        <w:tc>
          <w:tcPr>
            <w:tcW w:w="122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L + 7.00%</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9.24%</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9,733</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9,851</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r>
      <w:tr>
        <w:trPr>
          <w:trHeight w:val="230"/>
        </w:trPr>
        <w:tc>
          <w:tcPr>
            <w:tcW w:w="2600" w:type="dxa"/>
            <w:vAlign w:val="bottom"/>
            <w:shd w:val="clear" w:color="auto" w:fill="CFF0FC"/>
          </w:tcPr>
          <w:p>
            <w:pPr>
              <w:spacing w:after="0"/>
              <w:rPr>
                <w:sz w:val="20"/>
                <w:szCs w:val="20"/>
                <w:color w:val="auto"/>
              </w:rPr>
            </w:pPr>
          </w:p>
        </w:tc>
        <w:tc>
          <w:tcPr>
            <w:tcW w:w="27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10/2022)</w:t>
            </w:r>
          </w:p>
        </w:tc>
        <w:tc>
          <w:tcPr>
            <w:tcW w:w="10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600" w:type="dxa"/>
            <w:vAlign w:val="bottom"/>
          </w:tcPr>
          <w:p>
            <w:pPr>
              <w:spacing w:after="0"/>
              <w:rPr>
                <w:sz w:val="18"/>
                <w:szCs w:val="18"/>
                <w:color w:val="auto"/>
              </w:rPr>
            </w:pPr>
          </w:p>
        </w:tc>
        <w:tc>
          <w:tcPr>
            <w:tcW w:w="2700" w:type="dxa"/>
            <w:vAlign w:val="bottom"/>
          </w:tcPr>
          <w:p>
            <w:pPr>
              <w:ind w:left="100"/>
              <w:spacing w:after="0"/>
              <w:rPr>
                <w:sz w:val="20"/>
                <w:szCs w:val="20"/>
                <w:color w:val="auto"/>
              </w:rPr>
            </w:pPr>
            <w:r>
              <w:rPr>
                <w:rFonts w:ascii="Arial" w:cs="Arial" w:eastAsia="Arial" w:hAnsi="Arial"/>
                <w:sz w:val="18"/>
                <w:szCs w:val="18"/>
                <w:color w:val="auto"/>
              </w:rPr>
              <w:t>First-lien loan (EUR 20,906 par,</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7"/>
              </w:rPr>
              <w:t>10/23/2017</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E + 7.00%</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8.00%</w:t>
            </w:r>
          </w:p>
        </w:tc>
        <w:tc>
          <w:tcPr>
            <w:tcW w:w="760" w:type="dxa"/>
            <w:vAlign w:val="bottom"/>
          </w:tcPr>
          <w:p>
            <w:pPr>
              <w:jc w:val="right"/>
              <w:spacing w:after="0"/>
              <w:rPr>
                <w:sz w:val="20"/>
                <w:szCs w:val="20"/>
                <w:color w:val="auto"/>
              </w:rPr>
            </w:pPr>
            <w:r>
              <w:rPr>
                <w:rFonts w:ascii="Arial" w:cs="Arial" w:eastAsia="Arial" w:hAnsi="Arial"/>
                <w:sz w:val="18"/>
                <w:szCs w:val="18"/>
                <w:color w:val="auto"/>
              </w:rPr>
              <w:t>24,141</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24,161</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2700" w:type="dxa"/>
            <w:vAlign w:val="bottom"/>
          </w:tcPr>
          <w:p>
            <w:pPr>
              <w:ind w:left="100"/>
              <w:spacing w:after="0"/>
              <w:rPr>
                <w:sz w:val="20"/>
                <w:szCs w:val="20"/>
                <w:color w:val="auto"/>
              </w:rPr>
            </w:pPr>
            <w:r>
              <w:rPr>
                <w:rFonts w:ascii="Arial" w:cs="Arial" w:eastAsia="Arial" w:hAnsi="Arial"/>
                <w:sz w:val="18"/>
                <w:szCs w:val="18"/>
                <w:color w:val="auto"/>
              </w:rPr>
              <w:t>due 10/2022)</w:t>
            </w:r>
          </w:p>
        </w:tc>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ind w:left="340"/>
              <w:spacing w:after="0"/>
              <w:rPr>
                <w:sz w:val="20"/>
                <w:szCs w:val="20"/>
                <w:color w:val="auto"/>
              </w:rPr>
            </w:pPr>
            <w:r>
              <w:rPr>
                <w:rFonts w:ascii="Arial" w:cs="Arial" w:eastAsia="Arial" w:hAnsi="Arial"/>
                <w:sz w:val="18"/>
                <w:szCs w:val="18"/>
                <w:color w:val="auto"/>
              </w:rPr>
              <w:t>(EUR</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20,802)</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600" w:type="dxa"/>
            <w:vAlign w:val="bottom"/>
            <w:shd w:val="clear" w:color="auto" w:fill="CFF0FC"/>
          </w:tcPr>
          <w:p>
            <w:pPr>
              <w:spacing w:after="0"/>
              <w:rPr>
                <w:sz w:val="18"/>
                <w:szCs w:val="18"/>
                <w:color w:val="auto"/>
              </w:rPr>
            </w:pPr>
          </w:p>
        </w:tc>
        <w:tc>
          <w:tcPr>
            <w:tcW w:w="27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First-lien revolving loan ($1,350</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7"/>
              </w:rPr>
              <w:t>10/23/2017</w:t>
            </w:r>
          </w:p>
        </w:tc>
        <w:tc>
          <w:tcPr>
            <w:tcW w:w="122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L + 7.00%</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9.24%</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1,269</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1,325</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r>
      <w:tr>
        <w:trPr>
          <w:trHeight w:val="230"/>
        </w:trPr>
        <w:tc>
          <w:tcPr>
            <w:tcW w:w="2600" w:type="dxa"/>
            <w:vAlign w:val="bottom"/>
            <w:shd w:val="clear" w:color="auto" w:fill="CFF0FC"/>
          </w:tcPr>
          <w:p>
            <w:pPr>
              <w:spacing w:after="0"/>
              <w:rPr>
                <w:sz w:val="20"/>
                <w:szCs w:val="20"/>
                <w:color w:val="auto"/>
              </w:rPr>
            </w:pPr>
          </w:p>
        </w:tc>
        <w:tc>
          <w:tcPr>
            <w:tcW w:w="27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par, due 10/2022)</w:t>
            </w:r>
          </w:p>
        </w:tc>
        <w:tc>
          <w:tcPr>
            <w:tcW w:w="10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600" w:type="dxa"/>
            <w:vAlign w:val="bottom"/>
          </w:tcPr>
          <w:p>
            <w:pPr>
              <w:spacing w:after="0"/>
              <w:rPr>
                <w:sz w:val="20"/>
                <w:szCs w:val="20"/>
                <w:color w:val="auto"/>
              </w:rPr>
            </w:pPr>
            <w:r>
              <w:rPr>
                <w:rFonts w:ascii="Arial" w:cs="Arial" w:eastAsia="Arial" w:hAnsi="Arial"/>
                <w:sz w:val="18"/>
                <w:szCs w:val="18"/>
                <w:color w:val="auto"/>
              </w:rPr>
              <w:t xml:space="preserve">ScentAir Technologies, Inc. </w:t>
            </w:r>
            <w:r>
              <w:rPr>
                <w:rFonts w:ascii="Arial" w:cs="Arial" w:eastAsia="Arial" w:hAnsi="Arial"/>
                <w:sz w:val="15"/>
                <w:szCs w:val="15"/>
                <w:color w:val="auto"/>
              </w:rPr>
              <w:t>(3)</w:t>
            </w:r>
          </w:p>
        </w:tc>
        <w:tc>
          <w:tcPr>
            <w:tcW w:w="2700" w:type="dxa"/>
            <w:vAlign w:val="bottom"/>
          </w:tcPr>
          <w:p>
            <w:pPr>
              <w:ind w:left="100"/>
              <w:spacing w:after="0"/>
              <w:rPr>
                <w:sz w:val="20"/>
                <w:szCs w:val="20"/>
                <w:color w:val="auto"/>
              </w:rPr>
            </w:pPr>
            <w:r>
              <w:rPr>
                <w:rFonts w:ascii="Arial" w:cs="Arial" w:eastAsia="Arial" w:hAnsi="Arial"/>
                <w:sz w:val="18"/>
                <w:szCs w:val="18"/>
                <w:color w:val="auto"/>
              </w:rPr>
              <w:t>First-lien loan ($19,986 par, due</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7"/>
              </w:rPr>
              <w:t>12/30/2014</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L + 7.25%</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9.49%</w:t>
            </w:r>
          </w:p>
        </w:tc>
        <w:tc>
          <w:tcPr>
            <w:tcW w:w="760" w:type="dxa"/>
            <w:vAlign w:val="bottom"/>
          </w:tcPr>
          <w:p>
            <w:pPr>
              <w:jc w:val="right"/>
              <w:spacing w:after="0"/>
              <w:rPr>
                <w:sz w:val="20"/>
                <w:szCs w:val="20"/>
                <w:color w:val="auto"/>
              </w:rPr>
            </w:pPr>
            <w:r>
              <w:rPr>
                <w:rFonts w:ascii="Arial" w:cs="Arial" w:eastAsia="Arial" w:hAnsi="Arial"/>
                <w:sz w:val="18"/>
                <w:szCs w:val="18"/>
                <w:color w:val="auto"/>
              </w:rPr>
              <w:t>19,876</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19,986</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p>
        </w:tc>
        <w:tc>
          <w:tcPr>
            <w:tcW w:w="2700" w:type="dxa"/>
            <w:vAlign w:val="bottom"/>
          </w:tcPr>
          <w:p>
            <w:pPr>
              <w:ind w:left="100"/>
              <w:spacing w:after="0"/>
              <w:rPr>
                <w:sz w:val="20"/>
                <w:szCs w:val="20"/>
                <w:color w:val="auto"/>
              </w:rPr>
            </w:pPr>
            <w:r>
              <w:rPr>
                <w:rFonts w:ascii="Arial" w:cs="Arial" w:eastAsia="Arial" w:hAnsi="Arial"/>
                <w:sz w:val="18"/>
                <w:szCs w:val="18"/>
                <w:color w:val="auto"/>
              </w:rPr>
              <w:t>12/2019)</w:t>
            </w:r>
          </w:p>
        </w:tc>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600" w:type="dxa"/>
            <w:vAlign w:val="bottom"/>
            <w:shd w:val="clear" w:color="auto" w:fill="CFF0FC"/>
          </w:tcPr>
          <w:p>
            <w:pPr>
              <w:spacing w:after="0"/>
              <w:rPr>
                <w:sz w:val="18"/>
                <w:szCs w:val="18"/>
                <w:color w:val="auto"/>
              </w:rPr>
            </w:pPr>
          </w:p>
        </w:tc>
        <w:tc>
          <w:tcPr>
            <w:tcW w:w="27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First-lien revolving loan ($1,393</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7"/>
              </w:rPr>
              <w:t>12/30/2014</w:t>
            </w:r>
          </w:p>
        </w:tc>
        <w:tc>
          <w:tcPr>
            <w:tcW w:w="122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L + 7.25%</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9.49%</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1,383</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r>
      <w:tr>
        <w:trPr>
          <w:trHeight w:val="230"/>
        </w:trPr>
        <w:tc>
          <w:tcPr>
            <w:tcW w:w="2600" w:type="dxa"/>
            <w:vAlign w:val="bottom"/>
            <w:shd w:val="clear" w:color="auto" w:fill="CFF0FC"/>
          </w:tcPr>
          <w:p>
            <w:pPr>
              <w:spacing w:after="0"/>
              <w:rPr>
                <w:sz w:val="20"/>
                <w:szCs w:val="20"/>
                <w:color w:val="auto"/>
              </w:rPr>
            </w:pPr>
          </w:p>
        </w:tc>
        <w:tc>
          <w:tcPr>
            <w:tcW w:w="27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par, due 12/2019)</w:t>
            </w:r>
          </w:p>
        </w:tc>
        <w:tc>
          <w:tcPr>
            <w:tcW w:w="10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6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56,402</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56,716</w:t>
            </w:r>
          </w:p>
        </w:tc>
        <w:tc>
          <w:tcPr>
            <w:tcW w:w="2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9"/>
                <w:szCs w:val="19"/>
                <w:color w:val="auto"/>
              </w:rPr>
            </w:pPr>
          </w:p>
        </w:tc>
      </w:tr>
      <w:tr>
        <w:trPr>
          <w:trHeight w:val="223"/>
        </w:trPr>
        <w:tc>
          <w:tcPr>
            <w:tcW w:w="2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Marketing services</w:t>
            </w:r>
          </w:p>
        </w:tc>
        <w:tc>
          <w:tcPr>
            <w:tcW w:w="27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600" w:type="dxa"/>
            <w:vAlign w:val="bottom"/>
          </w:tcPr>
          <w:p>
            <w:pPr>
              <w:spacing w:after="0"/>
              <w:rPr>
                <w:sz w:val="20"/>
                <w:szCs w:val="20"/>
                <w:color w:val="auto"/>
              </w:rPr>
            </w:pPr>
            <w:r>
              <w:rPr>
                <w:rFonts w:ascii="Arial" w:cs="Arial" w:eastAsia="Arial" w:hAnsi="Arial"/>
                <w:sz w:val="18"/>
                <w:szCs w:val="18"/>
                <w:color w:val="auto"/>
              </w:rPr>
              <w:t>Bazaarvoice, Inc.</w:t>
            </w:r>
            <w:r>
              <w:rPr>
                <w:rFonts w:ascii="Arial" w:cs="Arial" w:eastAsia="Arial" w:hAnsi="Arial"/>
                <w:sz w:val="15"/>
                <w:szCs w:val="15"/>
                <w:color w:val="auto"/>
              </w:rPr>
              <w:t>(3)</w:t>
            </w:r>
          </w:p>
        </w:tc>
        <w:tc>
          <w:tcPr>
            <w:tcW w:w="2700" w:type="dxa"/>
            <w:vAlign w:val="bottom"/>
          </w:tcPr>
          <w:p>
            <w:pPr>
              <w:ind w:left="100"/>
              <w:spacing w:after="0"/>
              <w:rPr>
                <w:sz w:val="20"/>
                <w:szCs w:val="20"/>
                <w:color w:val="auto"/>
              </w:rPr>
            </w:pPr>
            <w:r>
              <w:rPr>
                <w:rFonts w:ascii="Arial" w:cs="Arial" w:eastAsia="Arial" w:hAnsi="Arial"/>
                <w:sz w:val="18"/>
                <w:szCs w:val="18"/>
                <w:color w:val="auto"/>
              </w:rPr>
              <w:t>First-lien loan ($39,800 par, due</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2/1/2018</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L + 8.00%</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10.24%</w:t>
            </w:r>
          </w:p>
        </w:tc>
        <w:tc>
          <w:tcPr>
            <w:tcW w:w="760" w:type="dxa"/>
            <w:vAlign w:val="bottom"/>
          </w:tcPr>
          <w:p>
            <w:pPr>
              <w:jc w:val="right"/>
              <w:spacing w:after="0"/>
              <w:rPr>
                <w:sz w:val="20"/>
                <w:szCs w:val="20"/>
                <w:color w:val="auto"/>
              </w:rPr>
            </w:pPr>
            <w:r>
              <w:rPr>
                <w:rFonts w:ascii="Arial" w:cs="Arial" w:eastAsia="Arial" w:hAnsi="Arial"/>
                <w:sz w:val="18"/>
                <w:szCs w:val="18"/>
                <w:color w:val="auto"/>
              </w:rPr>
              <w:t>39,463</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39,601</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p>
        </w:tc>
        <w:tc>
          <w:tcPr>
            <w:tcW w:w="2700" w:type="dxa"/>
            <w:vAlign w:val="bottom"/>
          </w:tcPr>
          <w:p>
            <w:pPr>
              <w:ind w:left="100"/>
              <w:spacing w:after="0"/>
              <w:rPr>
                <w:sz w:val="20"/>
                <w:szCs w:val="20"/>
                <w:color w:val="auto"/>
              </w:rPr>
            </w:pPr>
            <w:r>
              <w:rPr>
                <w:rFonts w:ascii="Arial" w:cs="Arial" w:eastAsia="Arial" w:hAnsi="Arial"/>
                <w:sz w:val="18"/>
                <w:szCs w:val="18"/>
                <w:color w:val="auto"/>
              </w:rPr>
              <w:t>2/2024)</w:t>
            </w:r>
          </w:p>
        </w:tc>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600" w:type="dxa"/>
            <w:vAlign w:val="bottom"/>
            <w:shd w:val="clear" w:color="auto" w:fill="CFF0FC"/>
          </w:tcPr>
          <w:p>
            <w:pPr>
              <w:spacing w:after="0"/>
              <w:rPr>
                <w:sz w:val="18"/>
                <w:szCs w:val="18"/>
                <w:color w:val="auto"/>
              </w:rPr>
            </w:pPr>
          </w:p>
        </w:tc>
        <w:tc>
          <w:tcPr>
            <w:tcW w:w="27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First-lien revolving loan ($1,000</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2/1/2018</w:t>
            </w:r>
          </w:p>
        </w:tc>
        <w:tc>
          <w:tcPr>
            <w:tcW w:w="122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rPr>
              <w:t>P +</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12.25%</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r>
      <w:tr>
        <w:trPr>
          <w:trHeight w:val="230"/>
        </w:trPr>
        <w:tc>
          <w:tcPr>
            <w:tcW w:w="2600" w:type="dxa"/>
            <w:vAlign w:val="bottom"/>
            <w:shd w:val="clear" w:color="auto" w:fill="CFF0FC"/>
          </w:tcPr>
          <w:p>
            <w:pPr>
              <w:spacing w:after="0"/>
              <w:rPr>
                <w:sz w:val="20"/>
                <w:szCs w:val="20"/>
                <w:color w:val="auto"/>
              </w:rPr>
            </w:pPr>
          </w:p>
        </w:tc>
        <w:tc>
          <w:tcPr>
            <w:tcW w:w="27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par, due 2/2024)</w:t>
            </w:r>
          </w:p>
        </w:tc>
        <w:tc>
          <w:tcPr>
            <w:tcW w:w="102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rPr>
              <w:t>7.00%</w:t>
            </w:r>
          </w:p>
        </w:tc>
        <w:tc>
          <w:tcPr>
            <w:tcW w:w="10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600" w:type="dxa"/>
            <w:vAlign w:val="bottom"/>
          </w:tcPr>
          <w:p>
            <w:pPr>
              <w:spacing w:after="0"/>
              <w:rPr>
                <w:sz w:val="20"/>
                <w:szCs w:val="20"/>
                <w:color w:val="auto"/>
              </w:rPr>
            </w:pPr>
            <w:r>
              <w:rPr>
                <w:rFonts w:ascii="Arial" w:cs="Arial" w:eastAsia="Arial" w:hAnsi="Arial"/>
                <w:sz w:val="18"/>
                <w:szCs w:val="18"/>
                <w:color w:val="auto"/>
              </w:rPr>
              <w:t xml:space="preserve">Validity, Inc. </w:t>
            </w:r>
            <w:r>
              <w:rPr>
                <w:rFonts w:ascii="Arial" w:cs="Arial" w:eastAsia="Arial" w:hAnsi="Arial"/>
                <w:sz w:val="15"/>
                <w:szCs w:val="15"/>
                <w:color w:val="auto"/>
              </w:rPr>
              <w:t>(3)(5)(6)</w:t>
            </w:r>
          </w:p>
        </w:tc>
        <w:tc>
          <w:tcPr>
            <w:tcW w:w="2700" w:type="dxa"/>
            <w:vAlign w:val="bottom"/>
          </w:tcPr>
          <w:p>
            <w:pPr>
              <w:ind w:left="100"/>
              <w:spacing w:after="0"/>
              <w:rPr>
                <w:sz w:val="20"/>
                <w:szCs w:val="20"/>
                <w:color w:val="auto"/>
              </w:rPr>
            </w:pPr>
            <w:r>
              <w:rPr>
                <w:rFonts w:ascii="Arial" w:cs="Arial" w:eastAsia="Arial" w:hAnsi="Arial"/>
                <w:sz w:val="18"/>
                <w:szCs w:val="18"/>
                <w:color w:val="auto"/>
              </w:rPr>
              <w:t>First-lien loan ($35,775 par, due</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5/31/2018</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L + 6.50%</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8.88%</w:t>
            </w:r>
          </w:p>
        </w:tc>
        <w:tc>
          <w:tcPr>
            <w:tcW w:w="760" w:type="dxa"/>
            <w:vAlign w:val="bottom"/>
          </w:tcPr>
          <w:p>
            <w:pPr>
              <w:jc w:val="right"/>
              <w:spacing w:after="0"/>
              <w:rPr>
                <w:sz w:val="20"/>
                <w:szCs w:val="20"/>
                <w:color w:val="auto"/>
              </w:rPr>
            </w:pPr>
            <w:r>
              <w:rPr>
                <w:rFonts w:ascii="Arial" w:cs="Arial" w:eastAsia="Arial" w:hAnsi="Arial"/>
                <w:sz w:val="18"/>
                <w:szCs w:val="18"/>
                <w:color w:val="auto"/>
              </w:rPr>
              <w:t>35,183</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35,238</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p>
        </w:tc>
        <w:tc>
          <w:tcPr>
            <w:tcW w:w="2700" w:type="dxa"/>
            <w:vAlign w:val="bottom"/>
          </w:tcPr>
          <w:p>
            <w:pPr>
              <w:ind w:left="100"/>
              <w:spacing w:after="0"/>
              <w:rPr>
                <w:sz w:val="20"/>
                <w:szCs w:val="20"/>
                <w:color w:val="auto"/>
              </w:rPr>
            </w:pPr>
            <w:r>
              <w:rPr>
                <w:rFonts w:ascii="Arial" w:cs="Arial" w:eastAsia="Arial" w:hAnsi="Arial"/>
                <w:sz w:val="18"/>
                <w:szCs w:val="18"/>
                <w:color w:val="auto"/>
              </w:rPr>
              <w:t>5/2023)</w:t>
            </w:r>
          </w:p>
        </w:tc>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Vivial Inc.</w:t>
            </w:r>
            <w:r>
              <w:rPr>
                <w:rFonts w:ascii="Arial" w:cs="Arial" w:eastAsia="Arial" w:hAnsi="Arial"/>
                <w:sz w:val="15"/>
                <w:szCs w:val="15"/>
                <w:color w:val="auto"/>
              </w:rPr>
              <w:t>(3)</w:t>
            </w:r>
          </w:p>
        </w:tc>
        <w:tc>
          <w:tcPr>
            <w:tcW w:w="27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First-lien loan ($31,230 par, due</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9/29/2017</w:t>
            </w:r>
          </w:p>
        </w:tc>
        <w:tc>
          <w:tcPr>
            <w:tcW w:w="122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L + 8.00%</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10.24%</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30,778</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31,854</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r>
      <w:tr>
        <w:trPr>
          <w:trHeight w:val="230"/>
        </w:trPr>
        <w:tc>
          <w:tcPr>
            <w:tcW w:w="2600" w:type="dxa"/>
            <w:vAlign w:val="bottom"/>
            <w:shd w:val="clear" w:color="auto" w:fill="CFF0FC"/>
          </w:tcPr>
          <w:p>
            <w:pPr>
              <w:spacing w:after="0"/>
              <w:rPr>
                <w:sz w:val="20"/>
                <w:szCs w:val="20"/>
                <w:color w:val="auto"/>
              </w:rPr>
            </w:pPr>
          </w:p>
        </w:tc>
        <w:tc>
          <w:tcPr>
            <w:tcW w:w="27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9/2022)</w:t>
            </w:r>
          </w:p>
        </w:tc>
        <w:tc>
          <w:tcPr>
            <w:tcW w:w="10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6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106,353</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107,673</w:t>
            </w:r>
          </w:p>
        </w:tc>
        <w:tc>
          <w:tcPr>
            <w:tcW w:w="2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9"/>
                <w:szCs w:val="19"/>
                <w:color w:val="auto"/>
              </w:rPr>
            </w:pPr>
          </w:p>
        </w:tc>
      </w:tr>
      <w:tr>
        <w:trPr>
          <w:trHeight w:val="223"/>
        </w:trPr>
        <w:tc>
          <w:tcPr>
            <w:tcW w:w="2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Office products</w:t>
            </w:r>
          </w:p>
        </w:tc>
        <w:tc>
          <w:tcPr>
            <w:tcW w:w="27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600" w:type="dxa"/>
            <w:vAlign w:val="bottom"/>
          </w:tcPr>
          <w:p>
            <w:pPr>
              <w:spacing w:after="0"/>
              <w:rPr>
                <w:sz w:val="20"/>
                <w:szCs w:val="20"/>
                <w:color w:val="auto"/>
              </w:rPr>
            </w:pPr>
            <w:r>
              <w:rPr>
                <w:rFonts w:ascii="Arial" w:cs="Arial" w:eastAsia="Arial" w:hAnsi="Arial"/>
                <w:sz w:val="18"/>
                <w:szCs w:val="18"/>
                <w:color w:val="auto"/>
              </w:rPr>
              <w:t xml:space="preserve">USR Parent Inc. </w:t>
            </w:r>
            <w:r>
              <w:rPr>
                <w:rFonts w:ascii="Arial" w:cs="Arial" w:eastAsia="Arial" w:hAnsi="Arial"/>
                <w:sz w:val="15"/>
                <w:szCs w:val="15"/>
                <w:color w:val="auto"/>
              </w:rPr>
              <w:t>(3)(5)</w:t>
            </w:r>
          </w:p>
        </w:tc>
        <w:tc>
          <w:tcPr>
            <w:tcW w:w="2700" w:type="dxa"/>
            <w:vAlign w:val="bottom"/>
          </w:tcPr>
          <w:p>
            <w:pPr>
              <w:ind w:left="100"/>
              <w:spacing w:after="0"/>
              <w:rPr>
                <w:sz w:val="20"/>
                <w:szCs w:val="20"/>
                <w:color w:val="auto"/>
              </w:rPr>
            </w:pPr>
            <w:r>
              <w:rPr>
                <w:rFonts w:ascii="Arial" w:cs="Arial" w:eastAsia="Arial" w:hAnsi="Arial"/>
                <w:sz w:val="18"/>
                <w:szCs w:val="18"/>
                <w:color w:val="auto"/>
              </w:rPr>
              <w:t>ABL FILO term loan ($20,000</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9/12/2017</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L + 7.75%</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9.83%</w:t>
            </w:r>
          </w:p>
        </w:tc>
        <w:tc>
          <w:tcPr>
            <w:tcW w:w="760" w:type="dxa"/>
            <w:vAlign w:val="bottom"/>
          </w:tcPr>
          <w:p>
            <w:pPr>
              <w:jc w:val="right"/>
              <w:spacing w:after="0"/>
              <w:rPr>
                <w:sz w:val="20"/>
                <w:szCs w:val="20"/>
                <w:color w:val="auto"/>
              </w:rPr>
            </w:pPr>
            <w:r>
              <w:rPr>
                <w:rFonts w:ascii="Arial" w:cs="Arial" w:eastAsia="Arial" w:hAnsi="Arial"/>
                <w:sz w:val="18"/>
                <w:szCs w:val="18"/>
                <w:color w:val="auto"/>
              </w:rPr>
              <w:t>19,610</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19,900</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p>
        </w:tc>
        <w:tc>
          <w:tcPr>
            <w:tcW w:w="2700" w:type="dxa"/>
            <w:vAlign w:val="bottom"/>
          </w:tcPr>
          <w:p>
            <w:pPr>
              <w:ind w:left="100"/>
              <w:spacing w:after="0"/>
              <w:rPr>
                <w:sz w:val="20"/>
                <w:szCs w:val="20"/>
                <w:color w:val="auto"/>
              </w:rPr>
            </w:pPr>
            <w:r>
              <w:rPr>
                <w:rFonts w:ascii="Arial" w:cs="Arial" w:eastAsia="Arial" w:hAnsi="Arial"/>
                <w:sz w:val="18"/>
                <w:szCs w:val="18"/>
                <w:color w:val="auto"/>
              </w:rPr>
              <w:t>par, due 9/2022)</w:t>
            </w:r>
          </w:p>
        </w:tc>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1"/>
        </w:trPr>
        <w:tc>
          <w:tcPr>
            <w:tcW w:w="2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Oil, gas and consumable</w:t>
            </w:r>
          </w:p>
        </w:tc>
        <w:tc>
          <w:tcPr>
            <w:tcW w:w="27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6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fuels</w:t>
            </w:r>
          </w:p>
        </w:tc>
        <w:tc>
          <w:tcPr>
            <w:tcW w:w="27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600" w:type="dxa"/>
            <w:vAlign w:val="bottom"/>
          </w:tcPr>
          <w:p>
            <w:pPr>
              <w:spacing w:after="0"/>
              <w:rPr>
                <w:sz w:val="20"/>
                <w:szCs w:val="20"/>
                <w:color w:val="auto"/>
              </w:rPr>
            </w:pPr>
            <w:r>
              <w:rPr>
                <w:rFonts w:ascii="Arial" w:cs="Arial" w:eastAsia="Arial" w:hAnsi="Arial"/>
                <w:sz w:val="18"/>
                <w:szCs w:val="18"/>
                <w:color w:val="auto"/>
                <w:w w:val="98"/>
              </w:rPr>
              <w:t xml:space="preserve">Mississippi Resources, LLC </w:t>
            </w:r>
            <w:r>
              <w:rPr>
                <w:rFonts w:ascii="Arial" w:cs="Arial" w:eastAsia="Arial" w:hAnsi="Arial"/>
                <w:sz w:val="15"/>
                <w:szCs w:val="15"/>
                <w:color w:val="auto"/>
                <w:w w:val="98"/>
              </w:rPr>
              <w:t>(3)(7)</w:t>
            </w:r>
          </w:p>
        </w:tc>
        <w:tc>
          <w:tcPr>
            <w:tcW w:w="2700" w:type="dxa"/>
            <w:vAlign w:val="bottom"/>
          </w:tcPr>
          <w:p>
            <w:pPr>
              <w:ind w:left="100"/>
              <w:spacing w:after="0"/>
              <w:rPr>
                <w:sz w:val="20"/>
                <w:szCs w:val="20"/>
                <w:color w:val="auto"/>
              </w:rPr>
            </w:pPr>
            <w:r>
              <w:rPr>
                <w:rFonts w:ascii="Arial" w:cs="Arial" w:eastAsia="Arial" w:hAnsi="Arial"/>
                <w:sz w:val="18"/>
                <w:szCs w:val="18"/>
                <w:color w:val="auto"/>
              </w:rPr>
              <w:t>First-lien loan ($17,429 par, due</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6/29/2018</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L + 9.00%</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11.24%</w:t>
            </w:r>
          </w:p>
        </w:tc>
        <w:tc>
          <w:tcPr>
            <w:tcW w:w="760" w:type="dxa"/>
            <w:vAlign w:val="bottom"/>
          </w:tcPr>
          <w:p>
            <w:pPr>
              <w:jc w:val="right"/>
              <w:spacing w:after="0"/>
              <w:rPr>
                <w:sz w:val="20"/>
                <w:szCs w:val="20"/>
                <w:color w:val="auto"/>
              </w:rPr>
            </w:pPr>
            <w:r>
              <w:rPr>
                <w:rFonts w:ascii="Arial" w:cs="Arial" w:eastAsia="Arial" w:hAnsi="Arial"/>
                <w:sz w:val="18"/>
                <w:szCs w:val="18"/>
                <w:color w:val="auto"/>
              </w:rPr>
              <w:t>17,429</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17,429</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p>
        </w:tc>
        <w:tc>
          <w:tcPr>
            <w:tcW w:w="2700" w:type="dxa"/>
            <w:vAlign w:val="bottom"/>
          </w:tcPr>
          <w:p>
            <w:pPr>
              <w:ind w:left="100"/>
              <w:spacing w:after="0"/>
              <w:rPr>
                <w:sz w:val="20"/>
                <w:szCs w:val="20"/>
                <w:color w:val="auto"/>
              </w:rPr>
            </w:pPr>
            <w:r>
              <w:rPr>
                <w:rFonts w:ascii="Arial" w:cs="Arial" w:eastAsia="Arial" w:hAnsi="Arial"/>
                <w:sz w:val="18"/>
                <w:szCs w:val="18"/>
                <w:color w:val="auto"/>
              </w:rPr>
              <w:t>6/2020)</w:t>
            </w:r>
          </w:p>
        </w:tc>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Northern Oil and Gas, Inc. </w:t>
            </w:r>
            <w:r>
              <w:rPr>
                <w:rFonts w:ascii="Arial" w:cs="Arial" w:eastAsia="Arial" w:hAnsi="Arial"/>
                <w:sz w:val="15"/>
                <w:szCs w:val="15"/>
                <w:color w:val="auto"/>
              </w:rPr>
              <w:t>(3)</w:t>
            </w:r>
          </w:p>
        </w:tc>
        <w:tc>
          <w:tcPr>
            <w:tcW w:w="27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First-lien loan ($58,500 par, due</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11/1/2017</w:t>
            </w:r>
          </w:p>
        </w:tc>
        <w:tc>
          <w:tcPr>
            <w:tcW w:w="122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L + 7.75%</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10.19%</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57,246</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67,113</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r>
      <w:tr>
        <w:trPr>
          <w:trHeight w:val="230"/>
        </w:trPr>
        <w:tc>
          <w:tcPr>
            <w:tcW w:w="2600" w:type="dxa"/>
            <w:vAlign w:val="bottom"/>
            <w:shd w:val="clear" w:color="auto" w:fill="CFF0FC"/>
          </w:tcPr>
          <w:p>
            <w:pPr>
              <w:spacing w:after="0"/>
              <w:rPr>
                <w:sz w:val="20"/>
                <w:szCs w:val="20"/>
                <w:color w:val="auto"/>
              </w:rPr>
            </w:pPr>
          </w:p>
        </w:tc>
        <w:tc>
          <w:tcPr>
            <w:tcW w:w="27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11/2022)</w:t>
            </w:r>
          </w:p>
        </w:tc>
        <w:tc>
          <w:tcPr>
            <w:tcW w:w="10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6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74,675</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84,542</w:t>
            </w:r>
          </w:p>
        </w:tc>
        <w:tc>
          <w:tcPr>
            <w:tcW w:w="2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r>
      <w:tr>
        <w:trPr>
          <w:trHeight w:val="223"/>
        </w:trPr>
        <w:tc>
          <w:tcPr>
            <w:tcW w:w="2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Pharmaceuticals</w:t>
            </w:r>
          </w:p>
        </w:tc>
        <w:tc>
          <w:tcPr>
            <w:tcW w:w="27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600" w:type="dxa"/>
            <w:vAlign w:val="bottom"/>
          </w:tcPr>
          <w:p>
            <w:pPr>
              <w:spacing w:after="0"/>
              <w:rPr>
                <w:sz w:val="20"/>
                <w:szCs w:val="20"/>
                <w:color w:val="auto"/>
              </w:rPr>
            </w:pPr>
            <w:r>
              <w:rPr>
                <w:rFonts w:ascii="Arial" w:cs="Arial" w:eastAsia="Arial" w:hAnsi="Arial"/>
                <w:sz w:val="18"/>
                <w:szCs w:val="18"/>
                <w:color w:val="auto"/>
                <w:w w:val="93"/>
              </w:rPr>
              <w:t xml:space="preserve">Ironwood Pharmaceuticals, Inc. </w:t>
            </w:r>
            <w:r>
              <w:rPr>
                <w:rFonts w:ascii="Arial" w:cs="Arial" w:eastAsia="Arial" w:hAnsi="Arial"/>
                <w:sz w:val="15"/>
                <w:szCs w:val="15"/>
                <w:color w:val="auto"/>
                <w:w w:val="93"/>
              </w:rPr>
              <w:t>(4)</w:t>
            </w:r>
          </w:p>
        </w:tc>
        <w:tc>
          <w:tcPr>
            <w:tcW w:w="2700" w:type="dxa"/>
            <w:vAlign w:val="bottom"/>
          </w:tcPr>
          <w:p>
            <w:pPr>
              <w:ind w:left="100"/>
              <w:spacing w:after="0"/>
              <w:rPr>
                <w:sz w:val="20"/>
                <w:szCs w:val="20"/>
                <w:color w:val="auto"/>
              </w:rPr>
            </w:pPr>
            <w:r>
              <w:rPr>
                <w:rFonts w:ascii="Arial" w:cs="Arial" w:eastAsia="Arial" w:hAnsi="Arial"/>
                <w:sz w:val="18"/>
                <w:szCs w:val="18"/>
                <w:color w:val="auto"/>
              </w:rPr>
              <w:t>Secured note ($33,333 par, due</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1/5/2017</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8.38%</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8.38%</w:t>
            </w:r>
          </w:p>
        </w:tc>
        <w:tc>
          <w:tcPr>
            <w:tcW w:w="760" w:type="dxa"/>
            <w:vAlign w:val="bottom"/>
          </w:tcPr>
          <w:p>
            <w:pPr>
              <w:jc w:val="right"/>
              <w:spacing w:after="0"/>
              <w:rPr>
                <w:sz w:val="20"/>
                <w:szCs w:val="20"/>
                <w:color w:val="auto"/>
              </w:rPr>
            </w:pPr>
            <w:r>
              <w:rPr>
                <w:rFonts w:ascii="Arial" w:cs="Arial" w:eastAsia="Arial" w:hAnsi="Arial"/>
                <w:sz w:val="18"/>
                <w:szCs w:val="18"/>
                <w:color w:val="auto"/>
              </w:rPr>
              <w:t>33,199</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34,000</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5"/>
                <w:szCs w:val="15"/>
                <w:color w:val="auto"/>
              </w:rPr>
              <w:t>(5)(9)</w:t>
            </w:r>
          </w:p>
        </w:tc>
        <w:tc>
          <w:tcPr>
            <w:tcW w:w="2700" w:type="dxa"/>
            <w:vAlign w:val="bottom"/>
          </w:tcPr>
          <w:p>
            <w:pPr>
              <w:ind w:left="100"/>
              <w:spacing w:after="0"/>
              <w:rPr>
                <w:sz w:val="20"/>
                <w:szCs w:val="20"/>
                <w:color w:val="auto"/>
              </w:rPr>
            </w:pPr>
            <w:r>
              <w:rPr>
                <w:rFonts w:ascii="Arial" w:cs="Arial" w:eastAsia="Arial" w:hAnsi="Arial"/>
                <w:sz w:val="18"/>
                <w:szCs w:val="18"/>
                <w:color w:val="auto"/>
              </w:rPr>
              <w:t>9/2026)</w:t>
            </w:r>
          </w:p>
        </w:tc>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Nektar Therapeutics </w:t>
            </w:r>
            <w:r>
              <w:rPr>
                <w:rFonts w:ascii="Arial" w:cs="Arial" w:eastAsia="Arial" w:hAnsi="Arial"/>
                <w:sz w:val="15"/>
                <w:szCs w:val="15"/>
                <w:color w:val="auto"/>
              </w:rPr>
              <w:t>(4)(5)(9)</w:t>
            </w:r>
          </w:p>
        </w:tc>
        <w:tc>
          <w:tcPr>
            <w:tcW w:w="27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Secured note ($74,950 par, due</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10/5/2015</w:t>
            </w:r>
          </w:p>
        </w:tc>
        <w:tc>
          <w:tcPr>
            <w:tcW w:w="122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7.75%</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7.75%</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74,508</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77,761</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r>
      <w:tr>
        <w:trPr>
          <w:trHeight w:val="230"/>
        </w:trPr>
        <w:tc>
          <w:tcPr>
            <w:tcW w:w="2600" w:type="dxa"/>
            <w:vAlign w:val="bottom"/>
            <w:shd w:val="clear" w:color="auto" w:fill="CFF0FC"/>
          </w:tcPr>
          <w:p>
            <w:pPr>
              <w:spacing w:after="0"/>
              <w:rPr>
                <w:sz w:val="20"/>
                <w:szCs w:val="20"/>
                <w:color w:val="auto"/>
              </w:rPr>
            </w:pPr>
          </w:p>
        </w:tc>
        <w:tc>
          <w:tcPr>
            <w:tcW w:w="27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10/2020)</w:t>
            </w:r>
          </w:p>
        </w:tc>
        <w:tc>
          <w:tcPr>
            <w:tcW w:w="10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6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107,707</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111,761</w:t>
            </w:r>
          </w:p>
        </w:tc>
        <w:tc>
          <w:tcPr>
            <w:tcW w:w="2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9"/>
                <w:szCs w:val="19"/>
                <w:color w:val="auto"/>
              </w:rPr>
            </w:pPr>
          </w:p>
        </w:tc>
      </w:tr>
      <w:tr>
        <w:trPr>
          <w:trHeight w:val="205"/>
        </w:trPr>
        <w:tc>
          <w:tcPr>
            <w:tcW w:w="260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Retail and consumer</w:t>
            </w:r>
          </w:p>
        </w:tc>
        <w:tc>
          <w:tcPr>
            <w:tcW w:w="270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CFF0FC"/>
            </w:tcBorders>
            <w:shd w:val="clear" w:color="auto" w:fill="CFF0FC"/>
          </w:tcPr>
          <w:p>
            <w:pPr>
              <w:spacing w:after="0"/>
              <w:rPr>
                <w:sz w:val="17"/>
                <w:szCs w:val="17"/>
                <w:color w:val="auto"/>
              </w:rPr>
            </w:pPr>
          </w:p>
        </w:tc>
        <w:tc>
          <w:tcPr>
            <w:tcW w:w="122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6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products</w:t>
            </w:r>
          </w:p>
        </w:tc>
        <w:tc>
          <w:tcPr>
            <w:tcW w:w="27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600" w:type="dxa"/>
            <w:vAlign w:val="bottom"/>
          </w:tcPr>
          <w:p>
            <w:pPr>
              <w:spacing w:after="0"/>
              <w:rPr>
                <w:sz w:val="20"/>
                <w:szCs w:val="20"/>
                <w:color w:val="auto"/>
              </w:rPr>
            </w:pPr>
            <w:r>
              <w:rPr>
                <w:rFonts w:ascii="Arial" w:cs="Arial" w:eastAsia="Arial" w:hAnsi="Arial"/>
                <w:sz w:val="18"/>
                <w:szCs w:val="18"/>
                <w:color w:val="auto"/>
              </w:rPr>
              <w:t xml:space="preserve">99 Cents Only Stores LLC </w:t>
            </w:r>
            <w:r>
              <w:rPr>
                <w:rFonts w:ascii="Arial" w:cs="Arial" w:eastAsia="Arial" w:hAnsi="Arial"/>
                <w:sz w:val="15"/>
                <w:szCs w:val="15"/>
                <w:color w:val="auto"/>
              </w:rPr>
              <w:t>(3)</w:t>
            </w:r>
          </w:p>
        </w:tc>
        <w:tc>
          <w:tcPr>
            <w:tcW w:w="2700" w:type="dxa"/>
            <w:vAlign w:val="bottom"/>
          </w:tcPr>
          <w:p>
            <w:pPr>
              <w:ind w:left="100"/>
              <w:spacing w:after="0"/>
              <w:rPr>
                <w:sz w:val="20"/>
                <w:szCs w:val="20"/>
                <w:color w:val="auto"/>
              </w:rPr>
            </w:pPr>
            <w:r>
              <w:rPr>
                <w:rFonts w:ascii="Arial" w:cs="Arial" w:eastAsia="Arial" w:hAnsi="Arial"/>
                <w:sz w:val="18"/>
                <w:szCs w:val="18"/>
                <w:color w:val="auto"/>
                <w:w w:val="95"/>
              </w:rPr>
              <w:t>ABL FILO term loan ($25,000 par,</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9/6/2017</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L + 7.75%</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10.07%</w:t>
            </w:r>
          </w:p>
        </w:tc>
        <w:tc>
          <w:tcPr>
            <w:tcW w:w="760" w:type="dxa"/>
            <w:vAlign w:val="bottom"/>
          </w:tcPr>
          <w:p>
            <w:pPr>
              <w:jc w:val="right"/>
              <w:spacing w:after="0"/>
              <w:rPr>
                <w:sz w:val="20"/>
                <w:szCs w:val="20"/>
                <w:color w:val="auto"/>
              </w:rPr>
            </w:pPr>
            <w:r>
              <w:rPr>
                <w:rFonts w:ascii="Arial" w:cs="Arial" w:eastAsia="Arial" w:hAnsi="Arial"/>
                <w:sz w:val="18"/>
                <w:szCs w:val="18"/>
                <w:color w:val="auto"/>
              </w:rPr>
              <w:t>24,724</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25,063</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p>
        </w:tc>
        <w:tc>
          <w:tcPr>
            <w:tcW w:w="2700" w:type="dxa"/>
            <w:vAlign w:val="bottom"/>
          </w:tcPr>
          <w:p>
            <w:pPr>
              <w:ind w:left="100"/>
              <w:spacing w:after="0"/>
              <w:rPr>
                <w:sz w:val="20"/>
                <w:szCs w:val="20"/>
                <w:color w:val="auto"/>
              </w:rPr>
            </w:pPr>
            <w:r>
              <w:rPr>
                <w:rFonts w:ascii="Arial" w:cs="Arial" w:eastAsia="Arial" w:hAnsi="Arial"/>
                <w:sz w:val="18"/>
                <w:szCs w:val="18"/>
                <w:color w:val="auto"/>
              </w:rPr>
              <w:t>due 4/2021)</w:t>
            </w:r>
          </w:p>
        </w:tc>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American Achievement</w:t>
            </w:r>
          </w:p>
        </w:tc>
        <w:tc>
          <w:tcPr>
            <w:tcW w:w="27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First-lien loan ($22,592 par, due</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9/30/2015</w:t>
            </w:r>
          </w:p>
        </w:tc>
        <w:tc>
          <w:tcPr>
            <w:tcW w:w="122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L + 8.25%</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10.36%</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22,448</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22,423</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r>
      <w:tr>
        <w:trPr>
          <w:trHeight w:val="230"/>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Corporation </w:t>
            </w:r>
            <w:r>
              <w:rPr>
                <w:rFonts w:ascii="Arial" w:cs="Arial" w:eastAsia="Arial" w:hAnsi="Arial"/>
                <w:sz w:val="15"/>
                <w:szCs w:val="15"/>
                <w:color w:val="auto"/>
              </w:rPr>
              <w:t>(3)(5)</w:t>
            </w:r>
          </w:p>
        </w:tc>
        <w:tc>
          <w:tcPr>
            <w:tcW w:w="27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9/2020)</w:t>
            </w:r>
          </w:p>
        </w:tc>
        <w:tc>
          <w:tcPr>
            <w:tcW w:w="10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600" w:type="dxa"/>
            <w:vAlign w:val="bottom"/>
          </w:tcPr>
          <w:p>
            <w:pPr>
              <w:spacing w:after="0"/>
              <w:rPr>
                <w:sz w:val="20"/>
                <w:szCs w:val="20"/>
                <w:color w:val="auto"/>
              </w:rPr>
            </w:pPr>
            <w:r>
              <w:rPr>
                <w:rFonts w:ascii="Arial" w:cs="Arial" w:eastAsia="Arial" w:hAnsi="Arial"/>
                <w:sz w:val="18"/>
                <w:szCs w:val="18"/>
                <w:color w:val="auto"/>
              </w:rPr>
              <w:t xml:space="preserve">Eddie Bauer LLC </w:t>
            </w:r>
            <w:r>
              <w:rPr>
                <w:rFonts w:ascii="Arial" w:cs="Arial" w:eastAsia="Arial" w:hAnsi="Arial"/>
                <w:sz w:val="15"/>
                <w:szCs w:val="15"/>
                <w:color w:val="auto"/>
              </w:rPr>
              <w:t>(3)</w:t>
            </w:r>
          </w:p>
        </w:tc>
        <w:tc>
          <w:tcPr>
            <w:tcW w:w="2700" w:type="dxa"/>
            <w:vAlign w:val="bottom"/>
          </w:tcPr>
          <w:p>
            <w:pPr>
              <w:ind w:left="100"/>
              <w:spacing w:after="0"/>
              <w:rPr>
                <w:sz w:val="20"/>
                <w:szCs w:val="20"/>
                <w:color w:val="auto"/>
              </w:rPr>
            </w:pPr>
            <w:r>
              <w:rPr>
                <w:rFonts w:ascii="Arial" w:cs="Arial" w:eastAsia="Arial" w:hAnsi="Arial"/>
                <w:sz w:val="18"/>
                <w:szCs w:val="18"/>
                <w:color w:val="auto"/>
              </w:rPr>
              <w:t>ABL FILO term loan ($28,125</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3/31/2017</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L + 9.25%</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11.64%</w:t>
            </w:r>
          </w:p>
        </w:tc>
        <w:tc>
          <w:tcPr>
            <w:tcW w:w="760" w:type="dxa"/>
            <w:vAlign w:val="bottom"/>
          </w:tcPr>
          <w:p>
            <w:pPr>
              <w:jc w:val="right"/>
              <w:spacing w:after="0"/>
              <w:rPr>
                <w:sz w:val="20"/>
                <w:szCs w:val="20"/>
                <w:color w:val="auto"/>
              </w:rPr>
            </w:pPr>
            <w:r>
              <w:rPr>
                <w:rFonts w:ascii="Arial" w:cs="Arial" w:eastAsia="Arial" w:hAnsi="Arial"/>
                <w:sz w:val="18"/>
                <w:szCs w:val="18"/>
                <w:color w:val="auto"/>
              </w:rPr>
              <w:t>27,924</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28,687</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p>
        </w:tc>
        <w:tc>
          <w:tcPr>
            <w:tcW w:w="2700" w:type="dxa"/>
            <w:vAlign w:val="bottom"/>
          </w:tcPr>
          <w:p>
            <w:pPr>
              <w:ind w:left="100"/>
              <w:spacing w:after="0"/>
              <w:rPr>
                <w:sz w:val="20"/>
                <w:szCs w:val="20"/>
                <w:color w:val="auto"/>
              </w:rPr>
            </w:pPr>
            <w:r>
              <w:rPr>
                <w:rFonts w:ascii="Arial" w:cs="Arial" w:eastAsia="Arial" w:hAnsi="Arial"/>
                <w:sz w:val="18"/>
                <w:szCs w:val="18"/>
                <w:color w:val="auto"/>
              </w:rPr>
              <w:t>par, due 6/2019)</w:t>
            </w:r>
          </w:p>
        </w:tc>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PayLess Inc. </w:t>
            </w:r>
            <w:r>
              <w:rPr>
                <w:rFonts w:ascii="Arial" w:cs="Arial" w:eastAsia="Arial" w:hAnsi="Arial"/>
                <w:sz w:val="15"/>
                <w:szCs w:val="15"/>
                <w:color w:val="auto"/>
              </w:rPr>
              <w:t>(3)(5)</w:t>
            </w:r>
          </w:p>
        </w:tc>
        <w:tc>
          <w:tcPr>
            <w:tcW w:w="27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ABL FILO term loan ($14,438</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3/1/2018</w:t>
            </w:r>
          </w:p>
        </w:tc>
        <w:tc>
          <w:tcPr>
            <w:tcW w:w="122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L + 8.00%</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10.13%</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14,159</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14,221</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r>
      <w:tr>
        <w:trPr>
          <w:trHeight w:val="230"/>
        </w:trPr>
        <w:tc>
          <w:tcPr>
            <w:tcW w:w="2600" w:type="dxa"/>
            <w:vAlign w:val="bottom"/>
            <w:shd w:val="clear" w:color="auto" w:fill="CFF0FC"/>
          </w:tcPr>
          <w:p>
            <w:pPr>
              <w:spacing w:after="0"/>
              <w:rPr>
                <w:sz w:val="20"/>
                <w:szCs w:val="20"/>
                <w:color w:val="auto"/>
              </w:rPr>
            </w:pPr>
          </w:p>
        </w:tc>
        <w:tc>
          <w:tcPr>
            <w:tcW w:w="27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par, due 8/2022)</w:t>
            </w:r>
          </w:p>
        </w:tc>
        <w:tc>
          <w:tcPr>
            <w:tcW w:w="10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600" w:type="dxa"/>
            <w:vAlign w:val="bottom"/>
          </w:tcPr>
          <w:p>
            <w:pPr>
              <w:spacing w:after="0"/>
              <w:rPr>
                <w:sz w:val="20"/>
                <w:szCs w:val="20"/>
                <w:color w:val="auto"/>
              </w:rPr>
            </w:pPr>
            <w:r>
              <w:rPr>
                <w:rFonts w:ascii="Arial" w:cs="Arial" w:eastAsia="Arial" w:hAnsi="Arial"/>
                <w:sz w:val="18"/>
                <w:szCs w:val="18"/>
                <w:color w:val="auto"/>
              </w:rPr>
              <w:t xml:space="preserve">Sears </w:t>
            </w:r>
            <w:r>
              <w:rPr>
                <w:rFonts w:ascii="Arial" w:cs="Arial" w:eastAsia="Arial" w:hAnsi="Arial"/>
                <w:sz w:val="15"/>
                <w:szCs w:val="15"/>
                <w:color w:val="auto"/>
              </w:rPr>
              <w:t>(3)(4)(11)</w:t>
            </w:r>
          </w:p>
        </w:tc>
        <w:tc>
          <w:tcPr>
            <w:tcW w:w="2700" w:type="dxa"/>
            <w:vAlign w:val="bottom"/>
          </w:tcPr>
          <w:p>
            <w:pPr>
              <w:ind w:left="100"/>
              <w:spacing w:after="0"/>
              <w:rPr>
                <w:sz w:val="20"/>
                <w:szCs w:val="20"/>
                <w:color w:val="auto"/>
              </w:rPr>
            </w:pPr>
            <w:r>
              <w:rPr>
                <w:rFonts w:ascii="Arial" w:cs="Arial" w:eastAsia="Arial" w:hAnsi="Arial"/>
                <w:sz w:val="18"/>
                <w:szCs w:val="18"/>
                <w:color w:val="auto"/>
                <w:w w:val="99"/>
              </w:rPr>
              <w:t>First-lien ABL loan ($17,296 par,</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3/18/2016</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L + 7.50%</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9.61%</w:t>
            </w:r>
          </w:p>
        </w:tc>
        <w:tc>
          <w:tcPr>
            <w:tcW w:w="760" w:type="dxa"/>
            <w:vAlign w:val="bottom"/>
          </w:tcPr>
          <w:p>
            <w:pPr>
              <w:jc w:val="right"/>
              <w:spacing w:after="0"/>
              <w:rPr>
                <w:sz w:val="20"/>
                <w:szCs w:val="20"/>
                <w:color w:val="auto"/>
              </w:rPr>
            </w:pPr>
            <w:r>
              <w:rPr>
                <w:rFonts w:ascii="Arial" w:cs="Arial" w:eastAsia="Arial" w:hAnsi="Arial"/>
                <w:sz w:val="18"/>
                <w:szCs w:val="18"/>
                <w:color w:val="auto"/>
              </w:rPr>
              <w:t>17,052</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17,440</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230"/>
        </w:trPr>
        <w:tc>
          <w:tcPr>
            <w:tcW w:w="2600" w:type="dxa"/>
            <w:vAlign w:val="bottom"/>
          </w:tcPr>
          <w:p>
            <w:pPr>
              <w:spacing w:after="0"/>
              <w:rPr>
                <w:sz w:val="20"/>
                <w:szCs w:val="20"/>
                <w:color w:val="auto"/>
              </w:rPr>
            </w:pPr>
          </w:p>
        </w:tc>
        <w:tc>
          <w:tcPr>
            <w:tcW w:w="2700" w:type="dxa"/>
            <w:vAlign w:val="bottom"/>
          </w:tcPr>
          <w:p>
            <w:pPr>
              <w:ind w:left="100"/>
              <w:spacing w:after="0"/>
              <w:rPr>
                <w:sz w:val="20"/>
                <w:szCs w:val="20"/>
                <w:color w:val="auto"/>
              </w:rPr>
            </w:pPr>
            <w:r>
              <w:rPr>
                <w:rFonts w:ascii="Arial" w:cs="Arial" w:eastAsia="Arial" w:hAnsi="Arial"/>
                <w:sz w:val="18"/>
                <w:szCs w:val="18"/>
                <w:color w:val="auto"/>
              </w:rPr>
              <w:t>due 7/2020)</w:t>
            </w:r>
          </w:p>
        </w:tc>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26"/>
        </w:trPr>
        <w:tc>
          <w:tcPr>
            <w:tcW w:w="26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color w:val="auto"/>
              </w:rPr>
              <w:t>8</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60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6" w:right="2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
        </w:trPr>
        <w:tc>
          <w:tcPr>
            <w:tcW w:w="2480" w:type="dxa"/>
            <w:vAlign w:val="bottom"/>
            <w:shd w:val="clear" w:color="auto" w:fill="CFF0FC"/>
          </w:tcPr>
          <w:p>
            <w:pPr>
              <w:spacing w:after="0" w:line="20" w:lineRule="exact"/>
              <w:rPr>
                <w:sz w:val="1"/>
                <w:szCs w:val="1"/>
                <w:color w:val="auto"/>
              </w:rPr>
            </w:pPr>
          </w:p>
        </w:tc>
        <w:tc>
          <w:tcPr>
            <w:tcW w:w="2640" w:type="dxa"/>
            <w:vAlign w:val="bottom"/>
            <w:shd w:val="clear" w:color="auto" w:fill="CFF0FC"/>
          </w:tcPr>
          <w:p>
            <w:pPr>
              <w:spacing w:after="0" w:line="20" w:lineRule="exact"/>
              <w:rPr>
                <w:sz w:val="1"/>
                <w:szCs w:val="1"/>
                <w:color w:val="auto"/>
              </w:rPr>
            </w:pPr>
          </w:p>
        </w:tc>
        <w:tc>
          <w:tcPr>
            <w:tcW w:w="230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480" w:type="dxa"/>
            <w:vAlign w:val="bottom"/>
            <w:shd w:val="clear" w:color="auto" w:fill="CFF0FC"/>
          </w:tcPr>
          <w:p>
            <w:pPr>
              <w:spacing w:after="0"/>
              <w:rPr>
                <w:sz w:val="19"/>
                <w:szCs w:val="19"/>
                <w:color w:val="auto"/>
              </w:rPr>
            </w:pPr>
          </w:p>
        </w:tc>
        <w:tc>
          <w:tcPr>
            <w:tcW w:w="2640" w:type="dxa"/>
            <w:vAlign w:val="bottom"/>
            <w:shd w:val="clear" w:color="auto" w:fill="CFF0FC"/>
          </w:tcPr>
          <w:p>
            <w:pPr>
              <w:spacing w:after="0"/>
              <w:rPr>
                <w:sz w:val="19"/>
                <w:szCs w:val="19"/>
                <w:color w:val="auto"/>
              </w:rPr>
            </w:pPr>
          </w:p>
        </w:tc>
        <w:tc>
          <w:tcPr>
            <w:tcW w:w="2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106,307</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107,834</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r>
      <w:tr>
        <w:trPr>
          <w:trHeight w:val="223"/>
        </w:trPr>
        <w:tc>
          <w:tcPr>
            <w:tcW w:w="2480" w:type="dxa"/>
            <w:vAlign w:val="bottom"/>
          </w:tcPr>
          <w:p>
            <w:pPr>
              <w:spacing w:after="0"/>
              <w:rPr>
                <w:sz w:val="20"/>
                <w:szCs w:val="20"/>
                <w:color w:val="auto"/>
              </w:rPr>
            </w:pPr>
            <w:r>
              <w:rPr>
                <w:rFonts w:ascii="Arial" w:cs="Arial" w:eastAsia="Arial" w:hAnsi="Arial"/>
                <w:sz w:val="18"/>
                <w:szCs w:val="18"/>
                <w:b w:val="1"/>
                <w:bCs w:val="1"/>
                <w:color w:val="auto"/>
              </w:rPr>
              <w:t>Transportation</w:t>
            </w:r>
          </w:p>
        </w:tc>
        <w:tc>
          <w:tcPr>
            <w:tcW w:w="26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Ferrellgas, L.P. </w:t>
            </w:r>
            <w:r>
              <w:rPr>
                <w:rFonts w:ascii="Arial" w:cs="Arial" w:eastAsia="Arial" w:hAnsi="Arial"/>
                <w:sz w:val="15"/>
                <w:szCs w:val="15"/>
                <w:color w:val="auto"/>
              </w:rPr>
              <w:t>(3)(4)(5)</w:t>
            </w:r>
          </w:p>
        </w:tc>
        <w:tc>
          <w:tcPr>
            <w:tcW w:w="264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7"/>
              </w:rPr>
              <w:t>First-lien loan ($82,500 par, due</w:t>
            </w:r>
          </w:p>
        </w:tc>
        <w:tc>
          <w:tcPr>
            <w:tcW w:w="230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5/4/2018   L + 5.75%</w:t>
            </w: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7.86%</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80,951</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83,062</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r>
      <w:tr>
        <w:trPr>
          <w:trHeight w:val="230"/>
        </w:trPr>
        <w:tc>
          <w:tcPr>
            <w:tcW w:w="2480" w:type="dxa"/>
            <w:vAlign w:val="bottom"/>
            <w:shd w:val="clear" w:color="auto" w:fill="CFF0FC"/>
          </w:tcPr>
          <w:p>
            <w:pPr>
              <w:spacing w:after="0"/>
              <w:rPr>
                <w:sz w:val="20"/>
                <w:szCs w:val="20"/>
                <w:color w:val="auto"/>
              </w:rPr>
            </w:pPr>
          </w:p>
        </w:tc>
        <w:tc>
          <w:tcPr>
            <w:tcW w:w="2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5/2023)</w:t>
            </w:r>
          </w:p>
        </w:tc>
        <w:tc>
          <w:tcPr>
            <w:tcW w:w="2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480" w:type="dxa"/>
            <w:vAlign w:val="bottom"/>
            <w:tcBorders>
              <w:bottom w:val="single" w:sz="8" w:color="CFF0FC"/>
            </w:tcBorders>
          </w:tcPr>
          <w:p>
            <w:pPr>
              <w:spacing w:after="0"/>
              <w:rPr>
                <w:sz w:val="19"/>
                <w:szCs w:val="19"/>
                <w:color w:val="auto"/>
              </w:rPr>
            </w:pPr>
          </w:p>
        </w:tc>
        <w:tc>
          <w:tcPr>
            <w:tcW w:w="2640" w:type="dxa"/>
            <w:vAlign w:val="bottom"/>
            <w:tcBorders>
              <w:bottom w:val="single" w:sz="8" w:color="CFF0FC"/>
            </w:tcBorders>
          </w:tcPr>
          <w:p>
            <w:pPr>
              <w:spacing w:after="0"/>
              <w:rPr>
                <w:sz w:val="19"/>
                <w:szCs w:val="19"/>
                <w:color w:val="auto"/>
              </w:rPr>
            </w:pPr>
          </w:p>
        </w:tc>
        <w:tc>
          <w:tcPr>
            <w:tcW w:w="230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Debt Investments</w:t>
            </w:r>
          </w:p>
        </w:tc>
        <w:tc>
          <w:tcPr>
            <w:tcW w:w="2640" w:type="dxa"/>
            <w:vAlign w:val="bottom"/>
            <w:shd w:val="clear" w:color="auto" w:fill="CFF0FC"/>
          </w:tcPr>
          <w:p>
            <w:pPr>
              <w:spacing w:after="0"/>
              <w:rPr>
                <w:sz w:val="19"/>
                <w:szCs w:val="19"/>
                <w:color w:val="auto"/>
              </w:rPr>
            </w:pPr>
          </w:p>
        </w:tc>
        <w:tc>
          <w:tcPr>
            <w:tcW w:w="2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1,896,454</w:t>
            </w:r>
          </w:p>
        </w:tc>
        <w:tc>
          <w:tcPr>
            <w:tcW w:w="22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1,920,782</w:t>
            </w:r>
          </w:p>
        </w:tc>
        <w:tc>
          <w:tcPr>
            <w:tcW w:w="2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9"/>
                <w:szCs w:val="19"/>
                <w:color w:val="auto"/>
              </w:rPr>
            </w:pPr>
          </w:p>
        </w:tc>
      </w:tr>
      <w:tr>
        <w:trPr>
          <w:trHeight w:val="223"/>
        </w:trPr>
        <w:tc>
          <w:tcPr>
            <w:tcW w:w="2480" w:type="dxa"/>
            <w:vAlign w:val="bottom"/>
          </w:tcPr>
          <w:p>
            <w:pPr>
              <w:spacing w:after="0"/>
              <w:rPr>
                <w:sz w:val="20"/>
                <w:szCs w:val="20"/>
                <w:color w:val="auto"/>
              </w:rPr>
            </w:pPr>
            <w:r>
              <w:rPr>
                <w:rFonts w:ascii="Arial" w:cs="Arial" w:eastAsia="Arial" w:hAnsi="Arial"/>
                <w:sz w:val="18"/>
                <w:szCs w:val="18"/>
                <w:b w:val="1"/>
                <w:bCs w:val="1"/>
                <w:color w:val="auto"/>
                <w:w w:val="96"/>
              </w:rPr>
              <w:t>Equity and Other Investments</w:t>
            </w:r>
          </w:p>
        </w:tc>
        <w:tc>
          <w:tcPr>
            <w:tcW w:w="26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Beverage, food and tobacco</w:t>
            </w:r>
          </w:p>
        </w:tc>
        <w:tc>
          <w:tcPr>
            <w:tcW w:w="2640" w:type="dxa"/>
            <w:vAlign w:val="bottom"/>
            <w:shd w:val="clear" w:color="auto" w:fill="CFF0FC"/>
          </w:tcPr>
          <w:p>
            <w:pPr>
              <w:spacing w:after="0"/>
              <w:rPr>
                <w:sz w:val="19"/>
                <w:szCs w:val="19"/>
                <w:color w:val="auto"/>
              </w:rPr>
            </w:pPr>
          </w:p>
        </w:tc>
        <w:tc>
          <w:tcPr>
            <w:tcW w:w="2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480" w:type="dxa"/>
            <w:vAlign w:val="bottom"/>
          </w:tcPr>
          <w:p>
            <w:pPr>
              <w:spacing w:after="0"/>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5"/>
                <w:szCs w:val="15"/>
                <w:color w:val="auto"/>
              </w:rPr>
              <w:t>(7)(13)</w:t>
            </w:r>
          </w:p>
        </w:tc>
        <w:tc>
          <w:tcPr>
            <w:tcW w:w="2640" w:type="dxa"/>
            <w:vAlign w:val="bottom"/>
          </w:tcPr>
          <w:p>
            <w:pPr>
              <w:ind w:left="140"/>
              <w:spacing w:after="0"/>
              <w:rPr>
                <w:sz w:val="20"/>
                <w:szCs w:val="20"/>
                <w:color w:val="auto"/>
              </w:rPr>
            </w:pPr>
            <w:r>
              <w:rPr>
                <w:rFonts w:ascii="Arial" w:cs="Arial" w:eastAsia="Arial" w:hAnsi="Arial"/>
                <w:sz w:val="18"/>
                <w:szCs w:val="18"/>
                <w:color w:val="auto"/>
                <w:w w:val="93"/>
              </w:rPr>
              <w:t>Class A Preferred Units (134,000</w:t>
            </w:r>
          </w:p>
        </w:tc>
        <w:tc>
          <w:tcPr>
            <w:tcW w:w="2300" w:type="dxa"/>
            <w:vAlign w:val="bottom"/>
          </w:tcPr>
          <w:p>
            <w:pPr>
              <w:jc w:val="right"/>
              <w:ind w:right="1290"/>
              <w:spacing w:after="0"/>
              <w:rPr>
                <w:sz w:val="20"/>
                <w:szCs w:val="20"/>
                <w:color w:val="auto"/>
              </w:rPr>
            </w:pPr>
            <w:r>
              <w:rPr>
                <w:rFonts w:ascii="Arial" w:cs="Arial" w:eastAsia="Arial" w:hAnsi="Arial"/>
                <w:sz w:val="18"/>
                <w:szCs w:val="18"/>
                <w:color w:val="auto"/>
              </w:rPr>
              <w:t>6/30/2017</w:t>
            </w:r>
          </w:p>
        </w:tc>
        <w:tc>
          <w:tcPr>
            <w:tcW w:w="9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13,400</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17,152</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230"/>
        </w:trPr>
        <w:tc>
          <w:tcPr>
            <w:tcW w:w="2480" w:type="dxa"/>
            <w:vAlign w:val="bottom"/>
          </w:tcPr>
          <w:p>
            <w:pPr>
              <w:spacing w:after="0"/>
              <w:rPr>
                <w:sz w:val="20"/>
                <w:szCs w:val="20"/>
                <w:color w:val="auto"/>
              </w:rPr>
            </w:pPr>
          </w:p>
        </w:tc>
        <w:tc>
          <w:tcPr>
            <w:tcW w:w="2640" w:type="dxa"/>
            <w:vAlign w:val="bottom"/>
          </w:tcPr>
          <w:p>
            <w:pPr>
              <w:ind w:left="140"/>
              <w:spacing w:after="0"/>
              <w:rPr>
                <w:sz w:val="20"/>
                <w:szCs w:val="20"/>
                <w:color w:val="auto"/>
              </w:rPr>
            </w:pPr>
            <w:r>
              <w:rPr>
                <w:rFonts w:ascii="Arial" w:cs="Arial" w:eastAsia="Arial" w:hAnsi="Arial"/>
                <w:sz w:val="18"/>
                <w:szCs w:val="18"/>
                <w:color w:val="auto"/>
              </w:rPr>
              <w:t>units)</w:t>
            </w:r>
          </w:p>
        </w:tc>
        <w:tc>
          <w:tcPr>
            <w:tcW w:w="2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80" w:type="dxa"/>
            <w:vAlign w:val="bottom"/>
            <w:shd w:val="clear" w:color="auto" w:fill="CFF0FC"/>
          </w:tcPr>
          <w:p>
            <w:pPr>
              <w:spacing w:after="0"/>
              <w:rPr>
                <w:sz w:val="18"/>
                <w:szCs w:val="18"/>
                <w:color w:val="auto"/>
              </w:rPr>
            </w:pPr>
          </w:p>
        </w:tc>
        <w:tc>
          <w:tcPr>
            <w:tcW w:w="264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8"/>
              </w:rPr>
              <w:t>Class B Common Units (90,000</w:t>
            </w:r>
          </w:p>
        </w:tc>
        <w:tc>
          <w:tcPr>
            <w:tcW w:w="2300" w:type="dxa"/>
            <w:vAlign w:val="bottom"/>
            <w:shd w:val="clear" w:color="auto" w:fill="CFF0FC"/>
          </w:tcPr>
          <w:p>
            <w:pPr>
              <w:jc w:val="right"/>
              <w:ind w:right="1290"/>
              <w:spacing w:after="0"/>
              <w:rPr>
                <w:sz w:val="20"/>
                <w:szCs w:val="20"/>
                <w:color w:val="auto"/>
              </w:rPr>
            </w:pPr>
            <w:r>
              <w:rPr>
                <w:rFonts w:ascii="Arial" w:cs="Arial" w:eastAsia="Arial" w:hAnsi="Arial"/>
                <w:sz w:val="18"/>
                <w:szCs w:val="18"/>
                <w:color w:val="auto"/>
              </w:rPr>
              <w:t>6/30/2017</w:t>
            </w:r>
          </w:p>
        </w:tc>
        <w:tc>
          <w:tcPr>
            <w:tcW w:w="9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r>
      <w:tr>
        <w:trPr>
          <w:trHeight w:val="230"/>
        </w:trPr>
        <w:tc>
          <w:tcPr>
            <w:tcW w:w="2480" w:type="dxa"/>
            <w:vAlign w:val="bottom"/>
            <w:shd w:val="clear" w:color="auto" w:fill="CFF0FC"/>
          </w:tcPr>
          <w:p>
            <w:pPr>
              <w:spacing w:after="0"/>
              <w:rPr>
                <w:sz w:val="20"/>
                <w:szCs w:val="20"/>
                <w:color w:val="auto"/>
              </w:rPr>
            </w:pPr>
          </w:p>
        </w:tc>
        <w:tc>
          <w:tcPr>
            <w:tcW w:w="2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units)</w:t>
            </w:r>
          </w:p>
        </w:tc>
        <w:tc>
          <w:tcPr>
            <w:tcW w:w="2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4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13,402</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17,597</w:t>
            </w: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r>
      <w:tr>
        <w:trPr>
          <w:trHeight w:val="223"/>
        </w:trPr>
        <w:tc>
          <w:tcPr>
            <w:tcW w:w="2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Business Services</w:t>
            </w:r>
          </w:p>
        </w:tc>
        <w:tc>
          <w:tcPr>
            <w:tcW w:w="2640" w:type="dxa"/>
            <w:vAlign w:val="bottom"/>
            <w:tcBorders>
              <w:top w:val="single" w:sz="8" w:color="CFF0FC"/>
            </w:tcBorders>
            <w:shd w:val="clear" w:color="auto" w:fill="CFF0FC"/>
          </w:tcPr>
          <w:p>
            <w:pPr>
              <w:spacing w:after="0"/>
              <w:rPr>
                <w:sz w:val="19"/>
                <w:szCs w:val="19"/>
                <w:color w:val="auto"/>
              </w:rPr>
            </w:pPr>
          </w:p>
        </w:tc>
        <w:tc>
          <w:tcPr>
            <w:tcW w:w="23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 xml:space="preserve">Motus, LLC </w:t>
            </w:r>
            <w:r>
              <w:rPr>
                <w:rFonts w:ascii="Arial" w:cs="Arial" w:eastAsia="Arial" w:hAnsi="Arial"/>
                <w:sz w:val="15"/>
                <w:szCs w:val="15"/>
                <w:color w:val="auto"/>
              </w:rPr>
              <w:t>(13)(14)</w:t>
            </w:r>
          </w:p>
        </w:tc>
        <w:tc>
          <w:tcPr>
            <w:tcW w:w="2640" w:type="dxa"/>
            <w:vAlign w:val="bottom"/>
          </w:tcPr>
          <w:p>
            <w:pPr>
              <w:ind w:left="140"/>
              <w:spacing w:after="0"/>
              <w:rPr>
                <w:sz w:val="20"/>
                <w:szCs w:val="20"/>
                <w:color w:val="auto"/>
              </w:rPr>
            </w:pPr>
            <w:r>
              <w:rPr>
                <w:rFonts w:ascii="Arial" w:cs="Arial" w:eastAsia="Arial" w:hAnsi="Arial"/>
                <w:sz w:val="18"/>
                <w:szCs w:val="18"/>
                <w:color w:val="auto"/>
              </w:rPr>
              <w:t>Class A Units (1,262 units)</w:t>
            </w:r>
          </w:p>
        </w:tc>
        <w:tc>
          <w:tcPr>
            <w:tcW w:w="2300" w:type="dxa"/>
            <w:vAlign w:val="bottom"/>
          </w:tcPr>
          <w:p>
            <w:pPr>
              <w:jc w:val="right"/>
              <w:ind w:right="1290"/>
              <w:spacing w:after="0"/>
              <w:rPr>
                <w:sz w:val="20"/>
                <w:szCs w:val="20"/>
                <w:color w:val="auto"/>
              </w:rPr>
            </w:pPr>
            <w:r>
              <w:rPr>
                <w:rFonts w:ascii="Arial" w:cs="Arial" w:eastAsia="Arial" w:hAnsi="Arial"/>
                <w:sz w:val="18"/>
                <w:szCs w:val="18"/>
                <w:color w:val="auto"/>
              </w:rPr>
              <w:t>1/17/2018</w:t>
            </w:r>
          </w:p>
        </w:tc>
        <w:tc>
          <w:tcPr>
            <w:tcW w:w="9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1,262</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1,262</w:t>
            </w: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r>
      <w:tr>
        <w:trPr>
          <w:trHeight w:val="230"/>
        </w:trPr>
        <w:tc>
          <w:tcPr>
            <w:tcW w:w="2480" w:type="dxa"/>
            <w:vAlign w:val="bottom"/>
            <w:shd w:val="clear" w:color="auto" w:fill="CFF0FC"/>
          </w:tcPr>
          <w:p>
            <w:pPr>
              <w:spacing w:after="0"/>
              <w:rPr>
                <w:sz w:val="19"/>
                <w:szCs w:val="19"/>
                <w:color w:val="auto"/>
              </w:rPr>
            </w:pPr>
          </w:p>
        </w:tc>
        <w:tc>
          <w:tcPr>
            <w:tcW w:w="2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Class B Units (517,020 units)</w:t>
            </w:r>
          </w:p>
        </w:tc>
        <w:tc>
          <w:tcPr>
            <w:tcW w:w="2300" w:type="dxa"/>
            <w:vAlign w:val="bottom"/>
            <w:shd w:val="clear" w:color="auto" w:fill="CFF0FC"/>
          </w:tcPr>
          <w:p>
            <w:pPr>
              <w:jc w:val="right"/>
              <w:ind w:right="1290"/>
              <w:spacing w:after="0"/>
              <w:rPr>
                <w:sz w:val="20"/>
                <w:szCs w:val="20"/>
                <w:color w:val="auto"/>
              </w:rPr>
            </w:pPr>
            <w:r>
              <w:rPr>
                <w:rFonts w:ascii="Arial" w:cs="Arial" w:eastAsia="Arial" w:hAnsi="Arial"/>
                <w:sz w:val="18"/>
                <w:szCs w:val="18"/>
                <w:color w:val="auto"/>
              </w:rPr>
              <w:t>1/17/2018</w:t>
            </w:r>
          </w:p>
        </w:tc>
        <w:tc>
          <w:tcPr>
            <w:tcW w:w="9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 xml:space="preserve">Nintex Global Limited </w:t>
            </w:r>
            <w:r>
              <w:rPr>
                <w:rFonts w:ascii="Arial" w:cs="Arial" w:eastAsia="Arial" w:hAnsi="Arial"/>
                <w:sz w:val="15"/>
                <w:szCs w:val="15"/>
                <w:color w:val="auto"/>
              </w:rPr>
              <w:t>(13)(14)</w:t>
            </w:r>
          </w:p>
        </w:tc>
        <w:tc>
          <w:tcPr>
            <w:tcW w:w="2640" w:type="dxa"/>
            <w:vAlign w:val="bottom"/>
          </w:tcPr>
          <w:p>
            <w:pPr>
              <w:ind w:left="140"/>
              <w:spacing w:after="0"/>
              <w:rPr>
                <w:sz w:val="20"/>
                <w:szCs w:val="20"/>
                <w:color w:val="auto"/>
              </w:rPr>
            </w:pPr>
            <w:r>
              <w:rPr>
                <w:rFonts w:ascii="Arial" w:cs="Arial" w:eastAsia="Arial" w:hAnsi="Arial"/>
                <w:sz w:val="18"/>
                <w:szCs w:val="18"/>
                <w:color w:val="auto"/>
              </w:rPr>
              <w:t>Class A Shares (1,197 shares)</w:t>
            </w:r>
          </w:p>
        </w:tc>
        <w:tc>
          <w:tcPr>
            <w:tcW w:w="2300" w:type="dxa"/>
            <w:vAlign w:val="bottom"/>
          </w:tcPr>
          <w:p>
            <w:pPr>
              <w:jc w:val="right"/>
              <w:ind w:right="1290"/>
              <w:spacing w:after="0"/>
              <w:rPr>
                <w:sz w:val="20"/>
                <w:szCs w:val="20"/>
                <w:color w:val="auto"/>
              </w:rPr>
            </w:pPr>
            <w:r>
              <w:rPr>
                <w:rFonts w:ascii="Arial" w:cs="Arial" w:eastAsia="Arial" w:hAnsi="Arial"/>
                <w:sz w:val="18"/>
                <w:szCs w:val="18"/>
                <w:color w:val="auto"/>
              </w:rPr>
              <w:t>3/30/2018</w:t>
            </w:r>
          </w:p>
        </w:tc>
        <w:tc>
          <w:tcPr>
            <w:tcW w:w="9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1,197</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1,197</w:t>
            </w: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r>
      <w:tr>
        <w:trPr>
          <w:trHeight w:val="230"/>
        </w:trPr>
        <w:tc>
          <w:tcPr>
            <w:tcW w:w="2480" w:type="dxa"/>
            <w:vAlign w:val="bottom"/>
            <w:shd w:val="clear" w:color="auto" w:fill="CFF0FC"/>
          </w:tcPr>
          <w:p>
            <w:pPr>
              <w:spacing w:after="0"/>
              <w:rPr>
                <w:sz w:val="19"/>
                <w:szCs w:val="19"/>
                <w:color w:val="auto"/>
              </w:rPr>
            </w:pPr>
          </w:p>
        </w:tc>
        <w:tc>
          <w:tcPr>
            <w:tcW w:w="264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3"/>
              </w:rPr>
              <w:t>Class B Shares (398,557 shares)</w:t>
            </w:r>
          </w:p>
        </w:tc>
        <w:tc>
          <w:tcPr>
            <w:tcW w:w="2300" w:type="dxa"/>
            <w:vAlign w:val="bottom"/>
            <w:shd w:val="clear" w:color="auto" w:fill="CFF0FC"/>
          </w:tcPr>
          <w:p>
            <w:pPr>
              <w:jc w:val="right"/>
              <w:ind w:right="1290"/>
              <w:spacing w:after="0"/>
              <w:rPr>
                <w:sz w:val="20"/>
                <w:szCs w:val="20"/>
                <w:color w:val="auto"/>
              </w:rPr>
            </w:pPr>
            <w:r>
              <w:rPr>
                <w:rFonts w:ascii="Arial" w:cs="Arial" w:eastAsia="Arial" w:hAnsi="Arial"/>
                <w:sz w:val="18"/>
                <w:szCs w:val="18"/>
                <w:color w:val="auto"/>
              </w:rPr>
              <w:t>3/30/2018</w:t>
            </w:r>
          </w:p>
        </w:tc>
        <w:tc>
          <w:tcPr>
            <w:tcW w:w="9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r>
      <w:tr>
        <w:trPr>
          <w:trHeight w:val="20"/>
        </w:trPr>
        <w:tc>
          <w:tcPr>
            <w:tcW w:w="24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4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2,471</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2,471</w:t>
            </w: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r>
      <w:tr>
        <w:trPr>
          <w:trHeight w:val="223"/>
        </w:trPr>
        <w:tc>
          <w:tcPr>
            <w:tcW w:w="2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Chemicals</w:t>
            </w:r>
          </w:p>
        </w:tc>
        <w:tc>
          <w:tcPr>
            <w:tcW w:w="2640" w:type="dxa"/>
            <w:vAlign w:val="bottom"/>
            <w:tcBorders>
              <w:top w:val="single" w:sz="8" w:color="CFF0FC"/>
            </w:tcBorders>
            <w:shd w:val="clear" w:color="auto" w:fill="CFF0FC"/>
          </w:tcPr>
          <w:p>
            <w:pPr>
              <w:spacing w:after="0"/>
              <w:rPr>
                <w:sz w:val="19"/>
                <w:szCs w:val="19"/>
                <w:color w:val="auto"/>
              </w:rPr>
            </w:pPr>
          </w:p>
        </w:tc>
        <w:tc>
          <w:tcPr>
            <w:tcW w:w="23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 xml:space="preserve">Vertellus Specialties, Inc. </w:t>
            </w:r>
            <w:r>
              <w:rPr>
                <w:rFonts w:ascii="Arial" w:cs="Arial" w:eastAsia="Arial" w:hAnsi="Arial"/>
                <w:sz w:val="15"/>
                <w:szCs w:val="15"/>
                <w:color w:val="auto"/>
              </w:rPr>
              <w:t>(13)</w:t>
            </w:r>
          </w:p>
        </w:tc>
        <w:tc>
          <w:tcPr>
            <w:tcW w:w="2640" w:type="dxa"/>
            <w:vAlign w:val="bottom"/>
          </w:tcPr>
          <w:p>
            <w:pPr>
              <w:ind w:left="140"/>
              <w:spacing w:after="0"/>
              <w:rPr>
                <w:sz w:val="20"/>
                <w:szCs w:val="20"/>
                <w:color w:val="auto"/>
              </w:rPr>
            </w:pPr>
            <w:r>
              <w:rPr>
                <w:rFonts w:ascii="Arial" w:cs="Arial" w:eastAsia="Arial" w:hAnsi="Arial"/>
                <w:sz w:val="18"/>
                <w:szCs w:val="18"/>
                <w:color w:val="auto"/>
                <w:w w:val="95"/>
              </w:rPr>
              <w:t>Common Units (2,672,990 units)</w:t>
            </w:r>
          </w:p>
        </w:tc>
        <w:tc>
          <w:tcPr>
            <w:tcW w:w="2300" w:type="dxa"/>
            <w:vAlign w:val="bottom"/>
          </w:tcPr>
          <w:p>
            <w:pPr>
              <w:jc w:val="right"/>
              <w:ind w:right="1290"/>
              <w:spacing w:after="0"/>
              <w:rPr>
                <w:sz w:val="20"/>
                <w:szCs w:val="20"/>
                <w:color w:val="auto"/>
              </w:rPr>
            </w:pPr>
            <w:r>
              <w:rPr>
                <w:rFonts w:ascii="Arial" w:cs="Arial" w:eastAsia="Arial" w:hAnsi="Arial"/>
                <w:sz w:val="18"/>
                <w:szCs w:val="18"/>
                <w:color w:val="auto"/>
                <w:w w:val="99"/>
              </w:rPr>
              <w:t>10/31/2016</w:t>
            </w:r>
          </w:p>
        </w:tc>
        <w:tc>
          <w:tcPr>
            <w:tcW w:w="9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3,828</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4,001</w:t>
            </w: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r>
      <w:tr>
        <w:trPr>
          <w:trHeight w:val="230"/>
        </w:trPr>
        <w:tc>
          <w:tcPr>
            <w:tcW w:w="2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services</w:t>
            </w:r>
          </w:p>
        </w:tc>
        <w:tc>
          <w:tcPr>
            <w:tcW w:w="2640" w:type="dxa"/>
            <w:vAlign w:val="bottom"/>
            <w:shd w:val="clear" w:color="auto" w:fill="CFF0FC"/>
          </w:tcPr>
          <w:p>
            <w:pPr>
              <w:spacing w:after="0"/>
              <w:rPr>
                <w:sz w:val="19"/>
                <w:szCs w:val="19"/>
                <w:color w:val="auto"/>
              </w:rPr>
            </w:pPr>
          </w:p>
        </w:tc>
        <w:tc>
          <w:tcPr>
            <w:tcW w:w="2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480" w:type="dxa"/>
            <w:vAlign w:val="bottom"/>
          </w:tcPr>
          <w:p>
            <w:pPr>
              <w:spacing w:after="0"/>
              <w:rPr>
                <w:sz w:val="20"/>
                <w:szCs w:val="20"/>
                <w:color w:val="auto"/>
              </w:rPr>
            </w:pPr>
            <w:r>
              <w:rPr>
                <w:rFonts w:ascii="Arial" w:cs="Arial" w:eastAsia="Arial" w:hAnsi="Arial"/>
                <w:sz w:val="18"/>
                <w:szCs w:val="18"/>
                <w:color w:val="auto"/>
              </w:rPr>
              <w:t xml:space="preserve">AvidXchange, Inc. </w:t>
            </w:r>
            <w:r>
              <w:rPr>
                <w:rFonts w:ascii="Arial" w:cs="Arial" w:eastAsia="Arial" w:hAnsi="Arial"/>
                <w:sz w:val="15"/>
                <w:szCs w:val="15"/>
                <w:color w:val="auto"/>
              </w:rPr>
              <w:t>(13)</w:t>
            </w:r>
          </w:p>
        </w:tc>
        <w:tc>
          <w:tcPr>
            <w:tcW w:w="2640" w:type="dxa"/>
            <w:vAlign w:val="bottom"/>
          </w:tcPr>
          <w:p>
            <w:pPr>
              <w:ind w:left="140"/>
              <w:spacing w:after="0"/>
              <w:rPr>
                <w:sz w:val="20"/>
                <w:szCs w:val="20"/>
                <w:color w:val="auto"/>
              </w:rPr>
            </w:pPr>
            <w:r>
              <w:rPr>
                <w:rFonts w:ascii="Arial" w:cs="Arial" w:eastAsia="Arial" w:hAnsi="Arial"/>
                <w:sz w:val="18"/>
                <w:szCs w:val="18"/>
                <w:color w:val="auto"/>
              </w:rPr>
              <w:t>Series E Preferred Shares</w:t>
            </w:r>
          </w:p>
        </w:tc>
        <w:tc>
          <w:tcPr>
            <w:tcW w:w="2300" w:type="dxa"/>
            <w:vAlign w:val="bottom"/>
          </w:tcPr>
          <w:p>
            <w:pPr>
              <w:jc w:val="right"/>
              <w:ind w:right="1290"/>
              <w:spacing w:after="0"/>
              <w:rPr>
                <w:sz w:val="20"/>
                <w:szCs w:val="20"/>
                <w:color w:val="auto"/>
              </w:rPr>
            </w:pPr>
            <w:r>
              <w:rPr>
                <w:rFonts w:ascii="Arial" w:cs="Arial" w:eastAsia="Arial" w:hAnsi="Arial"/>
                <w:sz w:val="18"/>
                <w:szCs w:val="18"/>
                <w:color w:val="auto"/>
              </w:rPr>
              <w:t>8/7/2015</w:t>
            </w:r>
          </w:p>
        </w:tc>
        <w:tc>
          <w:tcPr>
            <w:tcW w:w="9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3,846</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7,481</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r>
      <w:tr>
        <w:trPr>
          <w:trHeight w:val="230"/>
        </w:trPr>
        <w:tc>
          <w:tcPr>
            <w:tcW w:w="2480" w:type="dxa"/>
            <w:vAlign w:val="bottom"/>
          </w:tcPr>
          <w:p>
            <w:pPr>
              <w:spacing w:after="0"/>
              <w:rPr>
                <w:sz w:val="20"/>
                <w:szCs w:val="20"/>
                <w:color w:val="auto"/>
              </w:rPr>
            </w:pPr>
          </w:p>
        </w:tc>
        <w:tc>
          <w:tcPr>
            <w:tcW w:w="2640" w:type="dxa"/>
            <w:vAlign w:val="bottom"/>
          </w:tcPr>
          <w:p>
            <w:pPr>
              <w:ind w:left="140"/>
              <w:spacing w:after="0"/>
              <w:rPr>
                <w:sz w:val="20"/>
                <w:szCs w:val="20"/>
                <w:color w:val="auto"/>
              </w:rPr>
            </w:pPr>
            <w:r>
              <w:rPr>
                <w:rFonts w:ascii="Arial" w:cs="Arial" w:eastAsia="Arial" w:hAnsi="Arial"/>
                <w:sz w:val="18"/>
                <w:szCs w:val="18"/>
                <w:color w:val="auto"/>
              </w:rPr>
              <w:t>(214,132 shares)</w:t>
            </w:r>
          </w:p>
        </w:tc>
        <w:tc>
          <w:tcPr>
            <w:tcW w:w="2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w w:val="98"/>
              </w:rPr>
              <w:t xml:space="preserve">Oxford Square Capital Corp. </w:t>
            </w:r>
            <w:r>
              <w:rPr>
                <w:rFonts w:ascii="Arial" w:cs="Arial" w:eastAsia="Arial" w:hAnsi="Arial"/>
                <w:sz w:val="15"/>
                <w:szCs w:val="15"/>
                <w:color w:val="auto"/>
                <w:w w:val="98"/>
              </w:rPr>
              <w:t>(4)</w:t>
            </w:r>
          </w:p>
        </w:tc>
        <w:tc>
          <w:tcPr>
            <w:tcW w:w="264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6"/>
              </w:rPr>
              <w:t>Common Shares (1,059 shares)</w:t>
            </w:r>
          </w:p>
        </w:tc>
        <w:tc>
          <w:tcPr>
            <w:tcW w:w="2300" w:type="dxa"/>
            <w:vAlign w:val="bottom"/>
            <w:shd w:val="clear" w:color="auto" w:fill="CFF0FC"/>
          </w:tcPr>
          <w:p>
            <w:pPr>
              <w:jc w:val="right"/>
              <w:ind w:right="1290"/>
              <w:spacing w:after="0"/>
              <w:rPr>
                <w:sz w:val="20"/>
                <w:szCs w:val="20"/>
                <w:color w:val="auto"/>
              </w:rPr>
            </w:pPr>
            <w:r>
              <w:rPr>
                <w:rFonts w:ascii="Arial" w:cs="Arial" w:eastAsia="Arial" w:hAnsi="Arial"/>
                <w:sz w:val="18"/>
                <w:szCs w:val="18"/>
                <w:color w:val="auto"/>
              </w:rPr>
              <w:t>8/5/2015</w:t>
            </w:r>
          </w:p>
        </w:tc>
        <w:tc>
          <w:tcPr>
            <w:tcW w:w="9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r>
      <w:tr>
        <w:trPr>
          <w:trHeight w:val="175"/>
        </w:trPr>
        <w:tc>
          <w:tcPr>
            <w:tcW w:w="2480" w:type="dxa"/>
            <w:vAlign w:val="bottom"/>
            <w:shd w:val="clear" w:color="auto" w:fill="CFF0FC"/>
          </w:tcPr>
          <w:p>
            <w:pPr>
              <w:spacing w:after="0"/>
              <w:rPr>
                <w:sz w:val="20"/>
                <w:szCs w:val="20"/>
                <w:color w:val="auto"/>
              </w:rPr>
            </w:pPr>
            <w:r>
              <w:rPr>
                <w:rFonts w:ascii="Arial" w:cs="Arial" w:eastAsia="Arial" w:hAnsi="Arial"/>
                <w:sz w:val="15"/>
                <w:szCs w:val="15"/>
                <w:color w:val="auto"/>
              </w:rPr>
              <w:t>(12)</w:t>
            </w:r>
          </w:p>
        </w:tc>
        <w:tc>
          <w:tcPr>
            <w:tcW w:w="2640" w:type="dxa"/>
            <w:vAlign w:val="bottom"/>
            <w:shd w:val="clear" w:color="auto" w:fill="CFF0FC"/>
          </w:tcPr>
          <w:p>
            <w:pPr>
              <w:spacing w:after="0"/>
              <w:rPr>
                <w:sz w:val="15"/>
                <w:szCs w:val="15"/>
                <w:color w:val="auto"/>
              </w:rPr>
            </w:pPr>
          </w:p>
        </w:tc>
        <w:tc>
          <w:tcPr>
            <w:tcW w:w="23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 xml:space="preserve">Swift Gift Limited </w:t>
            </w:r>
            <w:r>
              <w:rPr>
                <w:rFonts w:ascii="Arial" w:cs="Arial" w:eastAsia="Arial" w:hAnsi="Arial"/>
                <w:sz w:val="15"/>
                <w:szCs w:val="15"/>
                <w:color w:val="auto"/>
              </w:rPr>
              <w:t>(13)</w:t>
            </w:r>
          </w:p>
        </w:tc>
        <w:tc>
          <w:tcPr>
            <w:tcW w:w="2640" w:type="dxa"/>
            <w:vAlign w:val="bottom"/>
          </w:tcPr>
          <w:p>
            <w:pPr>
              <w:ind w:left="140"/>
              <w:spacing w:after="0"/>
              <w:rPr>
                <w:sz w:val="20"/>
                <w:szCs w:val="20"/>
                <w:color w:val="auto"/>
              </w:rPr>
            </w:pPr>
            <w:r>
              <w:rPr>
                <w:rFonts w:ascii="Arial" w:cs="Arial" w:eastAsia="Arial" w:hAnsi="Arial"/>
                <w:sz w:val="18"/>
                <w:szCs w:val="18"/>
                <w:color w:val="auto"/>
                <w:w w:val="93"/>
              </w:rPr>
              <w:t>Common Shares (35,000 shares)</w:t>
            </w:r>
          </w:p>
        </w:tc>
        <w:tc>
          <w:tcPr>
            <w:tcW w:w="2300" w:type="dxa"/>
            <w:vAlign w:val="bottom"/>
          </w:tcPr>
          <w:p>
            <w:pPr>
              <w:jc w:val="right"/>
              <w:ind w:right="1290"/>
              <w:spacing w:after="0"/>
              <w:rPr>
                <w:sz w:val="20"/>
                <w:szCs w:val="20"/>
                <w:color w:val="auto"/>
              </w:rPr>
            </w:pPr>
            <w:r>
              <w:rPr>
                <w:rFonts w:ascii="Arial" w:cs="Arial" w:eastAsia="Arial" w:hAnsi="Arial"/>
                <w:sz w:val="18"/>
                <w:szCs w:val="18"/>
                <w:color w:val="auto"/>
              </w:rPr>
              <w:t>7/31/2017</w:t>
            </w:r>
          </w:p>
        </w:tc>
        <w:tc>
          <w:tcPr>
            <w:tcW w:w="9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3,500</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7,998</w:t>
            </w: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9"/>
                <w:szCs w:val="19"/>
                <w:color w:val="auto"/>
              </w:rPr>
            </w:pPr>
          </w:p>
        </w:tc>
      </w:tr>
      <w:tr>
        <w:trPr>
          <w:trHeight w:val="20"/>
        </w:trPr>
        <w:tc>
          <w:tcPr>
            <w:tcW w:w="2480" w:type="dxa"/>
            <w:vAlign w:val="bottom"/>
            <w:shd w:val="clear" w:color="auto" w:fill="CFF0FC"/>
          </w:tcPr>
          <w:p>
            <w:pPr>
              <w:spacing w:after="0" w:line="20" w:lineRule="exact"/>
              <w:rPr>
                <w:sz w:val="1"/>
                <w:szCs w:val="1"/>
                <w:color w:val="auto"/>
              </w:rPr>
            </w:pPr>
          </w:p>
        </w:tc>
        <w:tc>
          <w:tcPr>
            <w:tcW w:w="2640" w:type="dxa"/>
            <w:vAlign w:val="bottom"/>
            <w:shd w:val="clear" w:color="auto" w:fill="CFF0FC"/>
          </w:tcPr>
          <w:p>
            <w:pPr>
              <w:spacing w:after="0" w:line="20" w:lineRule="exact"/>
              <w:rPr>
                <w:sz w:val="1"/>
                <w:szCs w:val="1"/>
                <w:color w:val="auto"/>
              </w:rPr>
            </w:pPr>
          </w:p>
        </w:tc>
        <w:tc>
          <w:tcPr>
            <w:tcW w:w="230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480" w:type="dxa"/>
            <w:vAlign w:val="bottom"/>
            <w:shd w:val="clear" w:color="auto" w:fill="CFF0FC"/>
          </w:tcPr>
          <w:p>
            <w:pPr>
              <w:spacing w:after="0"/>
              <w:rPr>
                <w:sz w:val="19"/>
                <w:szCs w:val="19"/>
                <w:color w:val="auto"/>
              </w:rPr>
            </w:pPr>
          </w:p>
        </w:tc>
        <w:tc>
          <w:tcPr>
            <w:tcW w:w="2640" w:type="dxa"/>
            <w:vAlign w:val="bottom"/>
            <w:shd w:val="clear" w:color="auto" w:fill="CFF0FC"/>
          </w:tcPr>
          <w:p>
            <w:pPr>
              <w:spacing w:after="0"/>
              <w:rPr>
                <w:sz w:val="19"/>
                <w:szCs w:val="19"/>
                <w:color w:val="auto"/>
              </w:rPr>
            </w:pPr>
          </w:p>
        </w:tc>
        <w:tc>
          <w:tcPr>
            <w:tcW w:w="2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7,353</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15,487</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r>
      <w:tr>
        <w:trPr>
          <w:trHeight w:val="223"/>
        </w:trPr>
        <w:tc>
          <w:tcPr>
            <w:tcW w:w="2480" w:type="dxa"/>
            <w:vAlign w:val="bottom"/>
          </w:tcPr>
          <w:p>
            <w:pPr>
              <w:spacing w:after="0"/>
              <w:rPr>
                <w:sz w:val="20"/>
                <w:szCs w:val="20"/>
                <w:color w:val="auto"/>
              </w:rPr>
            </w:pPr>
            <w:r>
              <w:rPr>
                <w:rFonts w:ascii="Arial" w:cs="Arial" w:eastAsia="Arial" w:hAnsi="Arial"/>
                <w:sz w:val="18"/>
                <w:szCs w:val="18"/>
                <w:b w:val="1"/>
                <w:bCs w:val="1"/>
                <w:color w:val="auto"/>
              </w:rPr>
              <w:t>Healthcare</w:t>
            </w:r>
          </w:p>
        </w:tc>
        <w:tc>
          <w:tcPr>
            <w:tcW w:w="26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w w:val="97"/>
              </w:rPr>
              <w:t xml:space="preserve">Caris Life Sciences, Inc. </w:t>
            </w:r>
            <w:r>
              <w:rPr>
                <w:rFonts w:ascii="Arial" w:cs="Arial" w:eastAsia="Arial" w:hAnsi="Arial"/>
                <w:sz w:val="15"/>
                <w:szCs w:val="15"/>
                <w:color w:val="auto"/>
                <w:w w:val="97"/>
              </w:rPr>
              <w:t>(13)(14)</w:t>
            </w:r>
          </w:p>
        </w:tc>
        <w:tc>
          <w:tcPr>
            <w:tcW w:w="2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Warrants</w:t>
            </w:r>
          </w:p>
        </w:tc>
        <w:tc>
          <w:tcPr>
            <w:tcW w:w="2300" w:type="dxa"/>
            <w:vAlign w:val="bottom"/>
            <w:shd w:val="clear" w:color="auto" w:fill="CFF0FC"/>
          </w:tcPr>
          <w:p>
            <w:pPr>
              <w:jc w:val="right"/>
              <w:ind w:right="1290"/>
              <w:spacing w:after="0"/>
              <w:rPr>
                <w:sz w:val="20"/>
                <w:szCs w:val="20"/>
                <w:color w:val="auto"/>
              </w:rPr>
            </w:pPr>
            <w:r>
              <w:rPr>
                <w:rFonts w:ascii="Arial" w:cs="Arial" w:eastAsia="Arial" w:hAnsi="Arial"/>
                <w:sz w:val="18"/>
                <w:szCs w:val="18"/>
                <w:color w:val="auto"/>
              </w:rPr>
              <w:t>9/21/2018</w:t>
            </w:r>
          </w:p>
        </w:tc>
        <w:tc>
          <w:tcPr>
            <w:tcW w:w="9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r>
      <w:tr>
        <w:trPr>
          <w:trHeight w:val="215"/>
        </w:trPr>
        <w:tc>
          <w:tcPr>
            <w:tcW w:w="2480" w:type="dxa"/>
            <w:vAlign w:val="bottom"/>
          </w:tcPr>
          <w:p>
            <w:pPr>
              <w:spacing w:after="0"/>
              <w:rPr>
                <w:sz w:val="20"/>
                <w:szCs w:val="20"/>
                <w:color w:val="auto"/>
              </w:rPr>
            </w:pPr>
            <w:r>
              <w:rPr>
                <w:rFonts w:ascii="Arial" w:cs="Arial" w:eastAsia="Arial" w:hAnsi="Arial"/>
                <w:sz w:val="18"/>
                <w:szCs w:val="18"/>
                <w:color w:val="auto"/>
              </w:rPr>
              <w:t xml:space="preserve">SRS Parent Corp. </w:t>
            </w:r>
            <w:r>
              <w:rPr>
                <w:rFonts w:ascii="Arial" w:cs="Arial" w:eastAsia="Arial" w:hAnsi="Arial"/>
                <w:sz w:val="15"/>
                <w:szCs w:val="15"/>
                <w:color w:val="auto"/>
              </w:rPr>
              <w:t>(13)</w:t>
            </w:r>
          </w:p>
        </w:tc>
        <w:tc>
          <w:tcPr>
            <w:tcW w:w="2640" w:type="dxa"/>
            <w:vAlign w:val="bottom"/>
          </w:tcPr>
          <w:p>
            <w:pPr>
              <w:ind w:left="140"/>
              <w:spacing w:after="0"/>
              <w:rPr>
                <w:sz w:val="20"/>
                <w:szCs w:val="20"/>
                <w:color w:val="auto"/>
              </w:rPr>
            </w:pPr>
            <w:r>
              <w:rPr>
                <w:rFonts w:ascii="Arial" w:cs="Arial" w:eastAsia="Arial" w:hAnsi="Arial"/>
                <w:sz w:val="18"/>
                <w:szCs w:val="18"/>
                <w:color w:val="auto"/>
              </w:rPr>
              <w:t>Common Shares Class A</w:t>
            </w:r>
          </w:p>
        </w:tc>
        <w:tc>
          <w:tcPr>
            <w:tcW w:w="2300" w:type="dxa"/>
            <w:vAlign w:val="bottom"/>
          </w:tcPr>
          <w:p>
            <w:pPr>
              <w:jc w:val="right"/>
              <w:ind w:right="1290"/>
              <w:spacing w:after="0"/>
              <w:rPr>
                <w:sz w:val="20"/>
                <w:szCs w:val="20"/>
                <w:color w:val="auto"/>
              </w:rPr>
            </w:pPr>
            <w:r>
              <w:rPr>
                <w:rFonts w:ascii="Arial" w:cs="Arial" w:eastAsia="Arial" w:hAnsi="Arial"/>
                <w:sz w:val="18"/>
                <w:szCs w:val="18"/>
                <w:color w:val="auto"/>
                <w:w w:val="99"/>
              </w:rPr>
              <w:t>12/28/2012</w:t>
            </w:r>
          </w:p>
        </w:tc>
        <w:tc>
          <w:tcPr>
            <w:tcW w:w="9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1,980</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1,015</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r>
      <w:tr>
        <w:trPr>
          <w:trHeight w:val="230"/>
        </w:trPr>
        <w:tc>
          <w:tcPr>
            <w:tcW w:w="2480" w:type="dxa"/>
            <w:vAlign w:val="bottom"/>
          </w:tcPr>
          <w:p>
            <w:pPr>
              <w:spacing w:after="0"/>
              <w:rPr>
                <w:sz w:val="20"/>
                <w:szCs w:val="20"/>
                <w:color w:val="auto"/>
              </w:rPr>
            </w:pPr>
          </w:p>
        </w:tc>
        <w:tc>
          <w:tcPr>
            <w:tcW w:w="2640" w:type="dxa"/>
            <w:vAlign w:val="bottom"/>
          </w:tcPr>
          <w:p>
            <w:pPr>
              <w:ind w:left="140"/>
              <w:spacing w:after="0"/>
              <w:rPr>
                <w:sz w:val="20"/>
                <w:szCs w:val="20"/>
                <w:color w:val="auto"/>
              </w:rPr>
            </w:pPr>
            <w:r>
              <w:rPr>
                <w:rFonts w:ascii="Arial" w:cs="Arial" w:eastAsia="Arial" w:hAnsi="Arial"/>
                <w:sz w:val="18"/>
                <w:szCs w:val="18"/>
                <w:color w:val="auto"/>
              </w:rPr>
              <w:t>(1,980 shares)</w:t>
            </w:r>
          </w:p>
        </w:tc>
        <w:tc>
          <w:tcPr>
            <w:tcW w:w="2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80" w:type="dxa"/>
            <w:vAlign w:val="bottom"/>
            <w:shd w:val="clear" w:color="auto" w:fill="CFF0FC"/>
          </w:tcPr>
          <w:p>
            <w:pPr>
              <w:spacing w:after="0"/>
              <w:rPr>
                <w:sz w:val="18"/>
                <w:szCs w:val="18"/>
                <w:color w:val="auto"/>
              </w:rPr>
            </w:pPr>
          </w:p>
        </w:tc>
        <w:tc>
          <w:tcPr>
            <w:tcW w:w="2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Shares Class B</w:t>
            </w:r>
          </w:p>
        </w:tc>
        <w:tc>
          <w:tcPr>
            <w:tcW w:w="2300" w:type="dxa"/>
            <w:vAlign w:val="bottom"/>
            <w:shd w:val="clear" w:color="auto" w:fill="CFF0FC"/>
          </w:tcPr>
          <w:p>
            <w:pPr>
              <w:jc w:val="right"/>
              <w:ind w:right="1290"/>
              <w:spacing w:after="0"/>
              <w:rPr>
                <w:sz w:val="20"/>
                <w:szCs w:val="20"/>
                <w:color w:val="auto"/>
              </w:rPr>
            </w:pPr>
            <w:r>
              <w:rPr>
                <w:rFonts w:ascii="Arial" w:cs="Arial" w:eastAsia="Arial" w:hAnsi="Arial"/>
                <w:sz w:val="18"/>
                <w:szCs w:val="18"/>
                <w:color w:val="auto"/>
                <w:w w:val="99"/>
              </w:rPr>
              <w:t>12/28/2012</w:t>
            </w:r>
          </w:p>
        </w:tc>
        <w:tc>
          <w:tcPr>
            <w:tcW w:w="9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r>
      <w:tr>
        <w:trPr>
          <w:trHeight w:val="230"/>
        </w:trPr>
        <w:tc>
          <w:tcPr>
            <w:tcW w:w="2480" w:type="dxa"/>
            <w:vAlign w:val="bottom"/>
            <w:shd w:val="clear" w:color="auto" w:fill="CFF0FC"/>
          </w:tcPr>
          <w:p>
            <w:pPr>
              <w:spacing w:after="0"/>
              <w:rPr>
                <w:sz w:val="20"/>
                <w:szCs w:val="20"/>
                <w:color w:val="auto"/>
              </w:rPr>
            </w:pPr>
          </w:p>
        </w:tc>
        <w:tc>
          <w:tcPr>
            <w:tcW w:w="2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(2,953,020 shares)</w:t>
            </w:r>
          </w:p>
        </w:tc>
        <w:tc>
          <w:tcPr>
            <w:tcW w:w="2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4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2,207</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1,232</w:t>
            </w: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r>
      <w:tr>
        <w:trPr>
          <w:trHeight w:val="205"/>
        </w:trPr>
        <w:tc>
          <w:tcPr>
            <w:tcW w:w="248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Human resource support</w:t>
            </w:r>
          </w:p>
        </w:tc>
        <w:tc>
          <w:tcPr>
            <w:tcW w:w="2640" w:type="dxa"/>
            <w:vAlign w:val="bottom"/>
            <w:tcBorders>
              <w:top w:val="single" w:sz="8" w:color="CFF0FC"/>
            </w:tcBorders>
            <w:shd w:val="clear" w:color="auto" w:fill="CFF0FC"/>
          </w:tcPr>
          <w:p>
            <w:pPr>
              <w:spacing w:after="0"/>
              <w:rPr>
                <w:sz w:val="17"/>
                <w:szCs w:val="17"/>
                <w:color w:val="auto"/>
              </w:rPr>
            </w:pPr>
          </w:p>
        </w:tc>
        <w:tc>
          <w:tcPr>
            <w:tcW w:w="230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services</w:t>
            </w:r>
          </w:p>
        </w:tc>
        <w:tc>
          <w:tcPr>
            <w:tcW w:w="2640" w:type="dxa"/>
            <w:vAlign w:val="bottom"/>
            <w:shd w:val="clear" w:color="auto" w:fill="CFF0FC"/>
          </w:tcPr>
          <w:p>
            <w:pPr>
              <w:spacing w:after="0"/>
              <w:rPr>
                <w:sz w:val="20"/>
                <w:szCs w:val="20"/>
                <w:color w:val="auto"/>
              </w:rPr>
            </w:pPr>
          </w:p>
        </w:tc>
        <w:tc>
          <w:tcPr>
            <w:tcW w:w="2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 xml:space="preserve">ClearCompany, LLC </w:t>
            </w:r>
            <w:r>
              <w:rPr>
                <w:rFonts w:ascii="Arial" w:cs="Arial" w:eastAsia="Arial" w:hAnsi="Arial"/>
                <w:sz w:val="15"/>
                <w:szCs w:val="15"/>
                <w:color w:val="auto"/>
              </w:rPr>
              <w:t>(13)(14)</w:t>
            </w:r>
          </w:p>
        </w:tc>
        <w:tc>
          <w:tcPr>
            <w:tcW w:w="2640" w:type="dxa"/>
            <w:vAlign w:val="bottom"/>
          </w:tcPr>
          <w:p>
            <w:pPr>
              <w:ind w:left="140"/>
              <w:spacing w:after="0"/>
              <w:rPr>
                <w:sz w:val="20"/>
                <w:szCs w:val="20"/>
                <w:color w:val="auto"/>
              </w:rPr>
            </w:pPr>
            <w:r>
              <w:rPr>
                <w:rFonts w:ascii="Arial" w:cs="Arial" w:eastAsia="Arial" w:hAnsi="Arial"/>
                <w:sz w:val="18"/>
                <w:szCs w:val="18"/>
                <w:color w:val="auto"/>
              </w:rPr>
              <w:t>Class A Units (44,944 units)</w:t>
            </w:r>
          </w:p>
        </w:tc>
        <w:tc>
          <w:tcPr>
            <w:tcW w:w="2300" w:type="dxa"/>
            <w:vAlign w:val="bottom"/>
          </w:tcPr>
          <w:p>
            <w:pPr>
              <w:jc w:val="right"/>
              <w:ind w:right="1290"/>
              <w:spacing w:after="0"/>
              <w:rPr>
                <w:sz w:val="20"/>
                <w:szCs w:val="20"/>
                <w:color w:val="auto"/>
              </w:rPr>
            </w:pPr>
            <w:r>
              <w:rPr>
                <w:rFonts w:ascii="Arial" w:cs="Arial" w:eastAsia="Arial" w:hAnsi="Arial"/>
                <w:sz w:val="18"/>
                <w:szCs w:val="18"/>
                <w:color w:val="auto"/>
              </w:rPr>
              <w:t>8/24/2018</w:t>
            </w:r>
          </w:p>
        </w:tc>
        <w:tc>
          <w:tcPr>
            <w:tcW w:w="9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r>
      <w:tr>
        <w:trPr>
          <w:trHeight w:val="230"/>
        </w:trPr>
        <w:tc>
          <w:tcPr>
            <w:tcW w:w="2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Hotel, gaming, and leisure</w:t>
            </w:r>
          </w:p>
        </w:tc>
        <w:tc>
          <w:tcPr>
            <w:tcW w:w="2640" w:type="dxa"/>
            <w:vAlign w:val="bottom"/>
            <w:shd w:val="clear" w:color="auto" w:fill="CFF0FC"/>
          </w:tcPr>
          <w:p>
            <w:pPr>
              <w:spacing w:after="0"/>
              <w:rPr>
                <w:sz w:val="19"/>
                <w:szCs w:val="19"/>
                <w:color w:val="auto"/>
              </w:rPr>
            </w:pPr>
          </w:p>
        </w:tc>
        <w:tc>
          <w:tcPr>
            <w:tcW w:w="2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(7)(13)</w:t>
            </w:r>
          </w:p>
        </w:tc>
        <w:tc>
          <w:tcPr>
            <w:tcW w:w="2640" w:type="dxa"/>
            <w:vAlign w:val="bottom"/>
          </w:tcPr>
          <w:p>
            <w:pPr>
              <w:ind w:left="140"/>
              <w:spacing w:after="0"/>
              <w:rPr>
                <w:sz w:val="20"/>
                <w:szCs w:val="20"/>
                <w:color w:val="auto"/>
              </w:rPr>
            </w:pPr>
            <w:r>
              <w:rPr>
                <w:rFonts w:ascii="Arial" w:cs="Arial" w:eastAsia="Arial" w:hAnsi="Arial"/>
                <w:sz w:val="18"/>
                <w:szCs w:val="18"/>
                <w:color w:val="auto"/>
                <w:w w:val="99"/>
              </w:rPr>
              <w:t>Class A Units (5,000,000 units)</w:t>
            </w:r>
          </w:p>
        </w:tc>
        <w:tc>
          <w:tcPr>
            <w:tcW w:w="2300" w:type="dxa"/>
            <w:vAlign w:val="bottom"/>
          </w:tcPr>
          <w:p>
            <w:pPr>
              <w:jc w:val="right"/>
              <w:ind w:right="1290"/>
              <w:spacing w:after="0"/>
              <w:rPr>
                <w:sz w:val="20"/>
                <w:szCs w:val="20"/>
                <w:color w:val="auto"/>
              </w:rPr>
            </w:pPr>
            <w:r>
              <w:rPr>
                <w:rFonts w:ascii="Arial" w:cs="Arial" w:eastAsia="Arial" w:hAnsi="Arial"/>
                <w:sz w:val="18"/>
                <w:szCs w:val="18"/>
                <w:color w:val="auto"/>
              </w:rPr>
              <w:t>9/29/2015</w:t>
            </w:r>
          </w:p>
        </w:tc>
        <w:tc>
          <w:tcPr>
            <w:tcW w:w="9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3,896</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r>
      <w:tr>
        <w:trPr>
          <w:trHeight w:val="230"/>
        </w:trPr>
        <w:tc>
          <w:tcPr>
            <w:tcW w:w="2480" w:type="dxa"/>
            <w:vAlign w:val="bottom"/>
            <w:shd w:val="clear" w:color="auto" w:fill="CFF0FC"/>
          </w:tcPr>
          <w:p>
            <w:pPr>
              <w:spacing w:after="0"/>
              <w:rPr>
                <w:sz w:val="19"/>
                <w:szCs w:val="19"/>
                <w:color w:val="auto"/>
              </w:rPr>
            </w:pPr>
          </w:p>
        </w:tc>
        <w:tc>
          <w:tcPr>
            <w:tcW w:w="264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3"/>
              </w:rPr>
              <w:t>Class C-1 Units (8,800,000 units)</w:t>
            </w:r>
          </w:p>
        </w:tc>
        <w:tc>
          <w:tcPr>
            <w:tcW w:w="2300" w:type="dxa"/>
            <w:vAlign w:val="bottom"/>
            <w:shd w:val="clear" w:color="auto" w:fill="CFF0FC"/>
          </w:tcPr>
          <w:p>
            <w:pPr>
              <w:jc w:val="right"/>
              <w:ind w:right="1290"/>
              <w:spacing w:after="0"/>
              <w:rPr>
                <w:sz w:val="20"/>
                <w:szCs w:val="20"/>
                <w:color w:val="auto"/>
              </w:rPr>
            </w:pPr>
            <w:r>
              <w:rPr>
                <w:rFonts w:ascii="Arial" w:cs="Arial" w:eastAsia="Arial" w:hAnsi="Arial"/>
                <w:sz w:val="18"/>
                <w:szCs w:val="18"/>
                <w:color w:val="auto"/>
              </w:rPr>
              <w:t>9/29/2015</w:t>
            </w:r>
          </w:p>
        </w:tc>
        <w:tc>
          <w:tcPr>
            <w:tcW w:w="9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r>
      <w:tr>
        <w:trPr>
          <w:trHeight w:val="20"/>
        </w:trPr>
        <w:tc>
          <w:tcPr>
            <w:tcW w:w="24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4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3,996</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r>
      <w:tr>
        <w:trPr>
          <w:trHeight w:val="223"/>
        </w:trPr>
        <w:tc>
          <w:tcPr>
            <w:tcW w:w="2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Insurance</w:t>
            </w:r>
          </w:p>
        </w:tc>
        <w:tc>
          <w:tcPr>
            <w:tcW w:w="2640" w:type="dxa"/>
            <w:vAlign w:val="bottom"/>
            <w:tcBorders>
              <w:top w:val="single" w:sz="8" w:color="CFF0FC"/>
            </w:tcBorders>
            <w:shd w:val="clear" w:color="auto" w:fill="CFF0FC"/>
          </w:tcPr>
          <w:p>
            <w:pPr>
              <w:spacing w:after="0"/>
              <w:rPr>
                <w:sz w:val="19"/>
                <w:szCs w:val="19"/>
                <w:color w:val="auto"/>
              </w:rPr>
            </w:pPr>
          </w:p>
        </w:tc>
        <w:tc>
          <w:tcPr>
            <w:tcW w:w="23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480" w:type="dxa"/>
            <w:vAlign w:val="bottom"/>
          </w:tcPr>
          <w:p>
            <w:pPr>
              <w:spacing w:after="0"/>
              <w:rPr>
                <w:sz w:val="20"/>
                <w:szCs w:val="20"/>
                <w:color w:val="auto"/>
              </w:rPr>
            </w:pPr>
            <w:r>
              <w:rPr>
                <w:rFonts w:ascii="Arial" w:cs="Arial" w:eastAsia="Arial" w:hAnsi="Arial"/>
                <w:sz w:val="18"/>
                <w:szCs w:val="18"/>
                <w:color w:val="auto"/>
              </w:rPr>
              <w:t xml:space="preserve">Riskonnect, Inc. </w:t>
            </w:r>
            <w:r>
              <w:rPr>
                <w:rFonts w:ascii="Arial" w:cs="Arial" w:eastAsia="Arial" w:hAnsi="Arial"/>
                <w:sz w:val="15"/>
                <w:szCs w:val="15"/>
                <w:color w:val="auto"/>
              </w:rPr>
              <w:t>(13)</w:t>
            </w:r>
          </w:p>
        </w:tc>
        <w:tc>
          <w:tcPr>
            <w:tcW w:w="2640" w:type="dxa"/>
            <w:vAlign w:val="bottom"/>
          </w:tcPr>
          <w:p>
            <w:pPr>
              <w:ind w:left="140"/>
              <w:spacing w:after="0"/>
              <w:rPr>
                <w:sz w:val="20"/>
                <w:szCs w:val="20"/>
                <w:color w:val="auto"/>
              </w:rPr>
            </w:pPr>
            <w:r>
              <w:rPr>
                <w:rFonts w:ascii="Arial" w:cs="Arial" w:eastAsia="Arial" w:hAnsi="Arial"/>
                <w:sz w:val="18"/>
                <w:szCs w:val="18"/>
                <w:color w:val="auto"/>
              </w:rPr>
              <w:t>Preferred Class A Units (990</w:t>
            </w:r>
          </w:p>
        </w:tc>
        <w:tc>
          <w:tcPr>
            <w:tcW w:w="2300" w:type="dxa"/>
            <w:vAlign w:val="bottom"/>
          </w:tcPr>
          <w:p>
            <w:pPr>
              <w:jc w:val="right"/>
              <w:ind w:right="1290"/>
              <w:spacing w:after="0"/>
              <w:rPr>
                <w:sz w:val="20"/>
                <w:szCs w:val="20"/>
                <w:color w:val="auto"/>
              </w:rPr>
            </w:pPr>
            <w:r>
              <w:rPr>
                <w:rFonts w:ascii="Arial" w:cs="Arial" w:eastAsia="Arial" w:hAnsi="Arial"/>
                <w:sz w:val="18"/>
                <w:szCs w:val="18"/>
                <w:color w:val="auto"/>
              </w:rPr>
              <w:t>6/30/2017</w:t>
            </w:r>
          </w:p>
        </w:tc>
        <w:tc>
          <w:tcPr>
            <w:tcW w:w="9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990</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990</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r>
      <w:tr>
        <w:trPr>
          <w:trHeight w:val="230"/>
        </w:trPr>
        <w:tc>
          <w:tcPr>
            <w:tcW w:w="2480" w:type="dxa"/>
            <w:vAlign w:val="bottom"/>
          </w:tcPr>
          <w:p>
            <w:pPr>
              <w:spacing w:after="0"/>
              <w:rPr>
                <w:sz w:val="20"/>
                <w:szCs w:val="20"/>
                <w:color w:val="auto"/>
              </w:rPr>
            </w:pPr>
          </w:p>
        </w:tc>
        <w:tc>
          <w:tcPr>
            <w:tcW w:w="2640" w:type="dxa"/>
            <w:vAlign w:val="bottom"/>
          </w:tcPr>
          <w:p>
            <w:pPr>
              <w:ind w:left="140"/>
              <w:spacing w:after="0"/>
              <w:rPr>
                <w:sz w:val="20"/>
                <w:szCs w:val="20"/>
                <w:color w:val="auto"/>
              </w:rPr>
            </w:pPr>
            <w:r>
              <w:rPr>
                <w:rFonts w:ascii="Arial" w:cs="Arial" w:eastAsia="Arial" w:hAnsi="Arial"/>
                <w:sz w:val="18"/>
                <w:szCs w:val="18"/>
                <w:color w:val="auto"/>
              </w:rPr>
              <w:t>units)</w:t>
            </w:r>
          </w:p>
        </w:tc>
        <w:tc>
          <w:tcPr>
            <w:tcW w:w="2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4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300" w:type="dxa"/>
            <w:vAlign w:val="bottom"/>
          </w:tcPr>
          <w:p>
            <w:pPr>
              <w:jc w:val="right"/>
              <w:ind w:right="1570"/>
              <w:spacing w:after="0"/>
              <w:rPr>
                <w:sz w:val="20"/>
                <w:szCs w:val="20"/>
                <w:color w:val="auto"/>
              </w:rPr>
            </w:pPr>
            <w:r>
              <w:rPr>
                <w:rFonts w:ascii="Arial" w:cs="Arial" w:eastAsia="Arial" w:hAnsi="Arial"/>
                <w:sz w:val="18"/>
                <w:szCs w:val="18"/>
                <w:color w:val="auto"/>
              </w:rPr>
              <w:t>9</w:t>
            </w: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48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6" w:right="2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5"/>
        </w:trPr>
        <w:tc>
          <w:tcPr>
            <w:tcW w:w="18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580" w:type="dxa"/>
            <w:vAlign w:val="bottom"/>
            <w:gridSpan w:val="4"/>
            <w:shd w:val="clear" w:color="auto" w:fill="CFF0FC"/>
          </w:tcPr>
          <w:p>
            <w:pPr>
              <w:ind w:left="120"/>
              <w:spacing w:after="0"/>
              <w:rPr>
                <w:sz w:val="20"/>
                <w:szCs w:val="20"/>
                <w:color w:val="auto"/>
              </w:rPr>
            </w:pPr>
            <w:r>
              <w:rPr>
                <w:rFonts w:ascii="Arial" w:cs="Arial" w:eastAsia="Arial" w:hAnsi="Arial"/>
                <w:sz w:val="18"/>
                <w:szCs w:val="18"/>
                <w:color w:val="auto"/>
                <w:w w:val="93"/>
              </w:rPr>
              <w:t>Common Class B Units (959,018</w:t>
            </w:r>
          </w:p>
        </w:tc>
        <w:tc>
          <w:tcPr>
            <w:tcW w:w="1200" w:type="dxa"/>
            <w:vAlign w:val="bottom"/>
            <w:gridSpan w:val="2"/>
            <w:shd w:val="clear" w:color="auto" w:fill="CFF0FC"/>
          </w:tcPr>
          <w:p>
            <w:pPr>
              <w:jc w:val="right"/>
              <w:ind w:right="79"/>
              <w:spacing w:after="0"/>
              <w:rPr>
                <w:sz w:val="20"/>
                <w:szCs w:val="20"/>
                <w:color w:val="auto"/>
              </w:rPr>
            </w:pPr>
            <w:r>
              <w:rPr>
                <w:rFonts w:ascii="Arial" w:cs="Arial" w:eastAsia="Arial" w:hAnsi="Arial"/>
                <w:sz w:val="18"/>
                <w:szCs w:val="18"/>
                <w:color w:val="auto"/>
              </w:rPr>
              <w:t>6/30/2017</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18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units)</w:t>
            </w:r>
          </w:p>
        </w:tc>
        <w:tc>
          <w:tcPr>
            <w:tcW w:w="1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1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Marketing services</w:t>
            </w:r>
          </w:p>
        </w:tc>
        <w:tc>
          <w:tcPr>
            <w:tcW w:w="6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880" w:type="dxa"/>
            <w:vAlign w:val="bottom"/>
          </w:tcPr>
          <w:p>
            <w:pPr>
              <w:spacing w:after="0"/>
              <w:rPr>
                <w:sz w:val="20"/>
                <w:szCs w:val="20"/>
                <w:color w:val="auto"/>
              </w:rPr>
            </w:pPr>
            <w:r>
              <w:rPr>
                <w:rFonts w:ascii="Arial" w:cs="Arial" w:eastAsia="Arial" w:hAnsi="Arial"/>
                <w:sz w:val="18"/>
                <w:szCs w:val="18"/>
                <w:color w:val="auto"/>
              </w:rPr>
              <w:t xml:space="preserve">Validity, Inc. </w:t>
            </w:r>
            <w:r>
              <w:rPr>
                <w:rFonts w:ascii="Arial" w:cs="Arial" w:eastAsia="Arial" w:hAnsi="Arial"/>
                <w:sz w:val="15"/>
                <w:szCs w:val="15"/>
                <w:color w:val="auto"/>
              </w:rPr>
              <w:t>(6)(13)(14)</w:t>
            </w:r>
          </w:p>
        </w:tc>
        <w:tc>
          <w:tcPr>
            <w:tcW w:w="660" w:type="dxa"/>
            <w:vAlign w:val="bottom"/>
          </w:tcPr>
          <w:p>
            <w:pPr>
              <w:spacing w:after="0"/>
              <w:rPr>
                <w:sz w:val="18"/>
                <w:szCs w:val="18"/>
                <w:color w:val="auto"/>
              </w:rPr>
            </w:pPr>
          </w:p>
        </w:tc>
        <w:tc>
          <w:tcPr>
            <w:tcW w:w="2580" w:type="dxa"/>
            <w:vAlign w:val="bottom"/>
            <w:gridSpan w:val="4"/>
          </w:tcPr>
          <w:p>
            <w:pPr>
              <w:ind w:left="120"/>
              <w:spacing w:after="0"/>
              <w:rPr>
                <w:sz w:val="20"/>
                <w:szCs w:val="20"/>
                <w:color w:val="auto"/>
              </w:rPr>
            </w:pPr>
            <w:r>
              <w:rPr>
                <w:rFonts w:ascii="Arial" w:cs="Arial" w:eastAsia="Arial" w:hAnsi="Arial"/>
                <w:sz w:val="18"/>
                <w:szCs w:val="18"/>
                <w:color w:val="auto"/>
              </w:rPr>
              <w:t>Series A Preferred Shares</w:t>
            </w:r>
          </w:p>
        </w:tc>
        <w:tc>
          <w:tcPr>
            <w:tcW w:w="1200" w:type="dxa"/>
            <w:vAlign w:val="bottom"/>
            <w:gridSpan w:val="2"/>
          </w:tcPr>
          <w:p>
            <w:pPr>
              <w:jc w:val="right"/>
              <w:ind w:right="79"/>
              <w:spacing w:after="0"/>
              <w:rPr>
                <w:sz w:val="20"/>
                <w:szCs w:val="20"/>
                <w:color w:val="auto"/>
              </w:rPr>
            </w:pPr>
            <w:r>
              <w:rPr>
                <w:rFonts w:ascii="Arial" w:cs="Arial" w:eastAsia="Arial" w:hAnsi="Arial"/>
                <w:sz w:val="18"/>
                <w:szCs w:val="18"/>
                <w:color w:val="auto"/>
              </w:rPr>
              <w:t>5/31/2018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3,840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3,840</w:t>
            </w:r>
          </w:p>
        </w:tc>
        <w:tc>
          <w:tcPr>
            <w:tcW w:w="22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580" w:type="dxa"/>
            <w:vAlign w:val="bottom"/>
            <w:gridSpan w:val="4"/>
          </w:tcPr>
          <w:p>
            <w:pPr>
              <w:ind w:left="120"/>
              <w:spacing w:after="0"/>
              <w:rPr>
                <w:sz w:val="20"/>
                <w:szCs w:val="20"/>
                <w:color w:val="auto"/>
              </w:rPr>
            </w:pPr>
            <w:r>
              <w:rPr>
                <w:rFonts w:ascii="Arial" w:cs="Arial" w:eastAsia="Arial" w:hAnsi="Arial"/>
                <w:sz w:val="18"/>
                <w:szCs w:val="18"/>
                <w:color w:val="auto"/>
              </w:rPr>
              <w:t>(3,840,000 shares)</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87"/>
              </w:rPr>
              <w:t>Oil, gas and consumable</w:t>
            </w:r>
          </w:p>
        </w:tc>
        <w:tc>
          <w:tcPr>
            <w:tcW w:w="6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fuels</w:t>
            </w:r>
          </w:p>
        </w:tc>
        <w:tc>
          <w:tcPr>
            <w:tcW w:w="6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40" w:type="dxa"/>
            <w:vAlign w:val="bottom"/>
            <w:gridSpan w:val="2"/>
          </w:tcPr>
          <w:p>
            <w:pPr>
              <w:spacing w:after="0"/>
              <w:rPr>
                <w:sz w:val="20"/>
                <w:szCs w:val="20"/>
                <w:color w:val="auto"/>
              </w:rPr>
            </w:pPr>
            <w:r>
              <w:rPr>
                <w:rFonts w:ascii="Arial" w:cs="Arial" w:eastAsia="Arial" w:hAnsi="Arial"/>
                <w:sz w:val="18"/>
                <w:szCs w:val="18"/>
                <w:color w:val="auto"/>
                <w:w w:val="92"/>
              </w:rPr>
              <w:t xml:space="preserve">Mississippi Resources, LLC </w:t>
            </w:r>
            <w:r>
              <w:rPr>
                <w:rFonts w:ascii="Arial" w:cs="Arial" w:eastAsia="Arial" w:hAnsi="Arial"/>
                <w:sz w:val="15"/>
                <w:szCs w:val="15"/>
                <w:color w:val="auto"/>
                <w:w w:val="92"/>
              </w:rPr>
              <w:t>(7)(13)</w:t>
            </w:r>
          </w:p>
        </w:tc>
        <w:tc>
          <w:tcPr>
            <w:tcW w:w="2580" w:type="dxa"/>
            <w:vAlign w:val="bottom"/>
            <w:gridSpan w:val="4"/>
          </w:tcPr>
          <w:p>
            <w:pPr>
              <w:ind w:left="120"/>
              <w:spacing w:after="0"/>
              <w:rPr>
                <w:sz w:val="20"/>
                <w:szCs w:val="20"/>
                <w:color w:val="auto"/>
              </w:rPr>
            </w:pPr>
            <w:r>
              <w:rPr>
                <w:rFonts w:ascii="Arial" w:cs="Arial" w:eastAsia="Arial" w:hAnsi="Arial"/>
                <w:sz w:val="18"/>
                <w:szCs w:val="18"/>
                <w:color w:val="auto"/>
                <w:w w:val="97"/>
              </w:rPr>
              <w:t>Class A-1 Member Units (1,360</w:t>
            </w:r>
          </w:p>
        </w:tc>
        <w:tc>
          <w:tcPr>
            <w:tcW w:w="1200" w:type="dxa"/>
            <w:vAlign w:val="bottom"/>
            <w:gridSpan w:val="2"/>
          </w:tcPr>
          <w:p>
            <w:pPr>
              <w:jc w:val="right"/>
              <w:ind w:right="79"/>
              <w:spacing w:after="0"/>
              <w:rPr>
                <w:sz w:val="20"/>
                <w:szCs w:val="20"/>
                <w:color w:val="auto"/>
              </w:rPr>
            </w:pPr>
            <w:r>
              <w:rPr>
                <w:rFonts w:ascii="Arial" w:cs="Arial" w:eastAsia="Arial" w:hAnsi="Arial"/>
                <w:sz w:val="18"/>
                <w:szCs w:val="18"/>
                <w:color w:val="auto"/>
              </w:rPr>
              <w:t>5/3/2017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10,366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8,163</w:t>
            </w:r>
          </w:p>
        </w:tc>
        <w:tc>
          <w:tcPr>
            <w:tcW w:w="22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units)</w:t>
            </w: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8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580" w:type="dxa"/>
            <w:vAlign w:val="bottom"/>
            <w:gridSpan w:val="4"/>
            <w:shd w:val="clear" w:color="auto" w:fill="CFF0FC"/>
          </w:tcPr>
          <w:p>
            <w:pPr>
              <w:ind w:left="120"/>
              <w:spacing w:after="0"/>
              <w:rPr>
                <w:sz w:val="20"/>
                <w:szCs w:val="20"/>
                <w:color w:val="auto"/>
              </w:rPr>
            </w:pPr>
            <w:r>
              <w:rPr>
                <w:rFonts w:ascii="Arial" w:cs="Arial" w:eastAsia="Arial" w:hAnsi="Arial"/>
                <w:sz w:val="18"/>
                <w:szCs w:val="18"/>
                <w:color w:val="auto"/>
              </w:rPr>
              <w:t>Class A-2 Member Units (933</w:t>
            </w:r>
          </w:p>
        </w:tc>
        <w:tc>
          <w:tcPr>
            <w:tcW w:w="1200" w:type="dxa"/>
            <w:vAlign w:val="bottom"/>
            <w:gridSpan w:val="2"/>
            <w:shd w:val="clear" w:color="auto" w:fill="CFF0FC"/>
          </w:tcPr>
          <w:p>
            <w:pPr>
              <w:jc w:val="right"/>
              <w:ind w:right="79"/>
              <w:spacing w:after="0"/>
              <w:rPr>
                <w:sz w:val="20"/>
                <w:szCs w:val="20"/>
                <w:color w:val="auto"/>
              </w:rPr>
            </w:pPr>
            <w:r>
              <w:rPr>
                <w:rFonts w:ascii="Arial" w:cs="Arial" w:eastAsia="Arial" w:hAnsi="Arial"/>
                <w:sz w:val="18"/>
                <w:szCs w:val="18"/>
                <w:color w:val="auto"/>
              </w:rPr>
              <w:t>6/4/2014</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8,874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18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units)</w:t>
            </w:r>
          </w:p>
        </w:tc>
        <w:tc>
          <w:tcPr>
            <w:tcW w:w="1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40" w:type="dxa"/>
            <w:vAlign w:val="bottom"/>
            <w:gridSpan w:val="2"/>
          </w:tcPr>
          <w:p>
            <w:pPr>
              <w:spacing w:after="0"/>
              <w:rPr>
                <w:sz w:val="20"/>
                <w:szCs w:val="20"/>
                <w:color w:val="auto"/>
              </w:rPr>
            </w:pPr>
            <w:r>
              <w:rPr>
                <w:rFonts w:ascii="Arial" w:cs="Arial" w:eastAsia="Arial" w:hAnsi="Arial"/>
                <w:sz w:val="18"/>
                <w:szCs w:val="18"/>
                <w:color w:val="auto"/>
                <w:w w:val="94"/>
              </w:rPr>
              <w:t xml:space="preserve">Northern Oil and Gas, Inc. </w:t>
            </w:r>
            <w:r>
              <w:rPr>
                <w:rFonts w:ascii="Arial" w:cs="Arial" w:eastAsia="Arial" w:hAnsi="Arial"/>
                <w:sz w:val="15"/>
                <w:szCs w:val="15"/>
                <w:color w:val="auto"/>
                <w:w w:val="94"/>
              </w:rPr>
              <w:t>(12)(13)</w:t>
            </w:r>
          </w:p>
        </w:tc>
        <w:tc>
          <w:tcPr>
            <w:tcW w:w="2580" w:type="dxa"/>
            <w:vAlign w:val="bottom"/>
            <w:gridSpan w:val="4"/>
          </w:tcPr>
          <w:p>
            <w:pPr>
              <w:ind w:left="120"/>
              <w:spacing w:after="0"/>
              <w:rPr>
                <w:sz w:val="20"/>
                <w:szCs w:val="20"/>
                <w:color w:val="auto"/>
              </w:rPr>
            </w:pPr>
            <w:r>
              <w:rPr>
                <w:rFonts w:ascii="Arial" w:cs="Arial" w:eastAsia="Arial" w:hAnsi="Arial"/>
                <w:sz w:val="18"/>
                <w:szCs w:val="18"/>
                <w:color w:val="auto"/>
              </w:rPr>
              <w:t>Common Shares (1,300,000</w:t>
            </w:r>
          </w:p>
        </w:tc>
        <w:tc>
          <w:tcPr>
            <w:tcW w:w="1200" w:type="dxa"/>
            <w:vAlign w:val="bottom"/>
            <w:gridSpan w:val="2"/>
          </w:tcPr>
          <w:p>
            <w:pPr>
              <w:jc w:val="right"/>
              <w:ind w:right="79"/>
              <w:spacing w:after="0"/>
              <w:rPr>
                <w:sz w:val="20"/>
                <w:szCs w:val="20"/>
                <w:color w:val="auto"/>
              </w:rPr>
            </w:pPr>
            <w:r>
              <w:rPr>
                <w:rFonts w:ascii="Arial" w:cs="Arial" w:eastAsia="Arial" w:hAnsi="Arial"/>
                <w:sz w:val="18"/>
                <w:szCs w:val="18"/>
                <w:color w:val="auto"/>
              </w:rPr>
              <w:t>5/15/2018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1,950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5,200</w:t>
            </w:r>
          </w:p>
        </w:tc>
        <w:tc>
          <w:tcPr>
            <w:tcW w:w="22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1880" w:type="dxa"/>
            <w:vAlign w:val="bottom"/>
            <w:tcBorders>
              <w:bottom w:val="single" w:sz="8" w:color="CFF0FC"/>
            </w:tcBorders>
          </w:tcPr>
          <w:p>
            <w:pPr>
              <w:spacing w:after="0"/>
              <w:rPr>
                <w:sz w:val="20"/>
                <w:szCs w:val="20"/>
                <w:color w:val="auto"/>
              </w:rPr>
            </w:pPr>
          </w:p>
        </w:tc>
        <w:tc>
          <w:tcPr>
            <w:tcW w:w="660" w:type="dxa"/>
            <w:vAlign w:val="bottom"/>
            <w:tcBorders>
              <w:bottom w:val="single" w:sz="8" w:color="CFF0FC"/>
            </w:tcBorders>
          </w:tcPr>
          <w:p>
            <w:pPr>
              <w:spacing w:after="0"/>
              <w:rPr>
                <w:sz w:val="20"/>
                <w:szCs w:val="20"/>
                <w:color w:val="auto"/>
              </w:rPr>
            </w:pPr>
          </w:p>
        </w:tc>
        <w:tc>
          <w:tcPr>
            <w:tcW w:w="1040" w:type="dxa"/>
            <w:vAlign w:val="bottom"/>
            <w:tcBorders>
              <w:bottom w:val="single" w:sz="8" w:color="CFF0FC"/>
            </w:tcBorders>
            <w:gridSpan w:val="2"/>
          </w:tcPr>
          <w:p>
            <w:pPr>
              <w:ind w:left="120"/>
              <w:spacing w:after="0"/>
              <w:rPr>
                <w:sz w:val="20"/>
                <w:szCs w:val="20"/>
                <w:color w:val="auto"/>
              </w:rPr>
            </w:pPr>
            <w:r>
              <w:rPr>
                <w:rFonts w:ascii="Arial" w:cs="Arial" w:eastAsia="Arial" w:hAnsi="Arial"/>
                <w:sz w:val="18"/>
                <w:szCs w:val="18"/>
                <w:color w:val="auto"/>
              </w:rPr>
              <w:t>shares)</w:t>
            </w:r>
          </w:p>
        </w:tc>
        <w:tc>
          <w:tcPr>
            <w:tcW w:w="140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08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54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21,190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13,363</w:t>
            </w:r>
          </w:p>
        </w:tc>
        <w:tc>
          <w:tcPr>
            <w:tcW w:w="22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1880" w:type="dxa"/>
            <w:vAlign w:val="bottom"/>
            <w:vMerge w:val="restart"/>
          </w:tcPr>
          <w:p>
            <w:pPr>
              <w:spacing w:after="0"/>
              <w:rPr>
                <w:sz w:val="20"/>
                <w:szCs w:val="20"/>
                <w:color w:val="auto"/>
              </w:rPr>
            </w:pPr>
            <w:r>
              <w:rPr>
                <w:rFonts w:ascii="Arial" w:cs="Arial" w:eastAsia="Arial" w:hAnsi="Arial"/>
                <w:sz w:val="18"/>
                <w:szCs w:val="18"/>
                <w:b w:val="1"/>
                <w:bCs w:val="1"/>
                <w:color w:val="auto"/>
                <w:w w:val="96"/>
              </w:rPr>
              <w:t>Total Equity and Other</w:t>
            </w: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8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61,301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61,149</w:t>
            </w:r>
          </w:p>
        </w:tc>
        <w:tc>
          <w:tcPr>
            <w:tcW w:w="220" w:type="dxa"/>
            <w:vAlign w:val="bottom"/>
          </w:tcPr>
          <w:p>
            <w:pPr>
              <w:spacing w:after="0"/>
              <w:rPr>
                <w:sz w:val="17"/>
                <w:szCs w:val="17"/>
                <w:color w:val="auto"/>
              </w:rPr>
            </w:pPr>
          </w:p>
        </w:tc>
        <w:tc>
          <w:tcPr>
            <w:tcW w:w="920" w:type="dxa"/>
            <w:vAlign w:val="bottom"/>
            <w:gridSpan w:val="3"/>
          </w:tcPr>
          <w:p>
            <w:pPr>
              <w:jc w:val="right"/>
              <w:ind w:right="60"/>
              <w:spacing w:after="0" w:line="205"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4"/>
        </w:trPr>
        <w:tc>
          <w:tcPr>
            <w:tcW w:w="1880" w:type="dxa"/>
            <w:vAlign w:val="bottom"/>
            <w:tcBorders>
              <w:bottom w:val="single" w:sz="8" w:color="CFF0FC"/>
            </w:tcBorders>
          </w:tcPr>
          <w:p>
            <w:pPr>
              <w:ind w:left="140"/>
              <w:spacing w:after="0"/>
              <w:rPr>
                <w:sz w:val="20"/>
                <w:szCs w:val="20"/>
                <w:color w:val="auto"/>
              </w:rPr>
            </w:pPr>
            <w:r>
              <w:rPr>
                <w:rFonts w:ascii="Arial" w:cs="Arial" w:eastAsia="Arial" w:hAnsi="Arial"/>
                <w:sz w:val="18"/>
                <w:szCs w:val="18"/>
                <w:b w:val="1"/>
                <w:bCs w:val="1"/>
                <w:color w:val="auto"/>
              </w:rPr>
              <w:t>Investments</w:t>
            </w:r>
          </w:p>
        </w:tc>
        <w:tc>
          <w:tcPr>
            <w:tcW w:w="660" w:type="dxa"/>
            <w:vAlign w:val="bottom"/>
            <w:tcBorders>
              <w:bottom w:val="single" w:sz="8" w:color="CFF0FC"/>
            </w:tcBorders>
          </w:tcPr>
          <w:p>
            <w:pPr>
              <w:spacing w:after="0"/>
              <w:rPr>
                <w:sz w:val="20"/>
                <w:szCs w:val="20"/>
                <w:color w:val="auto"/>
              </w:rPr>
            </w:pPr>
          </w:p>
        </w:tc>
        <w:tc>
          <w:tcPr>
            <w:tcW w:w="80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40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08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54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Investments</w:t>
            </w:r>
          </w:p>
        </w:tc>
        <w:tc>
          <w:tcPr>
            <w:tcW w:w="6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$ 1,957,755</w:t>
            </w:r>
          </w:p>
        </w:tc>
        <w:tc>
          <w:tcPr>
            <w:tcW w:w="2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$ 1,981,931</w:t>
            </w:r>
          </w:p>
        </w:tc>
        <w:tc>
          <w:tcPr>
            <w:tcW w:w="2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185.0</w:t>
            </w:r>
          </w:p>
        </w:tc>
        <w:tc>
          <w:tcPr>
            <w:tcW w:w="2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1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80" w:type="dxa"/>
            <w:vAlign w:val="bottom"/>
            <w:gridSpan w:val="10"/>
          </w:tcPr>
          <w:p>
            <w:pPr>
              <w:jc w:val="right"/>
              <w:ind w:right="620"/>
              <w:spacing w:after="0"/>
              <w:rPr>
                <w:sz w:val="20"/>
                <w:szCs w:val="20"/>
                <w:color w:val="auto"/>
              </w:rPr>
            </w:pPr>
            <w:r>
              <w:rPr>
                <w:rFonts w:ascii="Arial" w:cs="Arial" w:eastAsia="Arial" w:hAnsi="Arial"/>
                <w:sz w:val="14"/>
                <w:szCs w:val="14"/>
                <w:b w:val="1"/>
                <w:bCs w:val="1"/>
                <w:color w:val="auto"/>
                <w:w w:val="93"/>
              </w:rPr>
              <w:t>Interest Rate Swaps as of September 30, 2018</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8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Notional</w:t>
            </w:r>
          </w:p>
        </w:tc>
        <w:tc>
          <w:tcPr>
            <w:tcW w:w="100" w:type="dxa"/>
            <w:vAlign w:val="bottom"/>
          </w:tcPr>
          <w:p>
            <w:pPr>
              <w:spacing w:after="0"/>
              <w:rPr>
                <w:sz w:val="11"/>
                <w:szCs w:val="11"/>
                <w:color w:val="auto"/>
              </w:rPr>
            </w:pPr>
          </w:p>
        </w:tc>
        <w:tc>
          <w:tcPr>
            <w:tcW w:w="780" w:type="dxa"/>
            <w:vAlign w:val="bottom"/>
            <w:gridSpan w:val="3"/>
          </w:tcPr>
          <w:p>
            <w:pPr>
              <w:jc w:val="center"/>
              <w:ind w:right="280"/>
              <w:spacing w:after="0" w:line="13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740" w:type="dxa"/>
            <w:vAlign w:val="bottom"/>
            <w:gridSpan w:val="2"/>
          </w:tcPr>
          <w:p>
            <w:pPr>
              <w:jc w:val="center"/>
              <w:ind w:left="141"/>
              <w:spacing w:after="0" w:line="133" w:lineRule="exact"/>
              <w:rPr>
                <w:sz w:val="20"/>
                <w:szCs w:val="20"/>
                <w:color w:val="auto"/>
              </w:rPr>
            </w:pPr>
            <w:r>
              <w:rPr>
                <w:rFonts w:ascii="Arial" w:cs="Arial" w:eastAsia="Arial" w:hAnsi="Arial"/>
                <w:sz w:val="14"/>
                <w:szCs w:val="14"/>
                <w:b w:val="1"/>
                <w:bCs w:val="1"/>
                <w:color w:val="auto"/>
                <w:w w:val="94"/>
              </w:rPr>
              <w:t>Upfront</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gridSpan w:val="5"/>
            <w:vMerge w:val="restart"/>
          </w:tcPr>
          <w:p>
            <w:pPr>
              <w:jc w:val="right"/>
              <w:ind w:right="160"/>
              <w:spacing w:after="0"/>
              <w:rPr>
                <w:sz w:val="20"/>
                <w:szCs w:val="20"/>
                <w:color w:val="auto"/>
              </w:rPr>
            </w:pPr>
            <w:r>
              <w:rPr>
                <w:rFonts w:ascii="Arial" w:cs="Arial" w:eastAsia="Arial" w:hAnsi="Arial"/>
                <w:sz w:val="14"/>
                <w:szCs w:val="14"/>
                <w:b w:val="1"/>
                <w:bCs w:val="1"/>
                <w:color w:val="auto"/>
                <w:w w:val="92"/>
              </w:rPr>
              <w:t>Change in Unrealized</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7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0"/>
              </w:rPr>
              <w:t>Company Receives</w:t>
            </w:r>
          </w:p>
        </w:tc>
        <w:tc>
          <w:tcPr>
            <w:tcW w:w="15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Company Pays</w:t>
            </w:r>
          </w:p>
        </w:tc>
        <w:tc>
          <w:tcPr>
            <w:tcW w:w="120" w:type="dxa"/>
            <w:vAlign w:val="bottom"/>
          </w:tcPr>
          <w:p>
            <w:pPr>
              <w:spacing w:after="0"/>
              <w:rPr>
                <w:sz w:val="12"/>
                <w:szCs w:val="12"/>
                <w:color w:val="auto"/>
              </w:rPr>
            </w:pPr>
          </w:p>
        </w:tc>
        <w:tc>
          <w:tcPr>
            <w:tcW w:w="1380" w:type="dxa"/>
            <w:vAlign w:val="bottom"/>
            <w:gridSpan w:val="3"/>
            <w:vMerge w:val="restart"/>
          </w:tcPr>
          <w:p>
            <w:pPr>
              <w:jc w:val="right"/>
              <w:ind w:right="330"/>
              <w:spacing w:after="0"/>
              <w:rPr>
                <w:sz w:val="20"/>
                <w:szCs w:val="20"/>
                <w:color w:val="auto"/>
              </w:rPr>
            </w:pPr>
            <w:r>
              <w:rPr>
                <w:rFonts w:ascii="Arial" w:cs="Arial" w:eastAsia="Arial" w:hAnsi="Arial"/>
                <w:sz w:val="14"/>
                <w:szCs w:val="14"/>
                <w:b w:val="1"/>
                <w:bCs w:val="1"/>
                <w:color w:val="auto"/>
              </w:rPr>
              <w:t>Maturity Date</w:t>
            </w: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rPr>
              <w:t>Market</w:t>
            </w:r>
          </w:p>
        </w:tc>
        <w:tc>
          <w:tcPr>
            <w:tcW w:w="100" w:type="dxa"/>
            <w:vAlign w:val="bottom"/>
          </w:tcPr>
          <w:p>
            <w:pPr>
              <w:spacing w:after="0"/>
              <w:rPr>
                <w:sz w:val="12"/>
                <w:szCs w:val="12"/>
                <w:color w:val="auto"/>
              </w:rPr>
            </w:pPr>
          </w:p>
        </w:tc>
        <w:tc>
          <w:tcPr>
            <w:tcW w:w="9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Payments /</w:t>
            </w:r>
          </w:p>
        </w:tc>
        <w:tc>
          <w:tcPr>
            <w:tcW w:w="260" w:type="dxa"/>
            <w:vAlign w:val="bottom"/>
          </w:tcPr>
          <w:p>
            <w:pPr>
              <w:spacing w:after="0"/>
              <w:rPr>
                <w:sz w:val="12"/>
                <w:szCs w:val="12"/>
                <w:color w:val="auto"/>
              </w:rPr>
            </w:pPr>
          </w:p>
        </w:tc>
        <w:tc>
          <w:tcPr>
            <w:tcW w:w="15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1700" w:type="dxa"/>
            <w:vAlign w:val="bottom"/>
            <w:gridSpan w:val="3"/>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7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Receipts</w:t>
            </w:r>
          </w:p>
        </w:tc>
        <w:tc>
          <w:tcPr>
            <w:tcW w:w="260" w:type="dxa"/>
            <w:vAlign w:val="bottom"/>
          </w:tcPr>
          <w:p>
            <w:pPr>
              <w:spacing w:after="0"/>
              <w:rPr>
                <w:sz w:val="14"/>
                <w:szCs w:val="14"/>
                <w:color w:val="auto"/>
              </w:rPr>
            </w:pPr>
          </w:p>
        </w:tc>
        <w:tc>
          <w:tcPr>
            <w:tcW w:w="15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Gains / (Losses)</w:t>
            </w:r>
          </w:p>
        </w:tc>
        <w:tc>
          <w:tcPr>
            <w:tcW w:w="0" w:type="dxa"/>
            <w:vAlign w:val="bottom"/>
          </w:tcPr>
          <w:p>
            <w:pPr>
              <w:spacing w:after="0"/>
              <w:rPr>
                <w:sz w:val="1"/>
                <w:szCs w:val="1"/>
                <w:color w:val="auto"/>
              </w:rPr>
            </w:pPr>
          </w:p>
        </w:tc>
      </w:tr>
      <w:tr>
        <w:trPr>
          <w:trHeight w:val="223"/>
        </w:trPr>
        <w:tc>
          <w:tcPr>
            <w:tcW w:w="1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6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center"/>
              <w:ind w:right="590"/>
              <w:spacing w:after="0"/>
              <w:rPr>
                <w:sz w:val="20"/>
                <w:szCs w:val="20"/>
                <w:color w:val="auto"/>
              </w:rPr>
            </w:pPr>
            <w:r>
              <w:rPr>
                <w:rFonts w:ascii="Arial" w:cs="Arial" w:eastAsia="Arial" w:hAnsi="Arial"/>
                <w:sz w:val="18"/>
                <w:szCs w:val="18"/>
                <w:color w:val="auto"/>
              </w:rPr>
              <w:t>L</w:t>
            </w:r>
          </w:p>
        </w:tc>
        <w:tc>
          <w:tcPr>
            <w:tcW w:w="24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1.16%</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10/5/2018</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92,500</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41"/>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7"/>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3"/>
              </w:rPr>
              <w:t>4.50%</w:t>
            </w:r>
          </w:p>
        </w:tc>
        <w:tc>
          <w:tcPr>
            <w:tcW w:w="240" w:type="dxa"/>
            <w:vAlign w:val="bottom"/>
          </w:tcPr>
          <w:p>
            <w:pPr>
              <w:spacing w:after="0"/>
              <w:rPr>
                <w:sz w:val="19"/>
                <w:szCs w:val="19"/>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L + 2.86%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12/15/2019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115,000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(1,691)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30"/>
        </w:trPr>
        <w:tc>
          <w:tcPr>
            <w:tcW w:w="1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w:t>
            </w:r>
          </w:p>
        </w:tc>
        <w:tc>
          <w:tcPr>
            <w:tcW w:w="6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center"/>
              <w:ind w:right="920"/>
              <w:spacing w:after="0"/>
              <w:rPr>
                <w:sz w:val="20"/>
                <w:szCs w:val="20"/>
                <w:color w:val="auto"/>
              </w:rPr>
            </w:pPr>
            <w:r>
              <w:rPr>
                <w:rFonts w:ascii="Arial" w:cs="Arial" w:eastAsia="Arial" w:hAnsi="Arial"/>
                <w:sz w:val="18"/>
                <w:szCs w:val="18"/>
                <w:color w:val="auto"/>
              </w:rPr>
              <w:t>L</w:t>
            </w:r>
          </w:p>
        </w:tc>
        <w:tc>
          <w:tcPr>
            <w:tcW w:w="14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1.72%</w:t>
            </w: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1/10/2020</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3"/>
              </w:rPr>
              <w:t>4.50%</w:t>
            </w:r>
          </w:p>
        </w:tc>
        <w:tc>
          <w:tcPr>
            <w:tcW w:w="240" w:type="dxa"/>
            <w:vAlign w:val="bottom"/>
          </w:tcPr>
          <w:p>
            <w:pPr>
              <w:spacing w:after="0"/>
              <w:rPr>
                <w:sz w:val="19"/>
                <w:szCs w:val="19"/>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L + 2.37%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8/1/2022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115,000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(4,029)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(3,319)</w:t>
            </w:r>
          </w:p>
        </w:tc>
        <w:tc>
          <w:tcPr>
            <w:tcW w:w="0" w:type="dxa"/>
            <w:vAlign w:val="bottom"/>
          </w:tcPr>
          <w:p>
            <w:pPr>
              <w:spacing w:after="0"/>
              <w:rPr>
                <w:sz w:val="1"/>
                <w:szCs w:val="1"/>
                <w:color w:val="auto"/>
              </w:rPr>
            </w:pPr>
          </w:p>
        </w:tc>
      </w:tr>
      <w:tr>
        <w:trPr>
          <w:trHeight w:val="230"/>
        </w:trPr>
        <w:tc>
          <w:tcPr>
            <w:tcW w:w="1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46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3"/>
              </w:rPr>
              <w:t>4.50%</w:t>
            </w:r>
          </w:p>
        </w:tc>
        <w:tc>
          <w:tcPr>
            <w:tcW w:w="2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3"/>
              </w:rPr>
              <w:t>L + 1.59%</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3"/>
              </w:rPr>
              <w:t>4.50%</w:t>
            </w:r>
          </w:p>
        </w:tc>
        <w:tc>
          <w:tcPr>
            <w:tcW w:w="240" w:type="dxa"/>
            <w:vAlign w:val="bottom"/>
          </w:tcPr>
          <w:p>
            <w:pPr>
              <w:spacing w:after="0"/>
              <w:rPr>
                <w:sz w:val="19"/>
                <w:szCs w:val="19"/>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L + 1.60%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8/1/2022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1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46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3"/>
              </w:rPr>
              <w:t>4.50%</w:t>
            </w:r>
          </w:p>
        </w:tc>
        <w:tc>
          <w:tcPr>
            <w:tcW w:w="2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3"/>
              </w:rPr>
              <w:t>L + 1.99%</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1/22/2023</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(3,590)</w:t>
            </w:r>
          </w:p>
        </w:tc>
        <w:tc>
          <w:tcPr>
            <w:tcW w:w="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(3,590)</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Cash collateral</w:t>
            </w: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8,942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8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66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563,333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41"/>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7"/>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(7,980)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040" w:hanging="519"/>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Contract terms are shown net of Company receiving 6.65% and paying 8.38%.</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Contains a variable rate structure. Interest rate determined by three-month LIBOR.</w:t>
      </w:r>
    </w:p>
    <w:p>
      <w:pPr>
        <w:spacing w:after="0" w:line="237" w:lineRule="exact"/>
        <w:rPr>
          <w:rFonts w:ascii="Arial" w:cs="Arial" w:eastAsia="Arial" w:hAnsi="Arial"/>
          <w:sz w:val="18"/>
          <w:szCs w:val="18"/>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23" w:lineRule="exact"/>
        <w:rPr>
          <w:rFonts w:ascii="Arial" w:cs="Arial" w:eastAsia="Arial" w:hAnsi="Arial"/>
          <w:sz w:val="18"/>
          <w:szCs w:val="18"/>
          <w:color w:val="auto"/>
        </w:rPr>
      </w:pPr>
    </w:p>
    <w:p>
      <w:pPr>
        <w:ind w:left="520" w:right="180" w:hanging="512"/>
        <w:spacing w:after="0" w:line="250"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20" w:right="20" w:hanging="512"/>
        <w:spacing w:after="0" w:line="250"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Euro Interbank Offered Rate (“EURIBOR” or “E”), Canadian Dollar Offered Rate (“CDOR” or “C”), Bank Bill Swap Bid Rate (“BBSY” or “B”) or an alternate base rate (which can include the Federal Funds Effective Rate or the Prime Rate or “P”), at the borrower’s option, which reset periodically based on the terms of the credit agreement. For investments with multiple interest rate contracts, the interest rate shown is the weighted average interest rate in effect at September 30, 2018.</w:t>
      </w:r>
    </w:p>
    <w:p>
      <w:pPr>
        <w:spacing w:after="0" w:line="2" w:lineRule="exact"/>
        <w:rPr>
          <w:rFonts w:ascii="Arial" w:cs="Arial" w:eastAsia="Arial" w:hAnsi="Arial"/>
          <w:sz w:val="18"/>
          <w:szCs w:val="18"/>
          <w:color w:val="auto"/>
        </w:rPr>
      </w:pPr>
    </w:p>
    <w:p>
      <w:pPr>
        <w:jc w:val="both"/>
        <w:ind w:left="520" w:right="40" w:hanging="512"/>
        <w:spacing w:after="0" w:line="265" w:lineRule="auto"/>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14.8% of total assets as of September 30, 2018.</w:t>
      </w:r>
    </w:p>
    <w:p>
      <w:pPr>
        <w:ind w:left="520" w:right="20" w:hanging="512"/>
        <w:spacing w:after="0" w:line="250"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 the “last out” tranche.</w:t>
      </w:r>
    </w:p>
    <w:p>
      <w:pPr>
        <w:spacing w:after="0" w:line="1" w:lineRule="exact"/>
        <w:rPr>
          <w:rFonts w:ascii="Arial" w:cs="Arial" w:eastAsia="Arial" w:hAnsi="Arial"/>
          <w:sz w:val="18"/>
          <w:szCs w:val="18"/>
          <w:color w:val="auto"/>
        </w:rPr>
      </w:pPr>
    </w:p>
    <w:p>
      <w:pPr>
        <w:ind w:left="520" w:right="20" w:hanging="512"/>
        <w:spacing w:after="0" w:line="255"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Under the 1940 Act, the Company is deemed to be an “Affiliated Person” of, as defined in the 1940 Act, this portfolio company, as the Company owns more than 5% of the portfolio company’s outstanding voting securities. Transactions during the nine months ended September 30, 2018 in which the issuer was an Affiliated Person of the portfolio company are as follows: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u w:val="single" w:color="auto"/>
          <w:color w:val="auto"/>
        </w:rPr>
        <w:t>Non-controlled, Affiliated Investments during the nine months ended September 30, 2018</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81"/>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Net Change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Fair Value at</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3"/>
              </w:rPr>
              <w:t>Value at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2"/>
                <w:szCs w:val="12"/>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Realized</w:t>
            </w: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58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Company</w:t>
            </w:r>
          </w:p>
        </w:tc>
        <w:tc>
          <w:tcPr>
            <w:tcW w:w="10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6"/>
              </w:rPr>
              <w:t>In Unrealized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61"/>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Additions (a)</w:t>
            </w: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Reductions (b)</w:t>
            </w:r>
          </w:p>
        </w:tc>
        <w:tc>
          <w:tcPr>
            <w:tcW w:w="6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Gain/(Loss)</w:t>
            </w:r>
          </w:p>
        </w:tc>
        <w:tc>
          <w:tcPr>
            <w:tcW w:w="160" w:type="dxa"/>
            <w:vAlign w:val="bottom"/>
          </w:tcPr>
          <w:p>
            <w:pPr>
              <w:spacing w:after="0"/>
              <w:rPr>
                <w:sz w:val="14"/>
                <w:szCs w:val="14"/>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Gain/(Losses)</w:t>
            </w:r>
          </w:p>
        </w:tc>
        <w:tc>
          <w:tcPr>
            <w:tcW w:w="100" w:type="dxa"/>
            <w:vAlign w:val="bottom"/>
          </w:tcPr>
          <w:p>
            <w:pPr>
              <w:spacing w:after="0"/>
              <w:rPr>
                <w:sz w:val="14"/>
                <w:szCs w:val="14"/>
                <w:color w:val="auto"/>
              </w:rPr>
            </w:pPr>
          </w:p>
        </w:tc>
        <w:tc>
          <w:tcPr>
            <w:tcW w:w="94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Validity, Inc.</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ind w:left="54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39,248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88"/>
              </w:rPr>
              <w:t>—</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39,078</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39,248</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w w:val="88"/>
              </w:rPr>
              <w:t>—</w:t>
            </w: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39,078</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40" w:right="300" w:hanging="519"/>
        <w:spacing w:after="0" w:line="258" w:lineRule="auto"/>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40" w:right="200" w:hanging="519"/>
        <w:spacing w:after="0" w:line="255" w:lineRule="auto"/>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190" w:lineRule="exact"/>
        <w:rPr>
          <w:rFonts w:ascii="Arial" w:cs="Arial" w:eastAsia="Arial" w:hAnsi="Arial"/>
          <w:sz w:val="18"/>
          <w:szCs w:val="18"/>
          <w:color w:val="auto"/>
        </w:rPr>
      </w:pPr>
    </w:p>
    <w:p>
      <w:pPr>
        <w:ind w:left="520" w:right="100" w:hanging="512"/>
        <w:spacing w:after="0" w:line="302" w:lineRule="auto"/>
        <w:tabs>
          <w:tab w:leader="none" w:pos="520" w:val="left"/>
        </w:tabs>
        <w:numPr>
          <w:ilvl w:val="0"/>
          <w:numId w:val="7"/>
        </w:numPr>
        <w:rPr>
          <w:rFonts w:ascii="Arial" w:cs="Arial" w:eastAsia="Arial" w:hAnsi="Arial"/>
          <w:sz w:val="16"/>
          <w:szCs w:val="16"/>
          <w:color w:val="auto"/>
        </w:rPr>
      </w:pPr>
      <w:r>
        <w:rPr>
          <w:rFonts w:ascii="Arial" w:cs="Arial" w:eastAsia="Arial" w:hAnsi="Arial"/>
          <w:sz w:val="16"/>
          <w:szCs w:val="16"/>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nine months ended September 30, 2018 in which the issuer was an Affiliated Person of and was deemed to Control a portfolio company are as follows:</w:t>
      </w: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Controlled, Affiliated Investments during the nine months ended September 30, 2018</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Net Change</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at</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Value at</w:t>
            </w:r>
          </w:p>
        </w:tc>
        <w:tc>
          <w:tcPr>
            <w:tcW w:w="160" w:type="dxa"/>
            <w:vAlign w:val="bottom"/>
          </w:tcPr>
          <w:p>
            <w:pPr>
              <w:spacing w:after="0"/>
              <w:rPr>
                <w:sz w:val="12"/>
                <w:szCs w:val="12"/>
                <w:color w:val="auto"/>
              </w:rPr>
            </w:pPr>
          </w:p>
        </w:tc>
        <w:tc>
          <w:tcPr>
            <w:tcW w:w="7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Gross</w:t>
            </w:r>
          </w:p>
        </w:tc>
        <w:tc>
          <w:tcPr>
            <w:tcW w:w="10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8"/>
              </w:rPr>
              <w:t>Realized</w:t>
            </w:r>
          </w:p>
        </w:tc>
        <w:tc>
          <w:tcPr>
            <w:tcW w:w="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62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Company</w:t>
            </w:r>
          </w:p>
        </w:tc>
        <w:tc>
          <w:tcPr>
            <w:tcW w:w="12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 Unrealized</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Additions (a)</w:t>
            </w:r>
          </w:p>
        </w:tc>
        <w:tc>
          <w:tcPr>
            <w:tcW w:w="180" w:type="dxa"/>
            <w:vAlign w:val="bottom"/>
          </w:tcPr>
          <w:p>
            <w:pPr>
              <w:spacing w:after="0"/>
              <w:rPr>
                <w:sz w:val="14"/>
                <w:szCs w:val="14"/>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1"/>
              </w:rPr>
              <w:t>Reductions (b)</w:t>
            </w: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Gain/(Loss)</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Gain/(Losses)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AFS Technologies, Inc.</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75,780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77,218</w:t>
            </w:r>
          </w:p>
        </w:tc>
        <w:tc>
          <w:tcPr>
            <w:tcW w:w="1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19"/>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IRGSE Holding Corp.</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34,748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5,660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(4,823)</w:t>
            </w:r>
          </w:p>
        </w:tc>
        <w:tc>
          <w:tcPr>
            <w:tcW w:w="12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35,585</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Mississippi Resources, LLC</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4,192</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(142)</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(9,589)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25,592</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85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135,920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10,752</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1,454</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(9,589</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138,395</w:t>
            </w:r>
          </w:p>
        </w:tc>
        <w:tc>
          <w:tcPr>
            <w:tcW w:w="1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8"/>
                <w:szCs w:val="18"/>
                <w:b w:val="1"/>
                <w:bCs w:val="1"/>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89</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040" w:right="300" w:hanging="519"/>
        <w:spacing w:after="0" w:line="258" w:lineRule="auto"/>
        <w:tabs>
          <w:tab w:leader="none" w:pos="1040" w:val="left"/>
        </w:tabs>
        <w:numPr>
          <w:ilvl w:val="1"/>
          <w:numId w:val="8"/>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40" w:right="200" w:hanging="519"/>
        <w:spacing w:after="0" w:line="255" w:lineRule="auto"/>
        <w:tabs>
          <w:tab w:leader="none" w:pos="1040" w:val="left"/>
        </w:tabs>
        <w:numPr>
          <w:ilvl w:val="1"/>
          <w:numId w:val="8"/>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190" w:lineRule="exact"/>
        <w:rPr>
          <w:rFonts w:ascii="Arial" w:cs="Arial" w:eastAsia="Arial" w:hAnsi="Arial"/>
          <w:sz w:val="18"/>
          <w:szCs w:val="18"/>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of September 30, 2018, the tax cost of the Company’s investments approximates the amortized cost.</w:t>
      </w:r>
    </w:p>
    <w:p>
      <w:pPr>
        <w:spacing w:after="0" w:line="23" w:lineRule="exact"/>
        <w:rPr>
          <w:rFonts w:ascii="Arial" w:cs="Arial" w:eastAsia="Arial" w:hAnsi="Arial"/>
          <w:sz w:val="18"/>
          <w:szCs w:val="18"/>
          <w:color w:val="auto"/>
        </w:rPr>
      </w:pPr>
    </w:p>
    <w:p>
      <w:pPr>
        <w:ind w:left="520" w:right="140" w:hanging="512"/>
        <w:spacing w:after="0" w:line="250"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investments contain a fixed rate structure. The Company entered into an interest rate swap agreement to swap to a floating rate. Refer to Note 5 for further information related to the Company’s interest rate swaps on investments.</w:t>
      </w:r>
    </w:p>
    <w:p>
      <w:pPr>
        <w:ind w:left="520" w:right="180" w:hanging="512"/>
        <w:spacing w:after="0" w:line="250"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In accordance with Financial Accounting Standards Board Accounting Standards Codification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Arial" w:cs="Arial" w:eastAsia="Arial" w:hAnsi="Arial"/>
          <w:sz w:val="18"/>
          <w:szCs w:val="18"/>
          <w:color w:val="auto"/>
        </w:rPr>
      </w:pPr>
    </w:p>
    <w:p>
      <w:pPr>
        <w:ind w:left="520" w:right="140" w:hanging="512"/>
        <w:spacing w:after="0" w:line="250"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2 investment. See Note 6 for further information related to investments at fair value.</w:t>
      </w:r>
    </w:p>
    <w:p>
      <w:pPr>
        <w:ind w:left="520" w:right="140" w:hanging="512"/>
        <w:spacing w:after="0" w:line="250"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1 investment. See Note 6 for further information related to investments at fair value.</w:t>
      </w: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equity investment is non-income producing.</w:t>
      </w:r>
    </w:p>
    <w:p>
      <w:pPr>
        <w:spacing w:after="0" w:line="9" w:lineRule="exact"/>
        <w:rPr>
          <w:rFonts w:ascii="Arial" w:cs="Arial" w:eastAsia="Arial" w:hAnsi="Arial"/>
          <w:sz w:val="18"/>
          <w:szCs w:val="18"/>
          <w:color w:val="auto"/>
        </w:rPr>
      </w:pPr>
    </w:p>
    <w:p>
      <w:pPr>
        <w:ind w:left="520" w:right="200" w:hanging="512"/>
        <w:spacing w:after="0" w:line="323" w:lineRule="auto"/>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Security acquired in transaction exempt from registration under the Securities Act of 1933, and may be deemed to be “restricted securities” under the Securities Act. As of September 30, 2018, the aggregate fair value of these securities is $8,531, or 0.8% of the Company’s net assets.</w:t>
      </w:r>
    </w:p>
    <w:p>
      <w:pPr>
        <w:spacing w:after="0" w:line="3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60"/>
          </w:cols>
          <w:pgMar w:left="240" w:top="661" w:right="19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Schedule of Investments as of December 31, 2017</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Initial</w:t>
            </w: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Reference</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52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100" w:type="dxa"/>
            <w:vAlign w:val="bottom"/>
          </w:tcPr>
          <w:p>
            <w:pPr>
              <w:spacing w:after="0"/>
              <w:rPr>
                <w:sz w:val="13"/>
                <w:szCs w:val="13"/>
                <w:color w:val="auto"/>
              </w:rPr>
            </w:pPr>
          </w:p>
        </w:tc>
        <w:tc>
          <w:tcPr>
            <w:tcW w:w="2580" w:type="dxa"/>
            <w:vAlign w:val="bottom"/>
            <w:gridSpan w:val="2"/>
            <w:vMerge w:val="restart"/>
          </w:tcPr>
          <w:p>
            <w:pPr>
              <w:ind w:left="900"/>
              <w:spacing w:after="0"/>
              <w:rPr>
                <w:sz w:val="20"/>
                <w:szCs w:val="20"/>
                <w:color w:val="auto"/>
              </w:rPr>
            </w:pPr>
            <w:r>
              <w:rPr>
                <w:rFonts w:ascii="Arial" w:cs="Arial" w:eastAsia="Arial" w:hAnsi="Arial"/>
                <w:sz w:val="14"/>
                <w:szCs w:val="14"/>
                <w:b w:val="1"/>
                <w:bCs w:val="1"/>
                <w:color w:val="auto"/>
              </w:rPr>
              <w:t>Investment</w:t>
            </w:r>
          </w:p>
        </w:tc>
        <w:tc>
          <w:tcPr>
            <w:tcW w:w="9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4"/>
              </w:rPr>
              <w:t>Acquisition</w:t>
            </w:r>
          </w:p>
        </w:tc>
        <w:tc>
          <w:tcPr>
            <w:tcW w:w="11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4"/>
              </w:rPr>
              <w:t>Rate and</w:t>
            </w: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6"/>
              </w:rPr>
              <w:t>Interest Rate</w:t>
            </w:r>
          </w:p>
        </w:tc>
        <w:tc>
          <w:tcPr>
            <w:tcW w:w="80" w:type="dxa"/>
            <w:vAlign w:val="bottom"/>
          </w:tcPr>
          <w:p>
            <w:pPr>
              <w:spacing w:after="0"/>
              <w:rPr>
                <w:sz w:val="13"/>
                <w:szCs w:val="13"/>
                <w:color w:val="auto"/>
              </w:rPr>
            </w:pPr>
          </w:p>
        </w:tc>
        <w:tc>
          <w:tcPr>
            <w:tcW w:w="76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9"/>
              </w:rPr>
              <w:t>Amortized</w:t>
            </w:r>
          </w:p>
        </w:tc>
        <w:tc>
          <w:tcPr>
            <w:tcW w:w="220" w:type="dxa"/>
            <w:vAlign w:val="bottom"/>
          </w:tcPr>
          <w:p>
            <w:pPr>
              <w:spacing w:after="0"/>
              <w:rPr>
                <w:sz w:val="13"/>
                <w:szCs w:val="13"/>
                <w:color w:val="auto"/>
              </w:rPr>
            </w:pPr>
          </w:p>
        </w:tc>
        <w:tc>
          <w:tcPr>
            <w:tcW w:w="98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Fair Value</w:t>
            </w:r>
          </w:p>
        </w:tc>
        <w:tc>
          <w:tcPr>
            <w:tcW w:w="980" w:type="dxa"/>
            <w:vAlign w:val="bottom"/>
            <w:gridSpan w:val="2"/>
          </w:tcPr>
          <w:p>
            <w:pPr>
              <w:jc w:val="right"/>
              <w:ind w:right="150"/>
              <w:spacing w:after="0" w:line="158" w:lineRule="exact"/>
              <w:rPr>
                <w:sz w:val="20"/>
                <w:szCs w:val="20"/>
                <w:color w:val="auto"/>
              </w:rPr>
            </w:pPr>
            <w:r>
              <w:rPr>
                <w:rFonts w:ascii="Arial" w:cs="Arial" w:eastAsia="Arial" w:hAnsi="Arial"/>
                <w:sz w:val="14"/>
                <w:szCs w:val="14"/>
                <w:b w:val="1"/>
                <w:bCs w:val="1"/>
                <w:color w:val="auto"/>
                <w:w w:val="95"/>
              </w:rPr>
              <w:t>Percentage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2"/>
            <w:vMerge w:val="continue"/>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Spread</w:t>
            </w: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2"/>
                <w:szCs w:val="12"/>
                <w:b w:val="1"/>
                <w:bCs w:val="1"/>
                <w:color w:val="auto"/>
              </w:rPr>
              <w:t>(2)(7)</w:t>
            </w:r>
          </w:p>
        </w:tc>
        <w:tc>
          <w:tcPr>
            <w:tcW w:w="1000" w:type="dxa"/>
            <w:vAlign w:val="bottom"/>
            <w:gridSpan w:val="2"/>
          </w:tcPr>
          <w:p>
            <w:pPr>
              <w:jc w:val="right"/>
              <w:ind w:right="234"/>
              <w:spacing w:after="0"/>
              <w:rPr>
                <w:sz w:val="20"/>
                <w:szCs w:val="20"/>
                <w:color w:val="auto"/>
              </w:rPr>
            </w:pPr>
            <w:r>
              <w:rPr>
                <w:rFonts w:ascii="Arial" w:cs="Arial" w:eastAsia="Arial" w:hAnsi="Arial"/>
                <w:sz w:val="12"/>
                <w:szCs w:val="12"/>
                <w:b w:val="1"/>
                <w:bCs w:val="1"/>
                <w:color w:val="auto"/>
              </w:rPr>
              <w:t>(9)</w:t>
            </w:r>
          </w:p>
        </w:tc>
        <w:tc>
          <w:tcPr>
            <w:tcW w:w="200" w:type="dxa"/>
            <w:vAlign w:val="bottom"/>
          </w:tcPr>
          <w:p>
            <w:pPr>
              <w:spacing w:after="0"/>
              <w:rPr>
                <w:sz w:val="14"/>
                <w:szCs w:val="14"/>
                <w:color w:val="auto"/>
              </w:rPr>
            </w:pPr>
          </w:p>
        </w:tc>
        <w:tc>
          <w:tcPr>
            <w:tcW w:w="98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87"/>
              </w:rPr>
              <w:t>of Net Assets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Debt Investments</w:t>
            </w:r>
          </w:p>
        </w:tc>
        <w:tc>
          <w:tcPr>
            <w:tcW w:w="100" w:type="dxa"/>
            <w:vAlign w:val="bottom"/>
            <w:tcBorders>
              <w:top w:val="single" w:sz="8" w:color="CFF0FC"/>
            </w:tcBorders>
            <w:shd w:val="clear" w:color="auto" w:fill="CFF0FC"/>
          </w:tcPr>
          <w:p>
            <w:pPr>
              <w:spacing w:after="0"/>
              <w:rPr>
                <w:sz w:val="19"/>
                <w:szCs w:val="19"/>
                <w:color w:val="auto"/>
              </w:rPr>
            </w:pPr>
          </w:p>
        </w:tc>
        <w:tc>
          <w:tcPr>
            <w:tcW w:w="24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b w:val="1"/>
                <w:bCs w:val="1"/>
                <w:color w:val="auto"/>
              </w:rPr>
              <w:t>Automotive</w:t>
            </w: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Heartland Automotive</w:t>
            </w:r>
          </w:p>
        </w:tc>
        <w:tc>
          <w:tcPr>
            <w:tcW w:w="26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First-lien loan ($25,725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8/28/2012</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+ 10.25%</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11.75%</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25,724</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25,789</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Holdings, LLC </w:t>
            </w:r>
            <w:r>
              <w:rPr>
                <w:rFonts w:ascii="Arial" w:cs="Arial" w:eastAsia="Arial" w:hAnsi="Arial"/>
                <w:sz w:val="15"/>
                <w:szCs w:val="15"/>
                <w:color w:val="auto"/>
              </w:rPr>
              <w:t>(3)</w:t>
            </w:r>
          </w:p>
        </w:tc>
        <w:tc>
          <w:tcPr>
            <w:tcW w:w="25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1/2018)</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tcPr>
          <w:p>
            <w:pPr>
              <w:spacing w:after="0"/>
              <w:rPr>
                <w:sz w:val="18"/>
                <w:szCs w:val="18"/>
                <w:color w:val="auto"/>
              </w:rPr>
            </w:pPr>
          </w:p>
        </w:tc>
        <w:tc>
          <w:tcPr>
            <w:tcW w:w="2680" w:type="dxa"/>
            <w:vAlign w:val="bottom"/>
            <w:gridSpan w:val="3"/>
          </w:tcPr>
          <w:p>
            <w:pPr>
              <w:ind w:left="100"/>
              <w:spacing w:after="0"/>
              <w:rPr>
                <w:sz w:val="20"/>
                <w:szCs w:val="20"/>
                <w:color w:val="auto"/>
              </w:rPr>
            </w:pPr>
            <w:r>
              <w:rPr>
                <w:rFonts w:ascii="Arial" w:cs="Arial" w:eastAsia="Arial" w:hAnsi="Arial"/>
                <w:sz w:val="18"/>
                <w:szCs w:val="18"/>
                <w:color w:val="auto"/>
              </w:rPr>
              <w:t>First-lien revolving loan ($4,056</w:t>
            </w:r>
          </w:p>
        </w:tc>
        <w:tc>
          <w:tcPr>
            <w:tcW w:w="840" w:type="dxa"/>
            <w:vAlign w:val="bottom"/>
          </w:tcPr>
          <w:p>
            <w:pPr>
              <w:jc w:val="right"/>
              <w:spacing w:after="0"/>
              <w:rPr>
                <w:sz w:val="20"/>
                <w:szCs w:val="20"/>
                <w:color w:val="auto"/>
              </w:rPr>
            </w:pPr>
            <w:r>
              <w:rPr>
                <w:rFonts w:ascii="Arial" w:cs="Arial" w:eastAsia="Arial" w:hAnsi="Arial"/>
                <w:sz w:val="18"/>
                <w:szCs w:val="18"/>
                <w:color w:val="auto"/>
              </w:rPr>
              <w:t>8/28/2012</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P + 9.00%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13.50%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4,056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4,066</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Borders>
              <w:bottom w:val="single" w:sz="8" w:color="CFF0FC"/>
            </w:tcBorders>
          </w:tcPr>
          <w:p>
            <w:pPr>
              <w:spacing w:after="0"/>
              <w:rPr>
                <w:sz w:val="20"/>
                <w:szCs w:val="20"/>
                <w:color w:val="auto"/>
              </w:rPr>
            </w:pPr>
          </w:p>
        </w:tc>
        <w:tc>
          <w:tcPr>
            <w:tcW w:w="2680" w:type="dxa"/>
            <w:vAlign w:val="bottom"/>
            <w:tcBorders>
              <w:bottom w:val="single" w:sz="8" w:color="CFF0FC"/>
            </w:tcBorders>
            <w:gridSpan w:val="3"/>
          </w:tcPr>
          <w:p>
            <w:pPr>
              <w:ind w:left="100"/>
              <w:spacing w:after="0"/>
              <w:rPr>
                <w:sz w:val="20"/>
                <w:szCs w:val="20"/>
                <w:color w:val="auto"/>
              </w:rPr>
            </w:pPr>
            <w:r>
              <w:rPr>
                <w:rFonts w:ascii="Arial" w:cs="Arial" w:eastAsia="Arial" w:hAnsi="Arial"/>
                <w:sz w:val="18"/>
                <w:szCs w:val="18"/>
                <w:color w:val="auto"/>
              </w:rPr>
              <w:t>par, due 1/2018)</w:t>
            </w:r>
          </w:p>
        </w:tc>
        <w:tc>
          <w:tcPr>
            <w:tcW w:w="84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92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29,780</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29,855</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tcPr>
          <w:p>
            <w:pPr>
              <w:spacing w:after="0"/>
              <w:rPr>
                <w:sz w:val="20"/>
                <w:szCs w:val="20"/>
                <w:color w:val="auto"/>
              </w:rPr>
            </w:pPr>
            <w:r>
              <w:rPr>
                <w:rFonts w:ascii="Arial" w:cs="Arial" w:eastAsia="Arial" w:hAnsi="Arial"/>
                <w:sz w:val="18"/>
                <w:szCs w:val="18"/>
                <w:b w:val="1"/>
                <w:bCs w:val="1"/>
                <w:color w:val="auto"/>
              </w:rPr>
              <w:t>Beverage, food and tobacco</w:t>
            </w: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AFS Technologies, Inc. </w:t>
            </w:r>
            <w:r>
              <w:rPr>
                <w:rFonts w:ascii="Arial" w:cs="Arial" w:eastAsia="Arial" w:hAnsi="Arial"/>
                <w:sz w:val="15"/>
                <w:szCs w:val="15"/>
                <w:color w:val="auto"/>
              </w:rPr>
              <w:t>(3)(6)</w:t>
            </w:r>
          </w:p>
        </w:tc>
        <w:tc>
          <w:tcPr>
            <w:tcW w:w="26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Second-lien loan ($59,621 par,</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6/30/2017</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+ 9.05%</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10.74%</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59,621</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57,534</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p>
        </w:tc>
        <w:tc>
          <w:tcPr>
            <w:tcW w:w="26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due 9/2021)</w:t>
            </w:r>
          </w:p>
        </w:tc>
        <w:tc>
          <w:tcPr>
            <w:tcW w:w="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b w:val="1"/>
                <w:bCs w:val="1"/>
                <w:color w:val="auto"/>
              </w:rPr>
              <w:t>Business services</w:t>
            </w: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Jive Software, Inc. </w:t>
            </w:r>
            <w:r>
              <w:rPr>
                <w:rFonts w:ascii="Arial" w:cs="Arial" w:eastAsia="Arial" w:hAnsi="Arial"/>
                <w:sz w:val="15"/>
                <w:szCs w:val="15"/>
                <w:color w:val="auto"/>
              </w:rPr>
              <w:t>(3)(5)</w:t>
            </w:r>
          </w:p>
        </w:tc>
        <w:tc>
          <w:tcPr>
            <w:tcW w:w="26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First-lien loan ($53,730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6/12/2017</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+ 9.25%</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10.69%</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51,900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53,730</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p>
        </w:tc>
        <w:tc>
          <w:tcPr>
            <w:tcW w:w="25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6/2022)</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Leaf US Holdings, Inc. </w:t>
            </w:r>
            <w:r>
              <w:rPr>
                <w:rFonts w:ascii="Arial" w:cs="Arial" w:eastAsia="Arial" w:hAnsi="Arial"/>
                <w:sz w:val="15"/>
                <w:szCs w:val="15"/>
                <w:color w:val="auto"/>
              </w:rPr>
              <w:t>(3)(4)</w:t>
            </w:r>
          </w:p>
        </w:tc>
        <w:tc>
          <w:tcPr>
            <w:tcW w:w="2680" w:type="dxa"/>
            <w:vAlign w:val="bottom"/>
            <w:gridSpan w:val="3"/>
          </w:tcPr>
          <w:p>
            <w:pPr>
              <w:ind w:left="100"/>
              <w:spacing w:after="0"/>
              <w:rPr>
                <w:sz w:val="20"/>
                <w:szCs w:val="20"/>
                <w:color w:val="auto"/>
              </w:rPr>
            </w:pPr>
            <w:r>
              <w:rPr>
                <w:rFonts w:ascii="Arial" w:cs="Arial" w:eastAsia="Arial" w:hAnsi="Arial"/>
                <w:sz w:val="18"/>
                <w:szCs w:val="18"/>
                <w:color w:val="auto"/>
              </w:rPr>
              <w:t>First-lien loan ($33,221 par, due</w:t>
            </w:r>
          </w:p>
        </w:tc>
        <w:tc>
          <w:tcPr>
            <w:tcW w:w="840" w:type="dxa"/>
            <w:vAlign w:val="bottom"/>
          </w:tcPr>
          <w:p>
            <w:pPr>
              <w:jc w:val="right"/>
              <w:spacing w:after="0"/>
              <w:rPr>
                <w:sz w:val="20"/>
                <w:szCs w:val="20"/>
                <w:color w:val="auto"/>
              </w:rPr>
            </w:pPr>
            <w:r>
              <w:rPr>
                <w:rFonts w:ascii="Arial" w:cs="Arial" w:eastAsia="Arial" w:hAnsi="Arial"/>
                <w:sz w:val="18"/>
                <w:szCs w:val="18"/>
                <w:color w:val="auto"/>
              </w:rPr>
              <w:t>6/30/2014</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+ 8.00%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9.69%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32,879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33,221</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2580" w:type="dxa"/>
            <w:vAlign w:val="bottom"/>
            <w:gridSpan w:val="2"/>
          </w:tcPr>
          <w:p>
            <w:pPr>
              <w:ind w:left="100"/>
              <w:spacing w:after="0"/>
              <w:rPr>
                <w:sz w:val="20"/>
                <w:szCs w:val="20"/>
                <w:color w:val="auto"/>
              </w:rPr>
            </w:pPr>
            <w:r>
              <w:rPr>
                <w:rFonts w:ascii="Arial" w:cs="Arial" w:eastAsia="Arial" w:hAnsi="Arial"/>
                <w:sz w:val="18"/>
                <w:szCs w:val="18"/>
                <w:color w:val="auto"/>
              </w:rPr>
              <w:t>6/2020)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Motus, LLC </w:t>
            </w:r>
            <w:r>
              <w:rPr>
                <w:rFonts w:ascii="Arial" w:cs="Arial" w:eastAsia="Arial" w:hAnsi="Arial"/>
                <w:sz w:val="15"/>
                <w:szCs w:val="15"/>
                <w:color w:val="auto"/>
              </w:rPr>
              <w:t>(3)</w:t>
            </w:r>
          </w:p>
        </w:tc>
        <w:tc>
          <w:tcPr>
            <w:tcW w:w="26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First-lien loan ($20,879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7/29/2016</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+ 10.00%</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w:t>
            </w: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20,496</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21,975</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18"/>
                <w:szCs w:val="18"/>
                <w:color w:val="auto"/>
              </w:rPr>
            </w:pPr>
          </w:p>
        </w:tc>
        <w:tc>
          <w:tcPr>
            <w:tcW w:w="25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7/2021)</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3"/>
              </w:rPr>
              <w:t>(incl. 3.00%</w:t>
            </w: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PIK)</w:t>
            </w:r>
          </w:p>
        </w:tc>
        <w:tc>
          <w:tcPr>
            <w:tcW w:w="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Sovos Compliance, LLC </w:t>
            </w:r>
            <w:r>
              <w:rPr>
                <w:rFonts w:ascii="Arial" w:cs="Arial" w:eastAsia="Arial" w:hAnsi="Arial"/>
                <w:sz w:val="15"/>
                <w:szCs w:val="15"/>
                <w:color w:val="auto"/>
              </w:rPr>
              <w:t>(3)</w:t>
            </w:r>
          </w:p>
        </w:tc>
        <w:tc>
          <w:tcPr>
            <w:tcW w:w="2680" w:type="dxa"/>
            <w:vAlign w:val="bottom"/>
            <w:gridSpan w:val="3"/>
          </w:tcPr>
          <w:p>
            <w:pPr>
              <w:ind w:left="100"/>
              <w:spacing w:after="0"/>
              <w:rPr>
                <w:sz w:val="20"/>
                <w:szCs w:val="20"/>
                <w:color w:val="auto"/>
              </w:rPr>
            </w:pPr>
            <w:r>
              <w:rPr>
                <w:rFonts w:ascii="Arial" w:cs="Arial" w:eastAsia="Arial" w:hAnsi="Arial"/>
                <w:sz w:val="18"/>
                <w:szCs w:val="18"/>
                <w:color w:val="auto"/>
              </w:rPr>
              <w:t>First-lien loan ($34,323 par, due</w:t>
            </w:r>
          </w:p>
        </w:tc>
        <w:tc>
          <w:tcPr>
            <w:tcW w:w="840" w:type="dxa"/>
            <w:vAlign w:val="bottom"/>
          </w:tcPr>
          <w:p>
            <w:pPr>
              <w:jc w:val="right"/>
              <w:spacing w:after="0"/>
              <w:rPr>
                <w:sz w:val="20"/>
                <w:szCs w:val="20"/>
                <w:color w:val="auto"/>
              </w:rPr>
            </w:pPr>
            <w:r>
              <w:rPr>
                <w:rFonts w:ascii="Arial" w:cs="Arial" w:eastAsia="Arial" w:hAnsi="Arial"/>
                <w:sz w:val="18"/>
                <w:szCs w:val="18"/>
                <w:color w:val="auto"/>
              </w:rPr>
              <w:t>7/1/2016</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+ 6.00%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7.57%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33,862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34,421</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2580" w:type="dxa"/>
            <w:vAlign w:val="bottom"/>
            <w:gridSpan w:val="2"/>
          </w:tcPr>
          <w:p>
            <w:pPr>
              <w:ind w:left="100"/>
              <w:spacing w:after="0"/>
              <w:rPr>
                <w:sz w:val="20"/>
                <w:szCs w:val="20"/>
                <w:color w:val="auto"/>
              </w:rPr>
            </w:pPr>
            <w:r>
              <w:rPr>
                <w:rFonts w:ascii="Arial" w:cs="Arial" w:eastAsia="Arial" w:hAnsi="Arial"/>
                <w:sz w:val="18"/>
                <w:szCs w:val="18"/>
                <w:color w:val="auto"/>
              </w:rPr>
              <w:t>3/2022)</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Tangoe, Inc. </w:t>
            </w:r>
            <w:r>
              <w:rPr>
                <w:rFonts w:ascii="Arial" w:cs="Arial" w:eastAsia="Arial" w:hAnsi="Arial"/>
                <w:sz w:val="15"/>
                <w:szCs w:val="15"/>
                <w:color w:val="auto"/>
              </w:rPr>
              <w:t>(3)(5)</w:t>
            </w:r>
          </w:p>
        </w:tc>
        <w:tc>
          <w:tcPr>
            <w:tcW w:w="26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First-lien loan ($49,975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6/16/2017</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+ 8.50%</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48,196</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48,725</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spacing w:after="0"/>
              <w:rPr>
                <w:sz w:val="18"/>
                <w:szCs w:val="18"/>
                <w:color w:val="auto"/>
              </w:rPr>
            </w:pPr>
          </w:p>
        </w:tc>
        <w:tc>
          <w:tcPr>
            <w:tcW w:w="25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6/2022)</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3"/>
              </w:rPr>
              <w:t>(incl. 0.50%</w:t>
            </w: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PIK)</w:t>
            </w:r>
          </w:p>
        </w:tc>
        <w:tc>
          <w:tcPr>
            <w:tcW w:w="80" w:type="dxa"/>
            <w:vAlign w:val="bottom"/>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229,253</w:t>
            </w:r>
          </w:p>
        </w:tc>
        <w:tc>
          <w:tcPr>
            <w:tcW w:w="2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234,275</w:t>
            </w:r>
          </w:p>
        </w:tc>
        <w:tc>
          <w:tcPr>
            <w:tcW w:w="20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Chemicals</w:t>
            </w:r>
          </w:p>
        </w:tc>
        <w:tc>
          <w:tcPr>
            <w:tcW w:w="100" w:type="dxa"/>
            <w:vAlign w:val="bottom"/>
            <w:shd w:val="clear" w:color="auto" w:fill="CFF0FC"/>
          </w:tcPr>
          <w:p>
            <w:pPr>
              <w:spacing w:after="0"/>
              <w:rPr>
                <w:sz w:val="19"/>
                <w:szCs w:val="19"/>
                <w:color w:val="auto"/>
              </w:rPr>
            </w:pPr>
          </w:p>
        </w:tc>
        <w:tc>
          <w:tcPr>
            <w:tcW w:w="2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Vertellus Specialties, Inc. </w:t>
            </w:r>
            <w:r>
              <w:rPr>
                <w:rFonts w:ascii="Arial" w:cs="Arial" w:eastAsia="Arial" w:hAnsi="Arial"/>
                <w:sz w:val="15"/>
                <w:szCs w:val="15"/>
                <w:color w:val="auto"/>
              </w:rPr>
              <w:t>(3)</w:t>
            </w:r>
          </w:p>
        </w:tc>
        <w:tc>
          <w:tcPr>
            <w:tcW w:w="2680" w:type="dxa"/>
            <w:vAlign w:val="bottom"/>
            <w:gridSpan w:val="3"/>
          </w:tcPr>
          <w:p>
            <w:pPr>
              <w:ind w:left="100"/>
              <w:spacing w:after="0"/>
              <w:rPr>
                <w:sz w:val="20"/>
                <w:szCs w:val="20"/>
                <w:color w:val="auto"/>
              </w:rPr>
            </w:pPr>
            <w:r>
              <w:rPr>
                <w:rFonts w:ascii="Arial" w:cs="Arial" w:eastAsia="Arial" w:hAnsi="Arial"/>
                <w:sz w:val="18"/>
                <w:szCs w:val="18"/>
                <w:color w:val="auto"/>
              </w:rPr>
              <w:t>First-lien loan ($4,967 par, due</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10/31/2016</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+ 9.00%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10.57%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4,959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4,967</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2580" w:type="dxa"/>
            <w:vAlign w:val="bottom"/>
            <w:gridSpan w:val="2"/>
          </w:tcPr>
          <w:p>
            <w:pPr>
              <w:ind w:left="100"/>
              <w:spacing w:after="0"/>
              <w:rPr>
                <w:sz w:val="20"/>
                <w:szCs w:val="20"/>
                <w:color w:val="auto"/>
              </w:rPr>
            </w:pPr>
            <w:r>
              <w:rPr>
                <w:rFonts w:ascii="Arial" w:cs="Arial" w:eastAsia="Arial" w:hAnsi="Arial"/>
                <w:sz w:val="18"/>
                <w:szCs w:val="18"/>
                <w:color w:val="auto"/>
              </w:rPr>
              <w:t>4/2018)</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shd w:val="clear" w:color="auto" w:fill="CFF0FC"/>
          </w:tcPr>
          <w:p>
            <w:pPr>
              <w:spacing w:after="0"/>
              <w:rPr>
                <w:sz w:val="18"/>
                <w:szCs w:val="18"/>
                <w:color w:val="auto"/>
              </w:rPr>
            </w:pPr>
          </w:p>
        </w:tc>
        <w:tc>
          <w:tcPr>
            <w:tcW w:w="26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Second-lien loan ($3,341 par,</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10/31/2016</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+ 12.00%</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13.57%</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3,341</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3,366</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p>
        </w:tc>
        <w:tc>
          <w:tcPr>
            <w:tcW w:w="26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due 10/2021)</w:t>
            </w:r>
          </w:p>
        </w:tc>
        <w:tc>
          <w:tcPr>
            <w:tcW w:w="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8,300</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8,333</w:t>
            </w: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Communications</w:t>
            </w:r>
          </w:p>
        </w:tc>
        <w:tc>
          <w:tcPr>
            <w:tcW w:w="100" w:type="dxa"/>
            <w:vAlign w:val="bottom"/>
            <w:tcBorders>
              <w:top w:val="single" w:sz="8" w:color="CFF0FC"/>
            </w:tcBorders>
            <w:shd w:val="clear" w:color="auto" w:fill="CFF0FC"/>
          </w:tcPr>
          <w:p>
            <w:pPr>
              <w:spacing w:after="0"/>
              <w:rPr>
                <w:sz w:val="19"/>
                <w:szCs w:val="19"/>
                <w:color w:val="auto"/>
              </w:rPr>
            </w:pPr>
          </w:p>
        </w:tc>
        <w:tc>
          <w:tcPr>
            <w:tcW w:w="24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iHeart Communications </w:t>
            </w:r>
            <w:r>
              <w:rPr>
                <w:rFonts w:ascii="Arial" w:cs="Arial" w:eastAsia="Arial" w:hAnsi="Arial"/>
                <w:sz w:val="15"/>
                <w:szCs w:val="15"/>
                <w:color w:val="auto"/>
              </w:rPr>
              <w:t>(3)(5)</w:t>
            </w:r>
          </w:p>
        </w:tc>
        <w:tc>
          <w:tcPr>
            <w:tcW w:w="2680" w:type="dxa"/>
            <w:vAlign w:val="bottom"/>
            <w:gridSpan w:val="3"/>
          </w:tcPr>
          <w:p>
            <w:pPr>
              <w:ind w:left="100"/>
              <w:spacing w:after="0"/>
              <w:rPr>
                <w:sz w:val="20"/>
                <w:szCs w:val="20"/>
                <w:color w:val="auto"/>
              </w:rPr>
            </w:pPr>
            <w:r>
              <w:rPr>
                <w:rFonts w:ascii="Arial" w:cs="Arial" w:eastAsia="Arial" w:hAnsi="Arial"/>
                <w:sz w:val="18"/>
                <w:szCs w:val="18"/>
                <w:color w:val="auto"/>
              </w:rPr>
              <w:t>ABL FILO term loan ($115,000</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11/30/2017</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+ 4.75%</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6.23%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111,613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112,700</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2680" w:type="dxa"/>
            <w:vAlign w:val="bottom"/>
            <w:gridSpan w:val="3"/>
          </w:tcPr>
          <w:p>
            <w:pPr>
              <w:ind w:left="100"/>
              <w:spacing w:after="0"/>
              <w:rPr>
                <w:sz w:val="20"/>
                <w:szCs w:val="20"/>
                <w:color w:val="auto"/>
              </w:rPr>
            </w:pPr>
            <w:r>
              <w:rPr>
                <w:rFonts w:ascii="Arial" w:cs="Arial" w:eastAsia="Arial" w:hAnsi="Arial"/>
                <w:sz w:val="18"/>
                <w:szCs w:val="18"/>
                <w:color w:val="auto"/>
              </w:rPr>
              <w:t>par, due 11/2020)</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Education</w:t>
            </w:r>
          </w:p>
        </w:tc>
        <w:tc>
          <w:tcPr>
            <w:tcW w:w="100" w:type="dxa"/>
            <w:vAlign w:val="bottom"/>
            <w:shd w:val="clear" w:color="auto" w:fill="CFF0FC"/>
          </w:tcPr>
          <w:p>
            <w:pPr>
              <w:spacing w:after="0"/>
              <w:rPr>
                <w:sz w:val="19"/>
                <w:szCs w:val="19"/>
                <w:color w:val="auto"/>
              </w:rPr>
            </w:pPr>
          </w:p>
        </w:tc>
        <w:tc>
          <w:tcPr>
            <w:tcW w:w="2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Finalsite Holdings, Inc. </w:t>
            </w:r>
            <w:r>
              <w:rPr>
                <w:rFonts w:ascii="Arial" w:cs="Arial" w:eastAsia="Arial" w:hAnsi="Arial"/>
                <w:sz w:val="15"/>
                <w:szCs w:val="15"/>
                <w:color w:val="auto"/>
              </w:rPr>
              <w:t>(3)(5)</w:t>
            </w:r>
          </w:p>
        </w:tc>
        <w:tc>
          <w:tcPr>
            <w:tcW w:w="2680" w:type="dxa"/>
            <w:vAlign w:val="bottom"/>
            <w:gridSpan w:val="3"/>
          </w:tcPr>
          <w:p>
            <w:pPr>
              <w:ind w:left="100"/>
              <w:spacing w:after="0"/>
              <w:rPr>
                <w:sz w:val="20"/>
                <w:szCs w:val="20"/>
                <w:color w:val="auto"/>
              </w:rPr>
            </w:pPr>
            <w:r>
              <w:rPr>
                <w:rFonts w:ascii="Arial" w:cs="Arial" w:eastAsia="Arial" w:hAnsi="Arial"/>
                <w:sz w:val="18"/>
                <w:szCs w:val="18"/>
                <w:color w:val="auto"/>
              </w:rPr>
              <w:t>First-lien loan ($45,000 par, due</w:t>
            </w:r>
          </w:p>
        </w:tc>
        <w:tc>
          <w:tcPr>
            <w:tcW w:w="840" w:type="dxa"/>
            <w:vAlign w:val="bottom"/>
          </w:tcPr>
          <w:p>
            <w:pPr>
              <w:jc w:val="right"/>
              <w:spacing w:after="0"/>
              <w:rPr>
                <w:sz w:val="20"/>
                <w:szCs w:val="20"/>
                <w:color w:val="auto"/>
              </w:rPr>
            </w:pPr>
            <w:r>
              <w:rPr>
                <w:rFonts w:ascii="Arial" w:cs="Arial" w:eastAsia="Arial" w:hAnsi="Arial"/>
                <w:sz w:val="18"/>
                <w:szCs w:val="18"/>
                <w:color w:val="auto"/>
              </w:rPr>
              <w:t>8/31/2016</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+ 7.00%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8.69%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44,029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45,450</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2580" w:type="dxa"/>
            <w:vAlign w:val="bottom"/>
            <w:gridSpan w:val="2"/>
          </w:tcPr>
          <w:p>
            <w:pPr>
              <w:ind w:left="100"/>
              <w:spacing w:after="0"/>
              <w:rPr>
                <w:sz w:val="20"/>
                <w:szCs w:val="20"/>
                <w:color w:val="auto"/>
              </w:rPr>
            </w:pPr>
            <w:r>
              <w:rPr>
                <w:rFonts w:ascii="Arial" w:cs="Arial" w:eastAsia="Arial" w:hAnsi="Arial"/>
                <w:sz w:val="18"/>
                <w:szCs w:val="18"/>
                <w:color w:val="auto"/>
              </w:rPr>
              <w:t>8/2022)</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Frontline Technologies Group,</w:t>
            </w:r>
          </w:p>
        </w:tc>
        <w:tc>
          <w:tcPr>
            <w:tcW w:w="26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First-lien loan ($47,703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9/18/2017</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+ 6.50%</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8.09%</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47,039</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47,132</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(3)</w:t>
            </w:r>
          </w:p>
        </w:tc>
        <w:tc>
          <w:tcPr>
            <w:tcW w:w="25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9/2023)</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Illuminate Education, Inc.</w:t>
            </w:r>
            <w:r>
              <w:rPr>
                <w:rFonts w:ascii="Arial" w:cs="Arial" w:eastAsia="Arial" w:hAnsi="Arial"/>
                <w:sz w:val="15"/>
                <w:szCs w:val="15"/>
                <w:color w:val="auto"/>
              </w:rPr>
              <w:t>(3)</w:t>
            </w:r>
          </w:p>
        </w:tc>
        <w:tc>
          <w:tcPr>
            <w:tcW w:w="2680" w:type="dxa"/>
            <w:vAlign w:val="bottom"/>
            <w:gridSpan w:val="3"/>
          </w:tcPr>
          <w:p>
            <w:pPr>
              <w:ind w:left="100"/>
              <w:spacing w:after="0"/>
              <w:rPr>
                <w:sz w:val="20"/>
                <w:szCs w:val="20"/>
                <w:color w:val="auto"/>
              </w:rPr>
            </w:pPr>
            <w:r>
              <w:rPr>
                <w:rFonts w:ascii="Arial" w:cs="Arial" w:eastAsia="Arial" w:hAnsi="Arial"/>
                <w:sz w:val="18"/>
                <w:szCs w:val="18"/>
                <w:color w:val="auto"/>
              </w:rPr>
              <w:t>First-lien loan ($56,900 par, due</w:t>
            </w:r>
          </w:p>
        </w:tc>
        <w:tc>
          <w:tcPr>
            <w:tcW w:w="840" w:type="dxa"/>
            <w:vAlign w:val="bottom"/>
          </w:tcPr>
          <w:p>
            <w:pPr>
              <w:jc w:val="right"/>
              <w:spacing w:after="0"/>
              <w:rPr>
                <w:sz w:val="20"/>
                <w:szCs w:val="20"/>
                <w:color w:val="auto"/>
              </w:rPr>
            </w:pPr>
            <w:r>
              <w:rPr>
                <w:rFonts w:ascii="Arial" w:cs="Arial" w:eastAsia="Arial" w:hAnsi="Arial"/>
                <w:sz w:val="18"/>
                <w:szCs w:val="18"/>
                <w:color w:val="auto"/>
              </w:rPr>
              <w:t>8/25/2017</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+ 8.00%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9.48%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55,772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55,971</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Borders>
              <w:bottom w:val="single" w:sz="8" w:color="CFF0FC"/>
            </w:tcBorders>
          </w:tcPr>
          <w:p>
            <w:pPr>
              <w:spacing w:after="0"/>
              <w:rPr>
                <w:sz w:val="20"/>
                <w:szCs w:val="20"/>
                <w:color w:val="auto"/>
              </w:rPr>
            </w:pPr>
          </w:p>
        </w:tc>
        <w:tc>
          <w:tcPr>
            <w:tcW w:w="2580" w:type="dxa"/>
            <w:vAlign w:val="bottom"/>
            <w:tcBorders>
              <w:bottom w:val="single" w:sz="8" w:color="CFF0FC"/>
            </w:tcBorders>
            <w:gridSpan w:val="2"/>
          </w:tcPr>
          <w:p>
            <w:pPr>
              <w:ind w:left="100"/>
              <w:spacing w:after="0"/>
              <w:rPr>
                <w:sz w:val="20"/>
                <w:szCs w:val="20"/>
                <w:color w:val="auto"/>
              </w:rPr>
            </w:pPr>
            <w:r>
              <w:rPr>
                <w:rFonts w:ascii="Arial" w:cs="Arial" w:eastAsia="Arial" w:hAnsi="Arial"/>
                <w:sz w:val="18"/>
                <w:szCs w:val="18"/>
                <w:color w:val="auto"/>
              </w:rPr>
              <w:t>8/2022)</w:t>
            </w:r>
          </w:p>
        </w:tc>
        <w:tc>
          <w:tcPr>
            <w:tcW w:w="10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92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146,840</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148,553</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tcPr>
          <w:p>
            <w:pPr>
              <w:spacing w:after="0"/>
              <w:rPr>
                <w:sz w:val="20"/>
                <w:szCs w:val="20"/>
                <w:color w:val="auto"/>
              </w:rPr>
            </w:pPr>
            <w:r>
              <w:rPr>
                <w:rFonts w:ascii="Arial" w:cs="Arial" w:eastAsia="Arial" w:hAnsi="Arial"/>
                <w:sz w:val="18"/>
                <w:szCs w:val="18"/>
                <w:b w:val="1"/>
                <w:bCs w:val="1"/>
                <w:color w:val="auto"/>
              </w:rPr>
              <w:t>Financial services</w:t>
            </w: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AppStar Financial, LLC </w:t>
            </w:r>
            <w:r>
              <w:rPr>
                <w:rFonts w:ascii="Arial" w:cs="Arial" w:eastAsia="Arial" w:hAnsi="Arial"/>
                <w:sz w:val="15"/>
                <w:szCs w:val="15"/>
                <w:color w:val="auto"/>
              </w:rPr>
              <w:t>(3)</w:t>
            </w:r>
          </w:p>
        </w:tc>
        <w:tc>
          <w:tcPr>
            <w:tcW w:w="268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First-lien loan ($20,364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8/18/2015</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+ 8.00%</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9.57%</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20,071</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20,643</w:t>
            </w: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p>
        </w:tc>
        <w:tc>
          <w:tcPr>
            <w:tcW w:w="25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8/2020)</w:t>
            </w: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AvidXchange, Inc. </w:t>
            </w:r>
            <w:r>
              <w:rPr>
                <w:rFonts w:ascii="Arial" w:cs="Arial" w:eastAsia="Arial" w:hAnsi="Arial"/>
                <w:sz w:val="15"/>
                <w:szCs w:val="15"/>
                <w:color w:val="auto"/>
              </w:rPr>
              <w:t>(3)</w:t>
            </w:r>
          </w:p>
        </w:tc>
        <w:tc>
          <w:tcPr>
            <w:tcW w:w="2680" w:type="dxa"/>
            <w:vAlign w:val="bottom"/>
            <w:gridSpan w:val="3"/>
          </w:tcPr>
          <w:p>
            <w:pPr>
              <w:ind w:left="100"/>
              <w:spacing w:after="0"/>
              <w:rPr>
                <w:sz w:val="20"/>
                <w:szCs w:val="20"/>
                <w:color w:val="auto"/>
              </w:rPr>
            </w:pPr>
            <w:r>
              <w:rPr>
                <w:rFonts w:ascii="Arial" w:cs="Arial" w:eastAsia="Arial" w:hAnsi="Arial"/>
                <w:sz w:val="18"/>
                <w:szCs w:val="18"/>
                <w:color w:val="auto"/>
              </w:rPr>
              <w:t>First-lien loan ($54,449 par, due</w:t>
            </w:r>
          </w:p>
        </w:tc>
        <w:tc>
          <w:tcPr>
            <w:tcW w:w="840" w:type="dxa"/>
            <w:vAlign w:val="bottom"/>
          </w:tcPr>
          <w:p>
            <w:pPr>
              <w:jc w:val="right"/>
              <w:spacing w:after="0"/>
              <w:rPr>
                <w:sz w:val="20"/>
                <w:szCs w:val="20"/>
                <w:color w:val="auto"/>
              </w:rPr>
            </w:pPr>
            <w:r>
              <w:rPr>
                <w:rFonts w:ascii="Arial" w:cs="Arial" w:eastAsia="Arial" w:hAnsi="Arial"/>
                <w:sz w:val="18"/>
                <w:szCs w:val="18"/>
                <w:color w:val="auto"/>
              </w:rPr>
              <w:t>8/7/2015</w:t>
            </w: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+ 9.50%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11.06%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53,879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55,266</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2580" w:type="dxa"/>
            <w:vAlign w:val="bottom"/>
            <w:gridSpan w:val="2"/>
          </w:tcPr>
          <w:p>
            <w:pPr>
              <w:ind w:left="100"/>
              <w:spacing w:after="0"/>
              <w:rPr>
                <w:sz w:val="20"/>
                <w:szCs w:val="20"/>
                <w:color w:val="auto"/>
              </w:rPr>
            </w:pPr>
            <w:r>
              <w:rPr>
                <w:rFonts w:ascii="Arial" w:cs="Arial" w:eastAsia="Arial" w:hAnsi="Arial"/>
                <w:sz w:val="18"/>
                <w:szCs w:val="18"/>
                <w:color w:val="auto"/>
              </w:rPr>
              <w:t>8/2020)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15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5"/>
        </w:trPr>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PayLease, LLC </w:t>
            </w:r>
            <w:r>
              <w:rPr>
                <w:rFonts w:ascii="Arial" w:cs="Arial" w:eastAsia="Arial" w:hAnsi="Arial"/>
                <w:sz w:val="15"/>
                <w:szCs w:val="15"/>
                <w:color w:val="auto"/>
              </w:rPr>
              <w:t>(3)</w:t>
            </w:r>
          </w:p>
        </w:tc>
        <w:tc>
          <w:tcPr>
            <w:tcW w:w="2580" w:type="dxa"/>
            <w:vAlign w:val="bottom"/>
            <w:shd w:val="clear" w:color="auto" w:fill="CFF0FC"/>
          </w:tcPr>
          <w:p>
            <w:pPr>
              <w:ind w:left="160"/>
              <w:spacing w:after="0"/>
              <w:rPr>
                <w:sz w:val="20"/>
                <w:szCs w:val="20"/>
                <w:color w:val="auto"/>
              </w:rPr>
            </w:pPr>
            <w:r>
              <w:rPr>
                <w:rFonts w:ascii="Arial" w:cs="Arial" w:eastAsia="Arial" w:hAnsi="Arial"/>
                <w:sz w:val="18"/>
                <w:szCs w:val="18"/>
                <w:color w:val="auto"/>
                <w:w w:val="94"/>
              </w:rPr>
              <w:t>First-lien loan ($56,525 par, due</w:t>
            </w: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7/28/2017</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+ 7.00%</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8.57%</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55,413</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55,627</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r>
      <w:tr>
        <w:trPr>
          <w:trHeight w:val="230"/>
        </w:trPr>
        <w:tc>
          <w:tcPr>
            <w:tcW w:w="2400" w:type="dxa"/>
            <w:vAlign w:val="bottom"/>
            <w:shd w:val="clear" w:color="auto" w:fill="CFF0FC"/>
          </w:tcPr>
          <w:p>
            <w:pPr>
              <w:spacing w:after="0"/>
              <w:rPr>
                <w:sz w:val="20"/>
                <w:szCs w:val="20"/>
                <w:color w:val="auto"/>
              </w:rPr>
            </w:pPr>
          </w:p>
        </w:tc>
        <w:tc>
          <w:tcPr>
            <w:tcW w:w="25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7/2022)</w:t>
            </w:r>
          </w:p>
        </w:tc>
        <w:tc>
          <w:tcPr>
            <w:tcW w:w="10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00" w:type="dxa"/>
            <w:vAlign w:val="bottom"/>
          </w:tcPr>
          <w:p>
            <w:pPr>
              <w:spacing w:after="0"/>
              <w:rPr>
                <w:sz w:val="20"/>
                <w:szCs w:val="20"/>
                <w:color w:val="auto"/>
              </w:rPr>
            </w:pPr>
            <w:r>
              <w:rPr>
                <w:rFonts w:ascii="Arial" w:cs="Arial" w:eastAsia="Arial" w:hAnsi="Arial"/>
                <w:sz w:val="18"/>
                <w:szCs w:val="18"/>
                <w:color w:val="auto"/>
              </w:rPr>
              <w:t xml:space="preserve">PaySimple, Inc. </w:t>
            </w:r>
            <w:r>
              <w:rPr>
                <w:rFonts w:ascii="Arial" w:cs="Arial" w:eastAsia="Arial" w:hAnsi="Arial"/>
                <w:sz w:val="15"/>
                <w:szCs w:val="15"/>
                <w:color w:val="auto"/>
              </w:rPr>
              <w:t>(3)</w:t>
            </w:r>
          </w:p>
        </w:tc>
        <w:tc>
          <w:tcPr>
            <w:tcW w:w="2580" w:type="dxa"/>
            <w:vAlign w:val="bottom"/>
          </w:tcPr>
          <w:p>
            <w:pPr>
              <w:ind w:left="160"/>
              <w:spacing w:after="0"/>
              <w:rPr>
                <w:sz w:val="20"/>
                <w:szCs w:val="20"/>
                <w:color w:val="auto"/>
              </w:rPr>
            </w:pPr>
            <w:r>
              <w:rPr>
                <w:rFonts w:ascii="Arial" w:cs="Arial" w:eastAsia="Arial" w:hAnsi="Arial"/>
                <w:sz w:val="18"/>
                <w:szCs w:val="18"/>
                <w:color w:val="auto"/>
                <w:w w:val="94"/>
              </w:rPr>
              <w:t>First-lien loan ($50,601 par, due</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3/7/2017</w:t>
            </w:r>
          </w:p>
        </w:tc>
        <w:tc>
          <w:tcPr>
            <w:tcW w:w="1080" w:type="dxa"/>
            <w:vAlign w:val="bottom"/>
          </w:tcPr>
          <w:p>
            <w:pPr>
              <w:jc w:val="right"/>
              <w:spacing w:after="0"/>
              <w:rPr>
                <w:sz w:val="20"/>
                <w:szCs w:val="20"/>
                <w:color w:val="auto"/>
              </w:rPr>
            </w:pPr>
            <w:r>
              <w:rPr>
                <w:rFonts w:ascii="Arial" w:cs="Arial" w:eastAsia="Arial" w:hAnsi="Arial"/>
                <w:sz w:val="18"/>
                <w:szCs w:val="18"/>
                <w:color w:val="auto"/>
              </w:rPr>
              <w:t>L + 8.25%</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10.00%</w:t>
            </w:r>
          </w:p>
        </w:tc>
        <w:tc>
          <w:tcPr>
            <w:tcW w:w="780" w:type="dxa"/>
            <w:vAlign w:val="bottom"/>
          </w:tcPr>
          <w:p>
            <w:pPr>
              <w:jc w:val="right"/>
              <w:spacing w:after="0"/>
              <w:rPr>
                <w:sz w:val="20"/>
                <w:szCs w:val="20"/>
                <w:color w:val="auto"/>
              </w:rPr>
            </w:pPr>
            <w:r>
              <w:rPr>
                <w:rFonts w:ascii="Arial" w:cs="Arial" w:eastAsia="Arial" w:hAnsi="Arial"/>
                <w:sz w:val="18"/>
                <w:szCs w:val="18"/>
                <w:color w:val="auto"/>
              </w:rPr>
              <w:t>49,633</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50,045</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rPr>
              <w:t>3/2022)</w:t>
            </w: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(incl. 1.75%</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PIK)</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Swift Gift Limited </w:t>
            </w:r>
            <w:r>
              <w:rPr>
                <w:rFonts w:ascii="Arial" w:cs="Arial" w:eastAsia="Arial" w:hAnsi="Arial"/>
                <w:sz w:val="15"/>
                <w:szCs w:val="15"/>
                <w:color w:val="auto"/>
              </w:rPr>
              <w:t>(3)(5)</w:t>
            </w:r>
          </w:p>
        </w:tc>
        <w:tc>
          <w:tcPr>
            <w:tcW w:w="2580" w:type="dxa"/>
            <w:vAlign w:val="bottom"/>
            <w:shd w:val="clear" w:color="auto" w:fill="CFF0FC"/>
          </w:tcPr>
          <w:p>
            <w:pPr>
              <w:ind w:left="160"/>
              <w:spacing w:after="0"/>
              <w:rPr>
                <w:sz w:val="20"/>
                <w:szCs w:val="20"/>
                <w:color w:val="auto"/>
              </w:rPr>
            </w:pPr>
            <w:r>
              <w:rPr>
                <w:rFonts w:ascii="Arial" w:cs="Arial" w:eastAsia="Arial" w:hAnsi="Arial"/>
                <w:sz w:val="18"/>
                <w:szCs w:val="18"/>
                <w:color w:val="auto"/>
                <w:w w:val="94"/>
              </w:rPr>
              <w:t>First-lien loan ($29,167 par, due</w:t>
            </w: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7/31/2017</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+ 6.50%</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8.13%</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28,472</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29,458</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r>
      <w:tr>
        <w:trPr>
          <w:trHeight w:val="230"/>
        </w:trPr>
        <w:tc>
          <w:tcPr>
            <w:tcW w:w="2400" w:type="dxa"/>
            <w:vAlign w:val="bottom"/>
            <w:shd w:val="clear" w:color="auto" w:fill="CFF0FC"/>
          </w:tcPr>
          <w:p>
            <w:pPr>
              <w:spacing w:after="0"/>
              <w:rPr>
                <w:sz w:val="20"/>
                <w:szCs w:val="20"/>
                <w:color w:val="auto"/>
              </w:rPr>
            </w:pPr>
          </w:p>
        </w:tc>
        <w:tc>
          <w:tcPr>
            <w:tcW w:w="25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1/2022)</w:t>
            </w:r>
          </w:p>
        </w:tc>
        <w:tc>
          <w:tcPr>
            <w:tcW w:w="10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400" w:type="dxa"/>
            <w:vAlign w:val="bottom"/>
            <w:tcBorders>
              <w:bottom w:val="single" w:sz="8" w:color="CFF0FC"/>
            </w:tcBorders>
          </w:tcPr>
          <w:p>
            <w:pPr>
              <w:spacing w:after="0"/>
              <w:rPr>
                <w:sz w:val="19"/>
                <w:szCs w:val="19"/>
                <w:color w:val="auto"/>
              </w:rPr>
            </w:pPr>
          </w:p>
        </w:tc>
        <w:tc>
          <w:tcPr>
            <w:tcW w:w="258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207,468</w:t>
            </w: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211,039</w:t>
            </w:r>
          </w:p>
        </w:tc>
        <w:tc>
          <w:tcPr>
            <w:tcW w:w="22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9"/>
                <w:szCs w:val="19"/>
                <w:color w:val="auto"/>
              </w:rPr>
            </w:pPr>
          </w:p>
        </w:tc>
      </w:tr>
      <w:tr>
        <w:trPr>
          <w:trHeight w:val="223"/>
        </w:trPr>
        <w:tc>
          <w:tcPr>
            <w:tcW w:w="2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Healthcare</w:t>
            </w:r>
          </w:p>
        </w:tc>
        <w:tc>
          <w:tcPr>
            <w:tcW w:w="2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400" w:type="dxa"/>
            <w:vAlign w:val="bottom"/>
          </w:tcPr>
          <w:p>
            <w:pPr>
              <w:spacing w:after="0"/>
              <w:rPr>
                <w:sz w:val="20"/>
                <w:szCs w:val="20"/>
                <w:color w:val="auto"/>
              </w:rPr>
            </w:pPr>
            <w:r>
              <w:rPr>
                <w:rFonts w:ascii="Arial" w:cs="Arial" w:eastAsia="Arial" w:hAnsi="Arial"/>
                <w:sz w:val="18"/>
                <w:szCs w:val="18"/>
                <w:color w:val="auto"/>
              </w:rPr>
              <w:t>Integrated Practice Solutions,</w:t>
            </w:r>
          </w:p>
        </w:tc>
        <w:tc>
          <w:tcPr>
            <w:tcW w:w="2580" w:type="dxa"/>
            <w:vAlign w:val="bottom"/>
          </w:tcPr>
          <w:p>
            <w:pPr>
              <w:ind w:left="160"/>
              <w:spacing w:after="0"/>
              <w:rPr>
                <w:sz w:val="20"/>
                <w:szCs w:val="20"/>
                <w:color w:val="auto"/>
              </w:rPr>
            </w:pPr>
            <w:r>
              <w:rPr>
                <w:rFonts w:ascii="Arial" w:cs="Arial" w:eastAsia="Arial" w:hAnsi="Arial"/>
                <w:sz w:val="18"/>
                <w:szCs w:val="18"/>
                <w:color w:val="auto"/>
                <w:w w:val="94"/>
              </w:rPr>
              <w:t>First-lien loan ($32,338 par, due</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6/30/2017</w:t>
            </w:r>
          </w:p>
        </w:tc>
        <w:tc>
          <w:tcPr>
            <w:tcW w:w="1080" w:type="dxa"/>
            <w:vAlign w:val="bottom"/>
          </w:tcPr>
          <w:p>
            <w:pPr>
              <w:jc w:val="right"/>
              <w:spacing w:after="0"/>
              <w:rPr>
                <w:sz w:val="20"/>
                <w:szCs w:val="20"/>
                <w:color w:val="auto"/>
              </w:rPr>
            </w:pPr>
            <w:r>
              <w:rPr>
                <w:rFonts w:ascii="Arial" w:cs="Arial" w:eastAsia="Arial" w:hAnsi="Arial"/>
                <w:sz w:val="18"/>
                <w:szCs w:val="18"/>
                <w:color w:val="auto"/>
              </w:rPr>
              <w:t>L + 8.00%</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9.57%</w:t>
            </w:r>
          </w:p>
        </w:tc>
        <w:tc>
          <w:tcPr>
            <w:tcW w:w="780" w:type="dxa"/>
            <w:vAlign w:val="bottom"/>
          </w:tcPr>
          <w:p>
            <w:pPr>
              <w:jc w:val="right"/>
              <w:spacing w:after="0"/>
              <w:rPr>
                <w:sz w:val="20"/>
                <w:szCs w:val="20"/>
                <w:color w:val="auto"/>
              </w:rPr>
            </w:pPr>
            <w:r>
              <w:rPr>
                <w:rFonts w:ascii="Arial" w:cs="Arial" w:eastAsia="Arial" w:hAnsi="Arial"/>
                <w:sz w:val="18"/>
                <w:szCs w:val="18"/>
                <w:color w:val="auto"/>
              </w:rPr>
              <w:t>31,486</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31,691</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5"/>
                <w:szCs w:val="15"/>
                <w:color w:val="auto"/>
              </w:rPr>
              <w:t>(3)(5)</w:t>
            </w:r>
          </w:p>
        </w:tc>
        <w:tc>
          <w:tcPr>
            <w:tcW w:w="2580" w:type="dxa"/>
            <w:vAlign w:val="bottom"/>
          </w:tcPr>
          <w:p>
            <w:pPr>
              <w:ind w:left="160"/>
              <w:spacing w:after="0"/>
              <w:rPr>
                <w:sz w:val="20"/>
                <w:szCs w:val="20"/>
                <w:color w:val="auto"/>
              </w:rPr>
            </w:pPr>
            <w:r>
              <w:rPr>
                <w:rFonts w:ascii="Arial" w:cs="Arial" w:eastAsia="Arial" w:hAnsi="Arial"/>
                <w:sz w:val="18"/>
                <w:szCs w:val="18"/>
                <w:color w:val="auto"/>
              </w:rPr>
              <w:t>6/2022)</w:t>
            </w: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(3)(4)</w:t>
            </w:r>
          </w:p>
        </w:tc>
        <w:tc>
          <w:tcPr>
            <w:tcW w:w="2580" w:type="dxa"/>
            <w:vAlign w:val="bottom"/>
            <w:shd w:val="clear" w:color="auto" w:fill="CFF0FC"/>
          </w:tcPr>
          <w:p>
            <w:pPr>
              <w:ind w:left="160"/>
              <w:spacing w:after="0"/>
              <w:rPr>
                <w:sz w:val="20"/>
                <w:szCs w:val="20"/>
                <w:color w:val="auto"/>
              </w:rPr>
            </w:pPr>
            <w:r>
              <w:rPr>
                <w:rFonts w:ascii="Arial" w:cs="Arial" w:eastAsia="Arial" w:hAnsi="Arial"/>
                <w:sz w:val="18"/>
                <w:szCs w:val="18"/>
                <w:color w:val="auto"/>
                <w:w w:val="94"/>
              </w:rPr>
              <w:t>First-lien loan (EUR 38,019 par,</w:t>
            </w: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9/30/2014</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E + 10.50%</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11.50%</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45,164</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47,366</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r>
      <w:tr>
        <w:trPr>
          <w:trHeight w:val="230"/>
        </w:trPr>
        <w:tc>
          <w:tcPr>
            <w:tcW w:w="2400" w:type="dxa"/>
            <w:vAlign w:val="bottom"/>
            <w:shd w:val="clear" w:color="auto" w:fill="CFF0FC"/>
          </w:tcPr>
          <w:p>
            <w:pPr>
              <w:spacing w:after="0"/>
              <w:rPr>
                <w:sz w:val="20"/>
                <w:szCs w:val="20"/>
                <w:color w:val="auto"/>
              </w:rPr>
            </w:pPr>
          </w:p>
        </w:tc>
        <w:tc>
          <w:tcPr>
            <w:tcW w:w="25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due 9/2019)</w:t>
            </w:r>
          </w:p>
        </w:tc>
        <w:tc>
          <w:tcPr>
            <w:tcW w:w="10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0"/>
              </w:rPr>
              <w:t>(EUR 39,445)</w:t>
            </w:r>
          </w:p>
        </w:tc>
        <w:tc>
          <w:tcPr>
            <w:tcW w:w="6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00" w:type="dxa"/>
            <w:vAlign w:val="bottom"/>
          </w:tcPr>
          <w:p>
            <w:pPr>
              <w:spacing w:after="0"/>
              <w:rPr>
                <w:sz w:val="18"/>
                <w:szCs w:val="18"/>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rPr>
              <w:t>First-lien revolving loan (EUR</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9/30/2014</w:t>
            </w:r>
          </w:p>
        </w:tc>
        <w:tc>
          <w:tcPr>
            <w:tcW w:w="1080" w:type="dxa"/>
            <w:vAlign w:val="bottom"/>
          </w:tcPr>
          <w:p>
            <w:pPr>
              <w:jc w:val="right"/>
              <w:spacing w:after="0"/>
              <w:rPr>
                <w:sz w:val="20"/>
                <w:szCs w:val="20"/>
                <w:color w:val="auto"/>
              </w:rPr>
            </w:pPr>
            <w:r>
              <w:rPr>
                <w:rFonts w:ascii="Arial" w:cs="Arial" w:eastAsia="Arial" w:hAnsi="Arial"/>
                <w:sz w:val="18"/>
                <w:szCs w:val="18"/>
                <w:color w:val="auto"/>
              </w:rPr>
              <w:t>E + 10.50%</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11.50%</w:t>
            </w:r>
          </w:p>
        </w:tc>
        <w:tc>
          <w:tcPr>
            <w:tcW w:w="780" w:type="dxa"/>
            <w:vAlign w:val="bottom"/>
          </w:tcPr>
          <w:p>
            <w:pPr>
              <w:jc w:val="right"/>
              <w:spacing w:after="0"/>
              <w:rPr>
                <w:sz w:val="20"/>
                <w:szCs w:val="20"/>
                <w:color w:val="auto"/>
              </w:rPr>
            </w:pPr>
            <w:r>
              <w:rPr>
                <w:rFonts w:ascii="Arial" w:cs="Arial" w:eastAsia="Arial" w:hAnsi="Arial"/>
                <w:sz w:val="18"/>
                <w:szCs w:val="18"/>
                <w:color w:val="auto"/>
              </w:rPr>
              <w:t>293</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540</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r>
      <w:tr>
        <w:trPr>
          <w:trHeight w:val="230"/>
        </w:trPr>
        <w:tc>
          <w:tcPr>
            <w:tcW w:w="2400" w:type="dxa"/>
            <w:vAlign w:val="bottom"/>
          </w:tcPr>
          <w:p>
            <w:pPr>
              <w:spacing w:after="0"/>
              <w:rPr>
                <w:sz w:val="20"/>
                <w:szCs w:val="20"/>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rPr>
              <w:t>300 par, due 9/2019)</w:t>
            </w: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(EUR 450)</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MatrixCare, Inc. </w:t>
            </w:r>
            <w:r>
              <w:rPr>
                <w:rFonts w:ascii="Arial" w:cs="Arial" w:eastAsia="Arial" w:hAnsi="Arial"/>
                <w:sz w:val="15"/>
                <w:szCs w:val="15"/>
                <w:color w:val="auto"/>
              </w:rPr>
              <w:t>(3)(5)</w:t>
            </w:r>
          </w:p>
        </w:tc>
        <w:tc>
          <w:tcPr>
            <w:tcW w:w="2580" w:type="dxa"/>
            <w:vAlign w:val="bottom"/>
            <w:shd w:val="clear" w:color="auto" w:fill="CFF0FC"/>
          </w:tcPr>
          <w:p>
            <w:pPr>
              <w:ind w:left="160"/>
              <w:spacing w:after="0"/>
              <w:rPr>
                <w:sz w:val="20"/>
                <w:szCs w:val="20"/>
                <w:color w:val="auto"/>
              </w:rPr>
            </w:pPr>
            <w:r>
              <w:rPr>
                <w:rFonts w:ascii="Arial" w:cs="Arial" w:eastAsia="Arial" w:hAnsi="Arial"/>
                <w:sz w:val="18"/>
                <w:szCs w:val="18"/>
                <w:color w:val="auto"/>
                <w:w w:val="94"/>
              </w:rPr>
              <w:t>First-lien loan ($57,305 par, due</w:t>
            </w: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7"/>
              </w:rPr>
              <w:t>12/17/2015</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+ 5.25%</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6.94%</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56,455</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58,021</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r>
      <w:tr>
        <w:trPr>
          <w:trHeight w:val="230"/>
        </w:trPr>
        <w:tc>
          <w:tcPr>
            <w:tcW w:w="2400" w:type="dxa"/>
            <w:vAlign w:val="bottom"/>
            <w:shd w:val="clear" w:color="auto" w:fill="CFF0FC"/>
          </w:tcPr>
          <w:p>
            <w:pPr>
              <w:spacing w:after="0"/>
              <w:rPr>
                <w:sz w:val="20"/>
                <w:szCs w:val="20"/>
                <w:color w:val="auto"/>
              </w:rPr>
            </w:pPr>
          </w:p>
        </w:tc>
        <w:tc>
          <w:tcPr>
            <w:tcW w:w="25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12/2021)</w:t>
            </w:r>
          </w:p>
        </w:tc>
        <w:tc>
          <w:tcPr>
            <w:tcW w:w="10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00" w:type="dxa"/>
            <w:vAlign w:val="bottom"/>
          </w:tcPr>
          <w:p>
            <w:pPr>
              <w:spacing w:after="0"/>
              <w:rPr>
                <w:sz w:val="20"/>
                <w:szCs w:val="20"/>
                <w:color w:val="auto"/>
              </w:rPr>
            </w:pPr>
            <w:r>
              <w:rPr>
                <w:rFonts w:ascii="Arial" w:cs="Arial" w:eastAsia="Arial" w:hAnsi="Arial"/>
                <w:sz w:val="18"/>
                <w:szCs w:val="18"/>
                <w:color w:val="auto"/>
              </w:rPr>
              <w:t xml:space="preserve">MedeAnalytics, Inc. </w:t>
            </w:r>
            <w:r>
              <w:rPr>
                <w:rFonts w:ascii="Arial" w:cs="Arial" w:eastAsia="Arial" w:hAnsi="Arial"/>
                <w:sz w:val="15"/>
                <w:szCs w:val="15"/>
                <w:color w:val="auto"/>
              </w:rPr>
              <w:t>(3)(5)</w:t>
            </w:r>
          </w:p>
        </w:tc>
        <w:tc>
          <w:tcPr>
            <w:tcW w:w="2580" w:type="dxa"/>
            <w:vAlign w:val="bottom"/>
          </w:tcPr>
          <w:p>
            <w:pPr>
              <w:ind w:left="160"/>
              <w:spacing w:after="0"/>
              <w:rPr>
                <w:sz w:val="20"/>
                <w:szCs w:val="20"/>
                <w:color w:val="auto"/>
              </w:rPr>
            </w:pPr>
            <w:r>
              <w:rPr>
                <w:rFonts w:ascii="Arial" w:cs="Arial" w:eastAsia="Arial" w:hAnsi="Arial"/>
                <w:sz w:val="18"/>
                <w:szCs w:val="18"/>
                <w:color w:val="auto"/>
                <w:w w:val="94"/>
              </w:rPr>
              <w:t>First-lien loan ($43,262 par, due</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9/30/2015</w:t>
            </w:r>
          </w:p>
        </w:tc>
        <w:tc>
          <w:tcPr>
            <w:tcW w:w="1080" w:type="dxa"/>
            <w:vAlign w:val="bottom"/>
          </w:tcPr>
          <w:p>
            <w:pPr>
              <w:jc w:val="right"/>
              <w:spacing w:after="0"/>
              <w:rPr>
                <w:sz w:val="20"/>
                <w:szCs w:val="20"/>
                <w:color w:val="auto"/>
              </w:rPr>
            </w:pPr>
            <w:r>
              <w:rPr>
                <w:rFonts w:ascii="Arial" w:cs="Arial" w:eastAsia="Arial" w:hAnsi="Arial"/>
                <w:sz w:val="18"/>
                <w:szCs w:val="18"/>
                <w:color w:val="auto"/>
              </w:rPr>
              <w:t>L + 8.50%</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10.19%</w:t>
            </w:r>
          </w:p>
        </w:tc>
        <w:tc>
          <w:tcPr>
            <w:tcW w:w="780" w:type="dxa"/>
            <w:vAlign w:val="bottom"/>
          </w:tcPr>
          <w:p>
            <w:pPr>
              <w:jc w:val="right"/>
              <w:spacing w:after="0"/>
              <w:rPr>
                <w:sz w:val="20"/>
                <w:szCs w:val="20"/>
                <w:color w:val="auto"/>
              </w:rPr>
            </w:pPr>
            <w:r>
              <w:rPr>
                <w:rFonts w:ascii="Arial" w:cs="Arial" w:eastAsia="Arial" w:hAnsi="Arial"/>
                <w:sz w:val="18"/>
                <w:szCs w:val="18"/>
                <w:color w:val="auto"/>
              </w:rPr>
              <w:t>42,483</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43,478</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r>
      <w:tr>
        <w:trPr>
          <w:trHeight w:val="230"/>
        </w:trPr>
        <w:tc>
          <w:tcPr>
            <w:tcW w:w="2400" w:type="dxa"/>
            <w:vAlign w:val="bottom"/>
          </w:tcPr>
          <w:p>
            <w:pPr>
              <w:spacing w:after="0"/>
              <w:rPr>
                <w:sz w:val="20"/>
                <w:szCs w:val="20"/>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rPr>
              <w:t>9/2020)</w:t>
            </w: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Quantros, Inc. </w:t>
            </w:r>
            <w:r>
              <w:rPr>
                <w:rFonts w:ascii="Arial" w:cs="Arial" w:eastAsia="Arial" w:hAnsi="Arial"/>
                <w:sz w:val="15"/>
                <w:szCs w:val="15"/>
                <w:color w:val="auto"/>
              </w:rPr>
              <w:t>(3)(5)</w:t>
            </w:r>
          </w:p>
        </w:tc>
        <w:tc>
          <w:tcPr>
            <w:tcW w:w="2580" w:type="dxa"/>
            <w:vAlign w:val="bottom"/>
            <w:shd w:val="clear" w:color="auto" w:fill="CFF0FC"/>
          </w:tcPr>
          <w:p>
            <w:pPr>
              <w:ind w:left="160"/>
              <w:spacing w:after="0"/>
              <w:rPr>
                <w:sz w:val="20"/>
                <w:szCs w:val="20"/>
                <w:color w:val="auto"/>
              </w:rPr>
            </w:pPr>
            <w:r>
              <w:rPr>
                <w:rFonts w:ascii="Arial" w:cs="Arial" w:eastAsia="Arial" w:hAnsi="Arial"/>
                <w:sz w:val="18"/>
                <w:szCs w:val="18"/>
                <w:color w:val="auto"/>
                <w:w w:val="94"/>
              </w:rPr>
              <w:t>First-lien loan ($29,475 par, due</w:t>
            </w: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2/29/2016</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+ 7.75%</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9.44%</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28,772</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30,212</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r>
      <w:tr>
        <w:trPr>
          <w:trHeight w:val="230"/>
        </w:trPr>
        <w:tc>
          <w:tcPr>
            <w:tcW w:w="2400" w:type="dxa"/>
            <w:vAlign w:val="bottom"/>
            <w:shd w:val="clear" w:color="auto" w:fill="CFF0FC"/>
          </w:tcPr>
          <w:p>
            <w:pPr>
              <w:spacing w:after="0"/>
              <w:rPr>
                <w:sz w:val="20"/>
                <w:szCs w:val="20"/>
                <w:color w:val="auto"/>
              </w:rPr>
            </w:pPr>
          </w:p>
        </w:tc>
        <w:tc>
          <w:tcPr>
            <w:tcW w:w="25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2/2021)</w:t>
            </w:r>
          </w:p>
        </w:tc>
        <w:tc>
          <w:tcPr>
            <w:tcW w:w="10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400" w:type="dxa"/>
            <w:vAlign w:val="bottom"/>
            <w:tcBorders>
              <w:bottom w:val="single" w:sz="8" w:color="CFF0FC"/>
            </w:tcBorders>
          </w:tcPr>
          <w:p>
            <w:pPr>
              <w:spacing w:after="0"/>
              <w:rPr>
                <w:sz w:val="19"/>
                <w:szCs w:val="19"/>
                <w:color w:val="auto"/>
              </w:rPr>
            </w:pPr>
          </w:p>
        </w:tc>
        <w:tc>
          <w:tcPr>
            <w:tcW w:w="258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204,653</w:t>
            </w: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211,308</w:t>
            </w:r>
          </w:p>
        </w:tc>
        <w:tc>
          <w:tcPr>
            <w:tcW w:w="22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9"/>
                <w:szCs w:val="19"/>
                <w:color w:val="auto"/>
              </w:rPr>
            </w:pPr>
          </w:p>
        </w:tc>
      </w:tr>
      <w:tr>
        <w:trPr>
          <w:trHeight w:val="223"/>
        </w:trPr>
        <w:tc>
          <w:tcPr>
            <w:tcW w:w="2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Hotel, gaming, and leisure</w:t>
            </w:r>
          </w:p>
        </w:tc>
        <w:tc>
          <w:tcPr>
            <w:tcW w:w="2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400" w:type="dxa"/>
            <w:vAlign w:val="bottom"/>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(3)(6)</w:t>
            </w:r>
          </w:p>
        </w:tc>
        <w:tc>
          <w:tcPr>
            <w:tcW w:w="2580" w:type="dxa"/>
            <w:vAlign w:val="bottom"/>
          </w:tcPr>
          <w:p>
            <w:pPr>
              <w:ind w:left="160"/>
              <w:spacing w:after="0"/>
              <w:rPr>
                <w:sz w:val="20"/>
                <w:szCs w:val="20"/>
                <w:color w:val="auto"/>
              </w:rPr>
            </w:pPr>
            <w:r>
              <w:rPr>
                <w:rFonts w:ascii="Arial" w:cs="Arial" w:eastAsia="Arial" w:hAnsi="Arial"/>
                <w:sz w:val="18"/>
                <w:szCs w:val="18"/>
                <w:color w:val="auto"/>
                <w:w w:val="94"/>
              </w:rPr>
              <w:t>First-lien loan ($22,414 par, due</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9/29/2015</w:t>
            </w:r>
          </w:p>
        </w:tc>
        <w:tc>
          <w:tcPr>
            <w:tcW w:w="1080" w:type="dxa"/>
            <w:vAlign w:val="bottom"/>
          </w:tcPr>
          <w:p>
            <w:pPr>
              <w:jc w:val="right"/>
              <w:spacing w:after="0"/>
              <w:rPr>
                <w:sz w:val="20"/>
                <w:szCs w:val="20"/>
                <w:color w:val="auto"/>
              </w:rPr>
            </w:pPr>
            <w:r>
              <w:rPr>
                <w:rFonts w:ascii="Arial" w:cs="Arial" w:eastAsia="Arial" w:hAnsi="Arial"/>
                <w:sz w:val="18"/>
                <w:szCs w:val="18"/>
                <w:color w:val="auto"/>
              </w:rPr>
              <w:t>L + 9.50%</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11.19%</w:t>
            </w:r>
          </w:p>
        </w:tc>
        <w:tc>
          <w:tcPr>
            <w:tcW w:w="780" w:type="dxa"/>
            <w:vAlign w:val="bottom"/>
          </w:tcPr>
          <w:p>
            <w:pPr>
              <w:jc w:val="right"/>
              <w:spacing w:after="0"/>
              <w:rPr>
                <w:sz w:val="20"/>
                <w:szCs w:val="20"/>
                <w:color w:val="auto"/>
              </w:rPr>
            </w:pPr>
            <w:r>
              <w:rPr>
                <w:rFonts w:ascii="Arial" w:cs="Arial" w:eastAsia="Arial" w:hAnsi="Arial"/>
                <w:sz w:val="18"/>
                <w:szCs w:val="18"/>
                <w:color w:val="auto"/>
              </w:rPr>
              <w:t>22,414</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17,596</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rPr>
              <w:t>9/2019)</w:t>
            </w: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(incl. 5.00%</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PIK)</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00" w:type="dxa"/>
            <w:vAlign w:val="bottom"/>
            <w:shd w:val="clear" w:color="auto" w:fill="CFF0FC"/>
          </w:tcPr>
          <w:p>
            <w:pPr>
              <w:spacing w:after="0"/>
              <w:rPr>
                <w:sz w:val="18"/>
                <w:szCs w:val="18"/>
                <w:color w:val="auto"/>
              </w:rPr>
            </w:pPr>
          </w:p>
        </w:tc>
        <w:tc>
          <w:tcPr>
            <w:tcW w:w="25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First-lien revolving loan</w:t>
            </w: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9/29/2015</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+ 9.50%</w:t>
            </w:r>
          </w:p>
        </w:tc>
        <w:tc>
          <w:tcPr>
            <w:tcW w:w="12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11.06%</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21,665</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17,007</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16"/>
        </w:trPr>
        <w:tc>
          <w:tcPr>
            <w:tcW w:w="2400" w:type="dxa"/>
            <w:vAlign w:val="bottom"/>
            <w:shd w:val="clear" w:color="auto" w:fill="CFF0FC"/>
          </w:tcPr>
          <w:p>
            <w:pPr>
              <w:spacing w:after="0"/>
              <w:rPr>
                <w:sz w:val="18"/>
                <w:szCs w:val="18"/>
                <w:color w:val="auto"/>
              </w:rPr>
            </w:pPr>
          </w:p>
        </w:tc>
        <w:tc>
          <w:tcPr>
            <w:tcW w:w="25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($21,665 par, due 9/2019)</w:t>
            </w:r>
          </w:p>
        </w:tc>
        <w:tc>
          <w:tcPr>
            <w:tcW w:w="1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(incl. 5.00%</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00" w:type="dxa"/>
            <w:vAlign w:val="bottom"/>
            <w:shd w:val="clear" w:color="auto" w:fill="CFF0FC"/>
          </w:tcPr>
          <w:p>
            <w:pPr>
              <w:spacing w:after="0"/>
              <w:rPr>
                <w:sz w:val="20"/>
                <w:szCs w:val="20"/>
                <w:color w:val="auto"/>
              </w:rPr>
            </w:pPr>
          </w:p>
        </w:tc>
        <w:tc>
          <w:tcPr>
            <w:tcW w:w="25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PIK)</w:t>
            </w:r>
          </w:p>
        </w:tc>
        <w:tc>
          <w:tcPr>
            <w:tcW w:w="78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400" w:type="dxa"/>
            <w:vAlign w:val="bottom"/>
            <w:tcBorders>
              <w:bottom w:val="single" w:sz="8" w:color="CFF0FC"/>
            </w:tcBorders>
          </w:tcPr>
          <w:p>
            <w:pPr>
              <w:spacing w:after="0"/>
              <w:rPr>
                <w:sz w:val="19"/>
                <w:szCs w:val="19"/>
                <w:color w:val="auto"/>
              </w:rPr>
            </w:pPr>
          </w:p>
        </w:tc>
        <w:tc>
          <w:tcPr>
            <w:tcW w:w="258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44,079</w:t>
            </w: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34,603</w:t>
            </w:r>
          </w:p>
        </w:tc>
        <w:tc>
          <w:tcPr>
            <w:tcW w:w="22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9"/>
                <w:szCs w:val="19"/>
                <w:color w:val="auto"/>
              </w:rPr>
            </w:pPr>
          </w:p>
        </w:tc>
      </w:tr>
      <w:tr>
        <w:trPr>
          <w:trHeight w:val="223"/>
        </w:trPr>
        <w:tc>
          <w:tcPr>
            <w:tcW w:w="2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Insurance</w:t>
            </w:r>
          </w:p>
        </w:tc>
        <w:tc>
          <w:tcPr>
            <w:tcW w:w="2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400" w:type="dxa"/>
            <w:vAlign w:val="bottom"/>
          </w:tcPr>
          <w:p>
            <w:pPr>
              <w:spacing w:after="0"/>
              <w:rPr>
                <w:sz w:val="20"/>
                <w:szCs w:val="20"/>
                <w:color w:val="auto"/>
              </w:rPr>
            </w:pPr>
            <w:r>
              <w:rPr>
                <w:rFonts w:ascii="Arial" w:cs="Arial" w:eastAsia="Arial" w:hAnsi="Arial"/>
                <w:sz w:val="18"/>
                <w:szCs w:val="18"/>
                <w:color w:val="auto"/>
              </w:rPr>
              <w:t xml:space="preserve">Insurity, Inc. </w:t>
            </w:r>
            <w:r>
              <w:rPr>
                <w:rFonts w:ascii="Arial" w:cs="Arial" w:eastAsia="Arial" w:hAnsi="Arial"/>
                <w:sz w:val="15"/>
                <w:szCs w:val="15"/>
                <w:color w:val="auto"/>
              </w:rPr>
              <w:t>(3)(5)</w:t>
            </w:r>
          </w:p>
        </w:tc>
        <w:tc>
          <w:tcPr>
            <w:tcW w:w="2580" w:type="dxa"/>
            <w:vAlign w:val="bottom"/>
          </w:tcPr>
          <w:p>
            <w:pPr>
              <w:ind w:left="160"/>
              <w:spacing w:after="0"/>
              <w:rPr>
                <w:sz w:val="20"/>
                <w:szCs w:val="20"/>
                <w:color w:val="auto"/>
              </w:rPr>
            </w:pPr>
            <w:r>
              <w:rPr>
                <w:rFonts w:ascii="Arial" w:cs="Arial" w:eastAsia="Arial" w:hAnsi="Arial"/>
                <w:sz w:val="18"/>
                <w:szCs w:val="18"/>
                <w:color w:val="auto"/>
                <w:w w:val="94"/>
              </w:rPr>
              <w:t>First-lien loan ($63,321 par, due</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7"/>
              </w:rPr>
              <w:t>10/31/2014</w:t>
            </w:r>
          </w:p>
        </w:tc>
        <w:tc>
          <w:tcPr>
            <w:tcW w:w="1080" w:type="dxa"/>
            <w:vAlign w:val="bottom"/>
          </w:tcPr>
          <w:p>
            <w:pPr>
              <w:jc w:val="right"/>
              <w:spacing w:after="0"/>
              <w:rPr>
                <w:sz w:val="20"/>
                <w:szCs w:val="20"/>
                <w:color w:val="auto"/>
              </w:rPr>
            </w:pPr>
            <w:r>
              <w:rPr>
                <w:rFonts w:ascii="Arial" w:cs="Arial" w:eastAsia="Arial" w:hAnsi="Arial"/>
                <w:sz w:val="18"/>
                <w:szCs w:val="18"/>
                <w:color w:val="auto"/>
              </w:rPr>
              <w:t>L + 6.50%</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8.25%</w:t>
            </w:r>
          </w:p>
        </w:tc>
        <w:tc>
          <w:tcPr>
            <w:tcW w:w="780" w:type="dxa"/>
            <w:vAlign w:val="bottom"/>
          </w:tcPr>
          <w:p>
            <w:pPr>
              <w:jc w:val="right"/>
              <w:spacing w:after="0"/>
              <w:rPr>
                <w:sz w:val="20"/>
                <w:szCs w:val="20"/>
                <w:color w:val="auto"/>
              </w:rPr>
            </w:pPr>
            <w:r>
              <w:rPr>
                <w:rFonts w:ascii="Arial" w:cs="Arial" w:eastAsia="Arial" w:hAnsi="Arial"/>
                <w:sz w:val="18"/>
                <w:szCs w:val="18"/>
                <w:color w:val="auto"/>
              </w:rPr>
              <w:t>62,899</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64,904</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r>
      <w:tr>
        <w:trPr>
          <w:trHeight w:val="230"/>
        </w:trPr>
        <w:tc>
          <w:tcPr>
            <w:tcW w:w="2400" w:type="dxa"/>
            <w:vAlign w:val="bottom"/>
          </w:tcPr>
          <w:p>
            <w:pPr>
              <w:spacing w:after="0"/>
              <w:rPr>
                <w:sz w:val="20"/>
                <w:szCs w:val="20"/>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rPr>
              <w:t>10/2020)</w:t>
            </w: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Riskonnect, Inc. </w:t>
            </w:r>
            <w:r>
              <w:rPr>
                <w:rFonts w:ascii="Arial" w:cs="Arial" w:eastAsia="Arial" w:hAnsi="Arial"/>
                <w:sz w:val="15"/>
                <w:szCs w:val="15"/>
                <w:color w:val="auto"/>
              </w:rPr>
              <w:t>(3)</w:t>
            </w:r>
          </w:p>
        </w:tc>
        <w:tc>
          <w:tcPr>
            <w:tcW w:w="2580" w:type="dxa"/>
            <w:vAlign w:val="bottom"/>
            <w:shd w:val="clear" w:color="auto" w:fill="CFF0FC"/>
          </w:tcPr>
          <w:p>
            <w:pPr>
              <w:ind w:left="160"/>
              <w:spacing w:after="0"/>
              <w:rPr>
                <w:sz w:val="20"/>
                <w:szCs w:val="20"/>
                <w:color w:val="auto"/>
              </w:rPr>
            </w:pPr>
            <w:r>
              <w:rPr>
                <w:rFonts w:ascii="Arial" w:cs="Arial" w:eastAsia="Arial" w:hAnsi="Arial"/>
                <w:sz w:val="18"/>
                <w:szCs w:val="18"/>
                <w:color w:val="auto"/>
                <w:w w:val="94"/>
              </w:rPr>
              <w:t>First-lien loan ($42,800 par, due</w:t>
            </w: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6/30/2017</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+ 7.75%</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9.50%</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41,920</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42,203</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r>
      <w:tr>
        <w:trPr>
          <w:trHeight w:val="230"/>
        </w:trPr>
        <w:tc>
          <w:tcPr>
            <w:tcW w:w="2400" w:type="dxa"/>
            <w:vAlign w:val="bottom"/>
            <w:shd w:val="clear" w:color="auto" w:fill="CFF0FC"/>
          </w:tcPr>
          <w:p>
            <w:pPr>
              <w:spacing w:after="0"/>
              <w:rPr>
                <w:sz w:val="20"/>
                <w:szCs w:val="20"/>
                <w:color w:val="auto"/>
              </w:rPr>
            </w:pPr>
          </w:p>
        </w:tc>
        <w:tc>
          <w:tcPr>
            <w:tcW w:w="25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6/2022)</w:t>
            </w:r>
          </w:p>
        </w:tc>
        <w:tc>
          <w:tcPr>
            <w:tcW w:w="10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4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104,819</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107,107</w:t>
            </w:r>
          </w:p>
        </w:tc>
        <w:tc>
          <w:tcPr>
            <w:tcW w:w="2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9"/>
                <w:szCs w:val="19"/>
                <w:color w:val="auto"/>
              </w:rPr>
            </w:pPr>
          </w:p>
        </w:tc>
      </w:tr>
      <w:tr>
        <w:trPr>
          <w:trHeight w:val="223"/>
        </w:trPr>
        <w:tc>
          <w:tcPr>
            <w:tcW w:w="2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Internet services</w:t>
            </w:r>
          </w:p>
        </w:tc>
        <w:tc>
          <w:tcPr>
            <w:tcW w:w="25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400" w:type="dxa"/>
            <w:vAlign w:val="bottom"/>
          </w:tcPr>
          <w:p>
            <w:pPr>
              <w:spacing w:after="0"/>
              <w:rPr>
                <w:sz w:val="20"/>
                <w:szCs w:val="20"/>
                <w:color w:val="auto"/>
              </w:rPr>
            </w:pPr>
            <w:r>
              <w:rPr>
                <w:rFonts w:ascii="Arial" w:cs="Arial" w:eastAsia="Arial" w:hAnsi="Arial"/>
                <w:sz w:val="18"/>
                <w:szCs w:val="18"/>
                <w:color w:val="auto"/>
              </w:rPr>
              <w:t xml:space="preserve">Lithium Technologies, LLC </w:t>
            </w:r>
            <w:r>
              <w:rPr>
                <w:rFonts w:ascii="Arial" w:cs="Arial" w:eastAsia="Arial" w:hAnsi="Arial"/>
                <w:sz w:val="15"/>
                <w:szCs w:val="15"/>
                <w:color w:val="auto"/>
              </w:rPr>
              <w:t>(3)</w:t>
            </w:r>
          </w:p>
        </w:tc>
        <w:tc>
          <w:tcPr>
            <w:tcW w:w="2580" w:type="dxa"/>
            <w:vAlign w:val="bottom"/>
          </w:tcPr>
          <w:p>
            <w:pPr>
              <w:ind w:left="160"/>
              <w:spacing w:after="0"/>
              <w:rPr>
                <w:sz w:val="20"/>
                <w:szCs w:val="20"/>
                <w:color w:val="auto"/>
              </w:rPr>
            </w:pPr>
            <w:r>
              <w:rPr>
                <w:rFonts w:ascii="Arial" w:cs="Arial" w:eastAsia="Arial" w:hAnsi="Arial"/>
                <w:sz w:val="18"/>
                <w:szCs w:val="18"/>
                <w:color w:val="auto"/>
                <w:w w:val="94"/>
              </w:rPr>
              <w:t>First-lien loan ($50,000 par, due</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10/3/2017</w:t>
            </w:r>
          </w:p>
        </w:tc>
        <w:tc>
          <w:tcPr>
            <w:tcW w:w="1080" w:type="dxa"/>
            <w:vAlign w:val="bottom"/>
          </w:tcPr>
          <w:p>
            <w:pPr>
              <w:jc w:val="right"/>
              <w:spacing w:after="0"/>
              <w:rPr>
                <w:sz w:val="20"/>
                <w:szCs w:val="20"/>
                <w:color w:val="auto"/>
              </w:rPr>
            </w:pPr>
            <w:r>
              <w:rPr>
                <w:rFonts w:ascii="Arial" w:cs="Arial" w:eastAsia="Arial" w:hAnsi="Arial"/>
                <w:sz w:val="18"/>
                <w:szCs w:val="18"/>
                <w:color w:val="auto"/>
              </w:rPr>
              <w:t>L + 8.00%</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9.39%</w:t>
            </w:r>
          </w:p>
        </w:tc>
        <w:tc>
          <w:tcPr>
            <w:tcW w:w="780" w:type="dxa"/>
            <w:vAlign w:val="bottom"/>
          </w:tcPr>
          <w:p>
            <w:pPr>
              <w:jc w:val="right"/>
              <w:spacing w:after="0"/>
              <w:rPr>
                <w:sz w:val="20"/>
                <w:szCs w:val="20"/>
                <w:color w:val="auto"/>
              </w:rPr>
            </w:pPr>
            <w:r>
              <w:rPr>
                <w:rFonts w:ascii="Arial" w:cs="Arial" w:eastAsia="Arial" w:hAnsi="Arial"/>
                <w:sz w:val="18"/>
                <w:szCs w:val="18"/>
                <w:color w:val="auto"/>
              </w:rPr>
              <w:t>48,840</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48,927</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r>
      <w:tr>
        <w:trPr>
          <w:trHeight w:val="230"/>
        </w:trPr>
        <w:tc>
          <w:tcPr>
            <w:tcW w:w="2400" w:type="dxa"/>
            <w:vAlign w:val="bottom"/>
          </w:tcPr>
          <w:p>
            <w:pPr>
              <w:spacing w:after="0"/>
              <w:rPr>
                <w:sz w:val="20"/>
                <w:szCs w:val="20"/>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rPr>
              <w:t>10/2022)</w:t>
            </w: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Manufacturing</w:t>
            </w:r>
          </w:p>
        </w:tc>
        <w:tc>
          <w:tcPr>
            <w:tcW w:w="2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400" w:type="dxa"/>
            <w:vAlign w:val="bottom"/>
          </w:tcPr>
          <w:p>
            <w:pPr>
              <w:spacing w:after="0"/>
              <w:rPr>
                <w:sz w:val="20"/>
                <w:szCs w:val="20"/>
                <w:color w:val="auto"/>
              </w:rPr>
            </w:pPr>
            <w:r>
              <w:rPr>
                <w:rFonts w:ascii="Arial" w:cs="Arial" w:eastAsia="Arial" w:hAnsi="Arial"/>
                <w:sz w:val="18"/>
                <w:szCs w:val="18"/>
                <w:color w:val="auto"/>
              </w:rPr>
              <w:t xml:space="preserve">Industrial Physics, LLC </w:t>
            </w:r>
            <w:r>
              <w:rPr>
                <w:rFonts w:ascii="Arial" w:cs="Arial" w:eastAsia="Arial" w:hAnsi="Arial"/>
                <w:sz w:val="15"/>
                <w:szCs w:val="15"/>
                <w:color w:val="auto"/>
              </w:rPr>
              <w:t>(3)</w:t>
            </w:r>
          </w:p>
        </w:tc>
        <w:tc>
          <w:tcPr>
            <w:tcW w:w="2580" w:type="dxa"/>
            <w:vAlign w:val="bottom"/>
          </w:tcPr>
          <w:p>
            <w:pPr>
              <w:ind w:left="160"/>
              <w:spacing w:after="0"/>
              <w:rPr>
                <w:sz w:val="20"/>
                <w:szCs w:val="20"/>
                <w:color w:val="auto"/>
              </w:rPr>
            </w:pPr>
            <w:r>
              <w:rPr>
                <w:rFonts w:ascii="Arial" w:cs="Arial" w:eastAsia="Arial" w:hAnsi="Arial"/>
                <w:sz w:val="18"/>
                <w:szCs w:val="18"/>
                <w:color w:val="auto"/>
                <w:w w:val="97"/>
              </w:rPr>
              <w:t>First-lien loan ($9,975 par, due</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7"/>
              </w:rPr>
              <w:t>10/23/2017</w:t>
            </w:r>
          </w:p>
        </w:tc>
        <w:tc>
          <w:tcPr>
            <w:tcW w:w="1080" w:type="dxa"/>
            <w:vAlign w:val="bottom"/>
          </w:tcPr>
          <w:p>
            <w:pPr>
              <w:jc w:val="right"/>
              <w:spacing w:after="0"/>
              <w:rPr>
                <w:sz w:val="20"/>
                <w:szCs w:val="20"/>
                <w:color w:val="auto"/>
              </w:rPr>
            </w:pPr>
            <w:r>
              <w:rPr>
                <w:rFonts w:ascii="Arial" w:cs="Arial" w:eastAsia="Arial" w:hAnsi="Arial"/>
                <w:sz w:val="18"/>
                <w:szCs w:val="18"/>
                <w:color w:val="auto"/>
              </w:rPr>
              <w:t>L + 7.00%</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8.55%</w:t>
            </w:r>
          </w:p>
        </w:tc>
        <w:tc>
          <w:tcPr>
            <w:tcW w:w="780" w:type="dxa"/>
            <w:vAlign w:val="bottom"/>
          </w:tcPr>
          <w:p>
            <w:pPr>
              <w:jc w:val="right"/>
              <w:spacing w:after="0"/>
              <w:rPr>
                <w:sz w:val="20"/>
                <w:szCs w:val="20"/>
                <w:color w:val="auto"/>
              </w:rPr>
            </w:pPr>
            <w:r>
              <w:rPr>
                <w:rFonts w:ascii="Arial" w:cs="Arial" w:eastAsia="Arial" w:hAnsi="Arial"/>
                <w:sz w:val="18"/>
                <w:szCs w:val="18"/>
                <w:color w:val="auto"/>
              </w:rPr>
              <w:t>9,686</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9,750</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r>
      <w:tr>
        <w:trPr>
          <w:trHeight w:val="230"/>
        </w:trPr>
        <w:tc>
          <w:tcPr>
            <w:tcW w:w="2400" w:type="dxa"/>
            <w:vAlign w:val="bottom"/>
          </w:tcPr>
          <w:p>
            <w:pPr>
              <w:spacing w:after="0"/>
              <w:rPr>
                <w:sz w:val="20"/>
                <w:szCs w:val="20"/>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rPr>
              <w:t>10/2022)</w:t>
            </w: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00" w:type="dxa"/>
            <w:vAlign w:val="bottom"/>
            <w:shd w:val="clear" w:color="auto" w:fill="CFF0FC"/>
          </w:tcPr>
          <w:p>
            <w:pPr>
              <w:spacing w:after="0"/>
              <w:rPr>
                <w:sz w:val="18"/>
                <w:szCs w:val="18"/>
                <w:color w:val="auto"/>
              </w:rPr>
            </w:pPr>
          </w:p>
        </w:tc>
        <w:tc>
          <w:tcPr>
            <w:tcW w:w="2580" w:type="dxa"/>
            <w:vAlign w:val="bottom"/>
            <w:shd w:val="clear" w:color="auto" w:fill="CFF0FC"/>
          </w:tcPr>
          <w:p>
            <w:pPr>
              <w:ind w:left="160"/>
              <w:spacing w:after="0"/>
              <w:rPr>
                <w:sz w:val="20"/>
                <w:szCs w:val="20"/>
                <w:color w:val="auto"/>
              </w:rPr>
            </w:pPr>
            <w:r>
              <w:rPr>
                <w:rFonts w:ascii="Arial" w:cs="Arial" w:eastAsia="Arial" w:hAnsi="Arial"/>
                <w:sz w:val="18"/>
                <w:szCs w:val="18"/>
                <w:color w:val="auto"/>
                <w:w w:val="94"/>
              </w:rPr>
              <w:t>First-lien loan (EUR 21,065 par,</w:t>
            </w: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7"/>
              </w:rPr>
              <w:t>10/23/2017</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E + 7.00%</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8.00%</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24,260</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24,915</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r>
      <w:tr>
        <w:trPr>
          <w:trHeight w:val="216"/>
        </w:trPr>
        <w:tc>
          <w:tcPr>
            <w:tcW w:w="2400" w:type="dxa"/>
            <w:vAlign w:val="bottom"/>
            <w:shd w:val="clear" w:color="auto" w:fill="CFF0FC"/>
          </w:tcPr>
          <w:p>
            <w:pPr>
              <w:spacing w:after="0"/>
              <w:rPr>
                <w:sz w:val="18"/>
                <w:szCs w:val="18"/>
                <w:color w:val="auto"/>
              </w:rPr>
            </w:pPr>
          </w:p>
        </w:tc>
        <w:tc>
          <w:tcPr>
            <w:tcW w:w="25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due 10/2022)</w:t>
            </w:r>
          </w:p>
        </w:tc>
        <w:tc>
          <w:tcPr>
            <w:tcW w:w="10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(EUR</w:t>
            </w: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00" w:type="dxa"/>
            <w:vAlign w:val="bottom"/>
            <w:shd w:val="clear" w:color="auto" w:fill="CFF0FC"/>
          </w:tcPr>
          <w:p>
            <w:pPr>
              <w:spacing w:after="0"/>
              <w:rPr>
                <w:sz w:val="20"/>
                <w:szCs w:val="20"/>
                <w:color w:val="auto"/>
              </w:rPr>
            </w:pPr>
          </w:p>
        </w:tc>
        <w:tc>
          <w:tcPr>
            <w:tcW w:w="25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20,749)</w:t>
            </w:r>
          </w:p>
        </w:tc>
        <w:tc>
          <w:tcPr>
            <w:tcW w:w="2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00" w:type="dxa"/>
            <w:vAlign w:val="bottom"/>
          </w:tcPr>
          <w:p>
            <w:pPr>
              <w:spacing w:after="0"/>
              <w:rPr>
                <w:sz w:val="20"/>
                <w:szCs w:val="20"/>
                <w:color w:val="auto"/>
              </w:rPr>
            </w:pPr>
            <w:r>
              <w:rPr>
                <w:rFonts w:ascii="Arial" w:cs="Arial" w:eastAsia="Arial" w:hAnsi="Arial"/>
                <w:sz w:val="18"/>
                <w:szCs w:val="18"/>
                <w:color w:val="auto"/>
                <w:w w:val="98"/>
              </w:rPr>
              <w:t xml:space="preserve">ScentAir Technologies, Inc. </w:t>
            </w:r>
            <w:r>
              <w:rPr>
                <w:rFonts w:ascii="Arial" w:cs="Arial" w:eastAsia="Arial" w:hAnsi="Arial"/>
                <w:sz w:val="15"/>
                <w:szCs w:val="15"/>
                <w:color w:val="auto"/>
                <w:w w:val="98"/>
              </w:rPr>
              <w:t>(3)</w:t>
            </w:r>
          </w:p>
        </w:tc>
        <w:tc>
          <w:tcPr>
            <w:tcW w:w="2580" w:type="dxa"/>
            <w:vAlign w:val="bottom"/>
          </w:tcPr>
          <w:p>
            <w:pPr>
              <w:ind w:left="160"/>
              <w:spacing w:after="0"/>
              <w:rPr>
                <w:sz w:val="20"/>
                <w:szCs w:val="20"/>
                <w:color w:val="auto"/>
              </w:rPr>
            </w:pPr>
            <w:r>
              <w:rPr>
                <w:rFonts w:ascii="Arial" w:cs="Arial" w:eastAsia="Arial" w:hAnsi="Arial"/>
                <w:sz w:val="18"/>
                <w:szCs w:val="18"/>
                <w:color w:val="auto"/>
                <w:w w:val="94"/>
              </w:rPr>
              <w:t>First-lien loan ($19,986 par, due</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7"/>
              </w:rPr>
              <w:t>12/30/2014</w:t>
            </w:r>
          </w:p>
        </w:tc>
        <w:tc>
          <w:tcPr>
            <w:tcW w:w="1080" w:type="dxa"/>
            <w:vAlign w:val="bottom"/>
          </w:tcPr>
          <w:p>
            <w:pPr>
              <w:jc w:val="right"/>
              <w:spacing w:after="0"/>
              <w:rPr>
                <w:sz w:val="20"/>
                <w:szCs w:val="20"/>
                <w:color w:val="auto"/>
              </w:rPr>
            </w:pPr>
            <w:r>
              <w:rPr>
                <w:rFonts w:ascii="Arial" w:cs="Arial" w:eastAsia="Arial" w:hAnsi="Arial"/>
                <w:sz w:val="18"/>
                <w:szCs w:val="18"/>
                <w:color w:val="auto"/>
              </w:rPr>
              <w:t>L + 7.00%</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8.57%</w:t>
            </w:r>
          </w:p>
        </w:tc>
        <w:tc>
          <w:tcPr>
            <w:tcW w:w="780" w:type="dxa"/>
            <w:vAlign w:val="bottom"/>
          </w:tcPr>
          <w:p>
            <w:pPr>
              <w:jc w:val="right"/>
              <w:spacing w:after="0"/>
              <w:rPr>
                <w:sz w:val="20"/>
                <w:szCs w:val="20"/>
                <w:color w:val="auto"/>
              </w:rPr>
            </w:pPr>
            <w:r>
              <w:rPr>
                <w:rFonts w:ascii="Arial" w:cs="Arial" w:eastAsia="Arial" w:hAnsi="Arial"/>
                <w:sz w:val="18"/>
                <w:szCs w:val="18"/>
                <w:color w:val="auto"/>
              </w:rPr>
              <w:t>19,816</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20,086</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r>
      <w:tr>
        <w:trPr>
          <w:trHeight w:val="230"/>
        </w:trPr>
        <w:tc>
          <w:tcPr>
            <w:tcW w:w="2400" w:type="dxa"/>
            <w:vAlign w:val="bottom"/>
          </w:tcPr>
          <w:p>
            <w:pPr>
              <w:spacing w:after="0"/>
              <w:rPr>
                <w:sz w:val="20"/>
                <w:szCs w:val="20"/>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rPr>
              <w:t>12/2019)</w:t>
            </w: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00" w:type="dxa"/>
            <w:vAlign w:val="bottom"/>
            <w:shd w:val="clear" w:color="auto" w:fill="CFF0FC"/>
          </w:tcPr>
          <w:p>
            <w:pPr>
              <w:spacing w:after="0"/>
              <w:rPr>
                <w:sz w:val="18"/>
                <w:szCs w:val="18"/>
                <w:color w:val="auto"/>
              </w:rPr>
            </w:pPr>
          </w:p>
        </w:tc>
        <w:tc>
          <w:tcPr>
            <w:tcW w:w="2580" w:type="dxa"/>
            <w:vAlign w:val="bottom"/>
            <w:shd w:val="clear" w:color="auto" w:fill="CFF0FC"/>
          </w:tcPr>
          <w:p>
            <w:pPr>
              <w:ind w:left="160"/>
              <w:spacing w:after="0"/>
              <w:rPr>
                <w:sz w:val="20"/>
                <w:szCs w:val="20"/>
                <w:color w:val="auto"/>
              </w:rPr>
            </w:pPr>
            <w:r>
              <w:rPr>
                <w:rFonts w:ascii="Arial" w:cs="Arial" w:eastAsia="Arial" w:hAnsi="Arial"/>
                <w:sz w:val="18"/>
                <w:szCs w:val="18"/>
                <w:color w:val="auto"/>
                <w:w w:val="95"/>
              </w:rPr>
              <w:t>First-lien revolving loan ($1,393</w:t>
            </w: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7"/>
              </w:rPr>
              <w:t>12/30/2014</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L + 7.00%</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8.57%</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1,377</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1,404</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r>
      <w:tr>
        <w:trPr>
          <w:trHeight w:val="230"/>
        </w:trPr>
        <w:tc>
          <w:tcPr>
            <w:tcW w:w="2400" w:type="dxa"/>
            <w:vAlign w:val="bottom"/>
            <w:shd w:val="clear" w:color="auto" w:fill="CFF0FC"/>
          </w:tcPr>
          <w:p>
            <w:pPr>
              <w:spacing w:after="0"/>
              <w:rPr>
                <w:sz w:val="20"/>
                <w:szCs w:val="20"/>
                <w:color w:val="auto"/>
              </w:rPr>
            </w:pPr>
          </w:p>
        </w:tc>
        <w:tc>
          <w:tcPr>
            <w:tcW w:w="25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par, due 12/2019)</w:t>
            </w:r>
          </w:p>
        </w:tc>
        <w:tc>
          <w:tcPr>
            <w:tcW w:w="10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4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55,139</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56,155</w:t>
            </w:r>
          </w:p>
        </w:tc>
        <w:tc>
          <w:tcPr>
            <w:tcW w:w="2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r>
      <w:tr>
        <w:trPr>
          <w:trHeight w:val="223"/>
        </w:trPr>
        <w:tc>
          <w:tcPr>
            <w:tcW w:w="2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Marketing services</w:t>
            </w:r>
          </w:p>
        </w:tc>
        <w:tc>
          <w:tcPr>
            <w:tcW w:w="25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400" w:type="dxa"/>
            <w:vAlign w:val="bottom"/>
          </w:tcPr>
          <w:p>
            <w:pPr>
              <w:spacing w:after="0"/>
              <w:rPr>
                <w:sz w:val="20"/>
                <w:szCs w:val="20"/>
                <w:color w:val="auto"/>
              </w:rPr>
            </w:pPr>
            <w:r>
              <w:rPr>
                <w:rFonts w:ascii="Arial" w:cs="Arial" w:eastAsia="Arial" w:hAnsi="Arial"/>
                <w:sz w:val="18"/>
                <w:szCs w:val="18"/>
                <w:color w:val="auto"/>
              </w:rPr>
              <w:t xml:space="preserve">Marketo, Inc. </w:t>
            </w:r>
            <w:r>
              <w:rPr>
                <w:rFonts w:ascii="Arial" w:cs="Arial" w:eastAsia="Arial" w:hAnsi="Arial"/>
                <w:sz w:val="15"/>
                <w:szCs w:val="15"/>
                <w:color w:val="auto"/>
              </w:rPr>
              <w:t>(3)</w:t>
            </w:r>
          </w:p>
        </w:tc>
        <w:tc>
          <w:tcPr>
            <w:tcW w:w="2580" w:type="dxa"/>
            <w:vAlign w:val="bottom"/>
          </w:tcPr>
          <w:p>
            <w:pPr>
              <w:ind w:left="160"/>
              <w:spacing w:after="0"/>
              <w:rPr>
                <w:sz w:val="20"/>
                <w:szCs w:val="20"/>
                <w:color w:val="auto"/>
              </w:rPr>
            </w:pPr>
            <w:r>
              <w:rPr>
                <w:rFonts w:ascii="Arial" w:cs="Arial" w:eastAsia="Arial" w:hAnsi="Arial"/>
                <w:sz w:val="18"/>
                <w:szCs w:val="18"/>
                <w:color w:val="auto"/>
                <w:w w:val="94"/>
              </w:rPr>
              <w:t>First-lien loan ($28,125 par, due</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8/16/2016</w:t>
            </w:r>
          </w:p>
        </w:tc>
        <w:tc>
          <w:tcPr>
            <w:tcW w:w="1080" w:type="dxa"/>
            <w:vAlign w:val="bottom"/>
          </w:tcPr>
          <w:p>
            <w:pPr>
              <w:jc w:val="right"/>
              <w:spacing w:after="0"/>
              <w:rPr>
                <w:sz w:val="20"/>
                <w:szCs w:val="20"/>
                <w:color w:val="auto"/>
              </w:rPr>
            </w:pPr>
            <w:r>
              <w:rPr>
                <w:rFonts w:ascii="Arial" w:cs="Arial" w:eastAsia="Arial" w:hAnsi="Arial"/>
                <w:sz w:val="18"/>
                <w:szCs w:val="18"/>
                <w:color w:val="auto"/>
              </w:rPr>
              <w:t>L + 9.50%</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11.19%</w:t>
            </w:r>
          </w:p>
        </w:tc>
        <w:tc>
          <w:tcPr>
            <w:tcW w:w="780" w:type="dxa"/>
            <w:vAlign w:val="bottom"/>
          </w:tcPr>
          <w:p>
            <w:pPr>
              <w:jc w:val="right"/>
              <w:spacing w:after="0"/>
              <w:rPr>
                <w:sz w:val="20"/>
                <w:szCs w:val="20"/>
                <w:color w:val="auto"/>
              </w:rPr>
            </w:pPr>
            <w:r>
              <w:rPr>
                <w:rFonts w:ascii="Arial" w:cs="Arial" w:eastAsia="Arial" w:hAnsi="Arial"/>
                <w:sz w:val="18"/>
                <w:szCs w:val="18"/>
                <w:color w:val="auto"/>
              </w:rPr>
              <w:t>27,428</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29,025</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r>
      <w:tr>
        <w:trPr>
          <w:trHeight w:val="230"/>
        </w:trPr>
        <w:tc>
          <w:tcPr>
            <w:tcW w:w="2400" w:type="dxa"/>
            <w:vAlign w:val="bottom"/>
          </w:tcPr>
          <w:p>
            <w:pPr>
              <w:spacing w:after="0"/>
              <w:rPr>
                <w:sz w:val="20"/>
                <w:szCs w:val="20"/>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rPr>
              <w:t>8/2021)</w:t>
            </w: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Vivial Inc.</w:t>
            </w:r>
            <w:r>
              <w:rPr>
                <w:rFonts w:ascii="Arial" w:cs="Arial" w:eastAsia="Arial" w:hAnsi="Arial"/>
                <w:sz w:val="15"/>
                <w:szCs w:val="15"/>
                <w:color w:val="auto"/>
              </w:rPr>
              <w:t>(3)</w:t>
            </w:r>
          </w:p>
        </w:tc>
        <w:tc>
          <w:tcPr>
            <w:tcW w:w="2580" w:type="dxa"/>
            <w:vAlign w:val="bottom"/>
            <w:shd w:val="clear" w:color="auto" w:fill="CFF0FC"/>
          </w:tcPr>
          <w:p>
            <w:pPr>
              <w:ind w:left="160"/>
              <w:spacing w:after="0"/>
              <w:rPr>
                <w:sz w:val="20"/>
                <w:szCs w:val="20"/>
                <w:color w:val="auto"/>
              </w:rPr>
            </w:pPr>
            <w:r>
              <w:rPr>
                <w:rFonts w:ascii="Arial" w:cs="Arial" w:eastAsia="Arial" w:hAnsi="Arial"/>
                <w:sz w:val="18"/>
                <w:szCs w:val="18"/>
                <w:color w:val="auto"/>
                <w:w w:val="94"/>
              </w:rPr>
              <w:t>First-lien loan ($32,463 par, due</w:t>
            </w: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9/29/2017</w:t>
            </w:r>
          </w:p>
        </w:tc>
        <w:tc>
          <w:tcPr>
            <w:tcW w:w="10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L + 8.00%</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9.69%</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31,918</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31,976</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r>
      <w:tr>
        <w:trPr>
          <w:trHeight w:val="230"/>
        </w:trPr>
        <w:tc>
          <w:tcPr>
            <w:tcW w:w="2400" w:type="dxa"/>
            <w:vAlign w:val="bottom"/>
            <w:shd w:val="clear" w:color="auto" w:fill="CFF0FC"/>
          </w:tcPr>
          <w:p>
            <w:pPr>
              <w:spacing w:after="0"/>
              <w:rPr>
                <w:sz w:val="20"/>
                <w:szCs w:val="20"/>
                <w:color w:val="auto"/>
              </w:rPr>
            </w:pPr>
          </w:p>
        </w:tc>
        <w:tc>
          <w:tcPr>
            <w:tcW w:w="25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9/2022)</w:t>
            </w:r>
          </w:p>
        </w:tc>
        <w:tc>
          <w:tcPr>
            <w:tcW w:w="10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426"/>
        </w:trPr>
        <w:tc>
          <w:tcPr>
            <w:tcW w:w="24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40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6" w:right="2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
        </w:trPr>
        <w:tc>
          <w:tcPr>
            <w:tcW w:w="2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5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59,346</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61,001</w:t>
            </w: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9"/>
                <w:szCs w:val="19"/>
                <w:color w:val="auto"/>
              </w:rPr>
            </w:pPr>
          </w:p>
        </w:tc>
      </w:tr>
      <w:tr>
        <w:trPr>
          <w:trHeight w:val="223"/>
        </w:trPr>
        <w:tc>
          <w:tcPr>
            <w:tcW w:w="2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Office products</w:t>
            </w:r>
          </w:p>
        </w:tc>
        <w:tc>
          <w:tcPr>
            <w:tcW w:w="25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USR Parent Inc. </w:t>
            </w:r>
            <w:r>
              <w:rPr>
                <w:rFonts w:ascii="Arial" w:cs="Arial" w:eastAsia="Arial" w:hAnsi="Arial"/>
                <w:sz w:val="15"/>
                <w:szCs w:val="15"/>
                <w:color w:val="auto"/>
              </w:rPr>
              <w:t>(3)(5)</w:t>
            </w:r>
          </w:p>
        </w:tc>
        <w:tc>
          <w:tcPr>
            <w:tcW w:w="2560" w:type="dxa"/>
            <w:vAlign w:val="bottom"/>
          </w:tcPr>
          <w:p>
            <w:pPr>
              <w:ind w:left="60"/>
              <w:spacing w:after="0"/>
              <w:rPr>
                <w:sz w:val="20"/>
                <w:szCs w:val="20"/>
                <w:color w:val="auto"/>
              </w:rPr>
            </w:pPr>
            <w:r>
              <w:rPr>
                <w:rFonts w:ascii="Arial" w:cs="Arial" w:eastAsia="Arial" w:hAnsi="Arial"/>
                <w:sz w:val="18"/>
                <w:szCs w:val="18"/>
                <w:color w:val="auto"/>
              </w:rPr>
              <w:t>ABL FILO term loan ($20,000</w:t>
            </w:r>
          </w:p>
        </w:tc>
        <w:tc>
          <w:tcPr>
            <w:tcW w:w="980" w:type="dxa"/>
            <w:vAlign w:val="bottom"/>
          </w:tcPr>
          <w:p>
            <w:pPr>
              <w:jc w:val="right"/>
              <w:spacing w:after="0"/>
              <w:rPr>
                <w:sz w:val="20"/>
                <w:szCs w:val="20"/>
                <w:color w:val="auto"/>
              </w:rPr>
            </w:pPr>
            <w:r>
              <w:rPr>
                <w:rFonts w:ascii="Arial" w:cs="Arial" w:eastAsia="Arial" w:hAnsi="Arial"/>
                <w:sz w:val="18"/>
                <w:szCs w:val="18"/>
                <w:color w:val="auto"/>
              </w:rPr>
              <w:t>9/12/2017</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L + 7.75%</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8.99%</w:t>
            </w:r>
          </w:p>
        </w:tc>
        <w:tc>
          <w:tcPr>
            <w:tcW w:w="860" w:type="dxa"/>
            <w:vAlign w:val="bottom"/>
          </w:tcPr>
          <w:p>
            <w:pPr>
              <w:jc w:val="right"/>
              <w:spacing w:after="0"/>
              <w:rPr>
                <w:sz w:val="20"/>
                <w:szCs w:val="20"/>
                <w:color w:val="auto"/>
              </w:rPr>
            </w:pPr>
            <w:r>
              <w:rPr>
                <w:rFonts w:ascii="Arial" w:cs="Arial" w:eastAsia="Arial" w:hAnsi="Arial"/>
                <w:sz w:val="18"/>
                <w:szCs w:val="18"/>
                <w:color w:val="auto"/>
              </w:rPr>
              <w:t>19,553</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19,600</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auto"/>
              </w:rPr>
              <w:t>par, due 9/2022)</w:t>
            </w:r>
          </w:p>
        </w:tc>
        <w:tc>
          <w:tcPr>
            <w:tcW w:w="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1"/>
        </w:trPr>
        <w:tc>
          <w:tcPr>
            <w:tcW w:w="2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Oil, gas and consumable</w:t>
            </w:r>
          </w:p>
        </w:tc>
        <w:tc>
          <w:tcPr>
            <w:tcW w:w="25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5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fuels</w:t>
            </w:r>
          </w:p>
        </w:tc>
        <w:tc>
          <w:tcPr>
            <w:tcW w:w="25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w w:val="95"/>
              </w:rPr>
              <w:t xml:space="preserve">Mississippi Resources, LLC </w:t>
            </w:r>
            <w:r>
              <w:rPr>
                <w:rFonts w:ascii="Arial" w:cs="Arial" w:eastAsia="Arial" w:hAnsi="Arial"/>
                <w:sz w:val="15"/>
                <w:szCs w:val="15"/>
                <w:color w:val="auto"/>
                <w:w w:val="95"/>
              </w:rPr>
              <w:t>(3)(6)</w:t>
            </w:r>
          </w:p>
        </w:tc>
        <w:tc>
          <w:tcPr>
            <w:tcW w:w="2560" w:type="dxa"/>
            <w:vAlign w:val="bottom"/>
          </w:tcPr>
          <w:p>
            <w:pPr>
              <w:ind w:left="60"/>
              <w:spacing w:after="0"/>
              <w:rPr>
                <w:sz w:val="20"/>
                <w:szCs w:val="20"/>
                <w:color w:val="auto"/>
              </w:rPr>
            </w:pPr>
            <w:r>
              <w:rPr>
                <w:rFonts w:ascii="Arial" w:cs="Arial" w:eastAsia="Arial" w:hAnsi="Arial"/>
                <w:sz w:val="18"/>
                <w:szCs w:val="18"/>
                <w:color w:val="auto"/>
                <w:w w:val="97"/>
              </w:rPr>
              <w:t>First-lien loan ($25,229 par, due</w:t>
            </w:r>
          </w:p>
        </w:tc>
        <w:tc>
          <w:tcPr>
            <w:tcW w:w="980" w:type="dxa"/>
            <w:vAlign w:val="bottom"/>
          </w:tcPr>
          <w:p>
            <w:pPr>
              <w:jc w:val="right"/>
              <w:spacing w:after="0"/>
              <w:rPr>
                <w:sz w:val="20"/>
                <w:szCs w:val="20"/>
                <w:color w:val="auto"/>
              </w:rPr>
            </w:pPr>
            <w:r>
              <w:rPr>
                <w:rFonts w:ascii="Arial" w:cs="Arial" w:eastAsia="Arial" w:hAnsi="Arial"/>
                <w:sz w:val="18"/>
                <w:szCs w:val="18"/>
                <w:color w:val="auto"/>
              </w:rPr>
              <w:t>5/3/2017</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L + 10.50%</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12.07%</w:t>
            </w:r>
          </w:p>
        </w:tc>
        <w:tc>
          <w:tcPr>
            <w:tcW w:w="860" w:type="dxa"/>
            <w:vAlign w:val="bottom"/>
          </w:tcPr>
          <w:p>
            <w:pPr>
              <w:jc w:val="right"/>
              <w:spacing w:after="0"/>
              <w:rPr>
                <w:sz w:val="20"/>
                <w:szCs w:val="20"/>
                <w:color w:val="auto"/>
              </w:rPr>
            </w:pPr>
            <w:r>
              <w:rPr>
                <w:rFonts w:ascii="Arial" w:cs="Arial" w:eastAsia="Arial" w:hAnsi="Arial"/>
                <w:sz w:val="18"/>
                <w:szCs w:val="18"/>
                <w:color w:val="auto"/>
              </w:rPr>
              <w:t>25,180</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25,229</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auto"/>
              </w:rPr>
              <w:t>6/2018)</w:t>
            </w:r>
          </w:p>
        </w:tc>
        <w:tc>
          <w:tcPr>
            <w:tcW w:w="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Northern Oil and Gas, Inc. </w:t>
            </w:r>
            <w:r>
              <w:rPr>
                <w:rFonts w:ascii="Arial" w:cs="Arial" w:eastAsia="Arial" w:hAnsi="Arial"/>
                <w:sz w:val="15"/>
                <w:szCs w:val="15"/>
                <w:color w:val="auto"/>
              </w:rPr>
              <w:t>(3)</w:t>
            </w:r>
          </w:p>
        </w:tc>
        <w:tc>
          <w:tcPr>
            <w:tcW w:w="25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7"/>
              </w:rPr>
              <w:t>First-lien loan ($48,750 par, due</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11/1/2017</w:t>
            </w:r>
          </w:p>
        </w:tc>
        <w:tc>
          <w:tcPr>
            <w:tcW w:w="13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L + 7.75%</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9.50%</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47,563</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47,450</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60" w:type="dxa"/>
            <w:vAlign w:val="bottom"/>
            <w:shd w:val="clear" w:color="auto" w:fill="CFF0FC"/>
          </w:tcPr>
          <w:p>
            <w:pPr>
              <w:ind w:left="60"/>
              <w:spacing w:after="0"/>
              <w:rPr>
                <w:sz w:val="20"/>
                <w:szCs w:val="20"/>
                <w:color w:val="auto"/>
              </w:rPr>
            </w:pPr>
            <w:r>
              <w:rPr>
                <w:rFonts w:ascii="Arial" w:cs="Arial" w:eastAsia="Arial" w:hAnsi="Arial"/>
                <w:sz w:val="18"/>
                <w:szCs w:val="18"/>
                <w:color w:val="auto"/>
              </w:rPr>
              <w:t>11/2022)</w:t>
            </w:r>
          </w:p>
        </w:tc>
        <w:tc>
          <w:tcPr>
            <w:tcW w:w="9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Rex Energy Corporation </w:t>
            </w:r>
            <w:r>
              <w:rPr>
                <w:rFonts w:ascii="Arial" w:cs="Arial" w:eastAsia="Arial" w:hAnsi="Arial"/>
                <w:sz w:val="15"/>
                <w:szCs w:val="15"/>
                <w:color w:val="auto"/>
              </w:rPr>
              <w:t>(3)</w:t>
            </w:r>
          </w:p>
        </w:tc>
        <w:tc>
          <w:tcPr>
            <w:tcW w:w="2560" w:type="dxa"/>
            <w:vAlign w:val="bottom"/>
          </w:tcPr>
          <w:p>
            <w:pPr>
              <w:ind w:left="60"/>
              <w:spacing w:after="0"/>
              <w:rPr>
                <w:sz w:val="20"/>
                <w:szCs w:val="20"/>
                <w:color w:val="auto"/>
              </w:rPr>
            </w:pPr>
            <w:r>
              <w:rPr>
                <w:rFonts w:ascii="Arial" w:cs="Arial" w:eastAsia="Arial" w:hAnsi="Arial"/>
                <w:sz w:val="18"/>
                <w:szCs w:val="18"/>
                <w:color w:val="auto"/>
                <w:w w:val="97"/>
              </w:rPr>
              <w:t>First-lien loan ($18,950 par, due</w:t>
            </w:r>
          </w:p>
        </w:tc>
        <w:tc>
          <w:tcPr>
            <w:tcW w:w="980" w:type="dxa"/>
            <w:vAlign w:val="bottom"/>
          </w:tcPr>
          <w:p>
            <w:pPr>
              <w:jc w:val="right"/>
              <w:spacing w:after="0"/>
              <w:rPr>
                <w:sz w:val="20"/>
                <w:szCs w:val="20"/>
                <w:color w:val="auto"/>
              </w:rPr>
            </w:pPr>
            <w:r>
              <w:rPr>
                <w:rFonts w:ascii="Arial" w:cs="Arial" w:eastAsia="Arial" w:hAnsi="Arial"/>
                <w:sz w:val="18"/>
                <w:szCs w:val="18"/>
                <w:color w:val="auto"/>
              </w:rPr>
              <w:t>4/28/2017</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L + 8.75%</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10.50%</w:t>
            </w:r>
          </w:p>
        </w:tc>
        <w:tc>
          <w:tcPr>
            <w:tcW w:w="860" w:type="dxa"/>
            <w:vAlign w:val="bottom"/>
          </w:tcPr>
          <w:p>
            <w:pPr>
              <w:jc w:val="right"/>
              <w:spacing w:after="0"/>
              <w:rPr>
                <w:sz w:val="20"/>
                <w:szCs w:val="20"/>
                <w:color w:val="auto"/>
              </w:rPr>
            </w:pPr>
            <w:r>
              <w:rPr>
                <w:rFonts w:ascii="Arial" w:cs="Arial" w:eastAsia="Arial" w:hAnsi="Arial"/>
                <w:sz w:val="18"/>
                <w:szCs w:val="18"/>
                <w:color w:val="auto"/>
              </w:rPr>
              <w:t>18,467</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20,525</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r>
      <w:tr>
        <w:trPr>
          <w:trHeight w:val="230"/>
        </w:trPr>
        <w:tc>
          <w:tcPr>
            <w:tcW w:w="2520" w:type="dxa"/>
            <w:vAlign w:val="bottom"/>
            <w:tcBorders>
              <w:bottom w:val="single" w:sz="8" w:color="CFF0FC"/>
            </w:tcBorders>
          </w:tcPr>
          <w:p>
            <w:pPr>
              <w:spacing w:after="0"/>
              <w:rPr>
                <w:sz w:val="20"/>
                <w:szCs w:val="20"/>
                <w:color w:val="auto"/>
              </w:rPr>
            </w:pPr>
          </w:p>
        </w:tc>
        <w:tc>
          <w:tcPr>
            <w:tcW w:w="2560" w:type="dxa"/>
            <w:vAlign w:val="bottom"/>
            <w:tcBorders>
              <w:bottom w:val="single" w:sz="8" w:color="CFF0FC"/>
            </w:tcBorders>
          </w:tcPr>
          <w:p>
            <w:pPr>
              <w:ind w:left="60"/>
              <w:spacing w:after="0"/>
              <w:rPr>
                <w:sz w:val="20"/>
                <w:szCs w:val="20"/>
                <w:color w:val="auto"/>
              </w:rPr>
            </w:pPr>
            <w:r>
              <w:rPr>
                <w:rFonts w:ascii="Arial" w:cs="Arial" w:eastAsia="Arial" w:hAnsi="Arial"/>
                <w:sz w:val="18"/>
                <w:szCs w:val="18"/>
                <w:color w:val="auto"/>
              </w:rPr>
              <w:t>4/2021)</w:t>
            </w:r>
          </w:p>
        </w:tc>
        <w:tc>
          <w:tcPr>
            <w:tcW w:w="980" w:type="dxa"/>
            <w:vAlign w:val="bottom"/>
            <w:tcBorders>
              <w:bottom w:val="single" w:sz="8" w:color="CFF0FC"/>
            </w:tcBorders>
          </w:tcPr>
          <w:p>
            <w:pPr>
              <w:spacing w:after="0"/>
              <w:rPr>
                <w:sz w:val="20"/>
                <w:szCs w:val="20"/>
                <w:color w:val="auto"/>
              </w:rPr>
            </w:pPr>
          </w:p>
        </w:tc>
        <w:tc>
          <w:tcPr>
            <w:tcW w:w="1340" w:type="dxa"/>
            <w:vAlign w:val="bottom"/>
            <w:tcBorders>
              <w:bottom w:val="single" w:sz="8" w:color="CFF0FC"/>
            </w:tcBorders>
          </w:tcPr>
          <w:p>
            <w:pPr>
              <w:spacing w:after="0"/>
              <w:rPr>
                <w:sz w:val="20"/>
                <w:szCs w:val="20"/>
                <w:color w:val="auto"/>
              </w:rPr>
            </w:pPr>
          </w:p>
        </w:tc>
        <w:tc>
          <w:tcPr>
            <w:tcW w:w="100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20" w:type="dxa"/>
            <w:vAlign w:val="bottom"/>
            <w:shd w:val="clear" w:color="auto" w:fill="CFF0FC"/>
          </w:tcPr>
          <w:p>
            <w:pPr>
              <w:spacing w:after="0"/>
              <w:rPr>
                <w:sz w:val="19"/>
                <w:szCs w:val="19"/>
                <w:color w:val="auto"/>
              </w:rPr>
            </w:pPr>
          </w:p>
        </w:tc>
        <w:tc>
          <w:tcPr>
            <w:tcW w:w="25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91,210</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93,204</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9"/>
                <w:szCs w:val="19"/>
                <w:color w:val="auto"/>
              </w:rPr>
            </w:pPr>
          </w:p>
        </w:tc>
      </w:tr>
      <w:tr>
        <w:trPr>
          <w:trHeight w:val="223"/>
        </w:trPr>
        <w:tc>
          <w:tcPr>
            <w:tcW w:w="2520" w:type="dxa"/>
            <w:vAlign w:val="bottom"/>
          </w:tcPr>
          <w:p>
            <w:pPr>
              <w:spacing w:after="0"/>
              <w:rPr>
                <w:sz w:val="20"/>
                <w:szCs w:val="20"/>
                <w:color w:val="auto"/>
              </w:rPr>
            </w:pPr>
            <w:r>
              <w:rPr>
                <w:rFonts w:ascii="Arial" w:cs="Arial" w:eastAsia="Arial" w:hAnsi="Arial"/>
                <w:sz w:val="18"/>
                <w:szCs w:val="18"/>
                <w:b w:val="1"/>
                <w:bCs w:val="1"/>
                <w:color w:val="auto"/>
              </w:rPr>
              <w:t>Pharmaceuticals</w:t>
            </w:r>
          </w:p>
        </w:tc>
        <w:tc>
          <w:tcPr>
            <w:tcW w:w="2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w w:val="99"/>
              </w:rPr>
              <w:t>Ironwood Pharmaceuticals, Inc.</w:t>
            </w:r>
          </w:p>
        </w:tc>
        <w:tc>
          <w:tcPr>
            <w:tcW w:w="25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7"/>
              </w:rPr>
              <w:t>Secured note ($33,333 par, due</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1/5/2017</w:t>
            </w:r>
          </w:p>
        </w:tc>
        <w:tc>
          <w:tcPr>
            <w:tcW w:w="13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8.38%</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8.38%</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33,191</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33,250</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r>
              <w:rPr>
                <w:rFonts w:ascii="Arial" w:cs="Arial" w:eastAsia="Arial" w:hAnsi="Arial"/>
                <w:sz w:val="15"/>
                <w:szCs w:val="15"/>
                <w:color w:val="auto"/>
              </w:rPr>
              <w:t>(4)(5)(8)</w:t>
            </w:r>
          </w:p>
        </w:tc>
        <w:tc>
          <w:tcPr>
            <w:tcW w:w="2560" w:type="dxa"/>
            <w:vAlign w:val="bottom"/>
            <w:shd w:val="clear" w:color="auto" w:fill="CFF0FC"/>
          </w:tcPr>
          <w:p>
            <w:pPr>
              <w:ind w:left="60"/>
              <w:spacing w:after="0"/>
              <w:rPr>
                <w:sz w:val="20"/>
                <w:szCs w:val="20"/>
                <w:color w:val="auto"/>
              </w:rPr>
            </w:pPr>
            <w:r>
              <w:rPr>
                <w:rFonts w:ascii="Arial" w:cs="Arial" w:eastAsia="Arial" w:hAnsi="Arial"/>
                <w:sz w:val="18"/>
                <w:szCs w:val="18"/>
                <w:color w:val="auto"/>
              </w:rPr>
              <w:t>9/2026)</w:t>
            </w:r>
          </w:p>
        </w:tc>
        <w:tc>
          <w:tcPr>
            <w:tcW w:w="9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Model N, Inc. </w:t>
            </w:r>
            <w:r>
              <w:rPr>
                <w:rFonts w:ascii="Arial" w:cs="Arial" w:eastAsia="Arial" w:hAnsi="Arial"/>
                <w:sz w:val="15"/>
                <w:szCs w:val="15"/>
                <w:color w:val="auto"/>
              </w:rPr>
              <w:t>(3)(4)</w:t>
            </w:r>
          </w:p>
        </w:tc>
        <w:tc>
          <w:tcPr>
            <w:tcW w:w="2560" w:type="dxa"/>
            <w:vAlign w:val="bottom"/>
          </w:tcPr>
          <w:p>
            <w:pPr>
              <w:ind w:left="60"/>
              <w:spacing w:after="0"/>
              <w:rPr>
                <w:sz w:val="20"/>
                <w:szCs w:val="20"/>
                <w:color w:val="auto"/>
              </w:rPr>
            </w:pPr>
            <w:r>
              <w:rPr>
                <w:rFonts w:ascii="Arial" w:cs="Arial" w:eastAsia="Arial" w:hAnsi="Arial"/>
                <w:sz w:val="18"/>
                <w:szCs w:val="18"/>
                <w:color w:val="auto"/>
                <w:w w:val="97"/>
              </w:rPr>
              <w:t>First-lien loan ($30,000 par, due</w:t>
            </w:r>
          </w:p>
        </w:tc>
        <w:tc>
          <w:tcPr>
            <w:tcW w:w="980" w:type="dxa"/>
            <w:vAlign w:val="bottom"/>
          </w:tcPr>
          <w:p>
            <w:pPr>
              <w:jc w:val="right"/>
              <w:spacing w:after="0"/>
              <w:rPr>
                <w:sz w:val="20"/>
                <w:szCs w:val="20"/>
                <w:color w:val="auto"/>
              </w:rPr>
            </w:pPr>
            <w:r>
              <w:rPr>
                <w:rFonts w:ascii="Arial" w:cs="Arial" w:eastAsia="Arial" w:hAnsi="Arial"/>
                <w:sz w:val="18"/>
                <w:szCs w:val="18"/>
                <w:color w:val="auto"/>
              </w:rPr>
              <w:t>1/5/2017</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L + 8.25%</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9.88%</w:t>
            </w:r>
          </w:p>
        </w:tc>
        <w:tc>
          <w:tcPr>
            <w:tcW w:w="860" w:type="dxa"/>
            <w:vAlign w:val="bottom"/>
          </w:tcPr>
          <w:p>
            <w:pPr>
              <w:jc w:val="right"/>
              <w:spacing w:after="0"/>
              <w:rPr>
                <w:sz w:val="20"/>
                <w:szCs w:val="20"/>
                <w:color w:val="auto"/>
              </w:rPr>
            </w:pPr>
            <w:r>
              <w:rPr>
                <w:rFonts w:ascii="Arial" w:cs="Arial" w:eastAsia="Arial" w:hAnsi="Arial"/>
                <w:sz w:val="18"/>
                <w:szCs w:val="18"/>
                <w:color w:val="auto"/>
              </w:rPr>
              <w:t>29,497</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29,925</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auto"/>
              </w:rPr>
              <w:t>1/2022)</w:t>
            </w:r>
          </w:p>
        </w:tc>
        <w:tc>
          <w:tcPr>
            <w:tcW w:w="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Nektar Therapeutics </w:t>
            </w:r>
            <w:r>
              <w:rPr>
                <w:rFonts w:ascii="Arial" w:cs="Arial" w:eastAsia="Arial" w:hAnsi="Arial"/>
                <w:sz w:val="15"/>
                <w:szCs w:val="15"/>
                <w:color w:val="auto"/>
              </w:rPr>
              <w:t>(4)(5)(8)</w:t>
            </w:r>
          </w:p>
        </w:tc>
        <w:tc>
          <w:tcPr>
            <w:tcW w:w="25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7"/>
              </w:rPr>
              <w:t>Secured note ($74,950 par, due</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10/5/2015</w:t>
            </w:r>
          </w:p>
        </w:tc>
        <w:tc>
          <w:tcPr>
            <w:tcW w:w="13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7.75%</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7.75%</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74,363</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76,449</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60" w:type="dxa"/>
            <w:vAlign w:val="bottom"/>
            <w:shd w:val="clear" w:color="auto" w:fill="CFF0FC"/>
          </w:tcPr>
          <w:p>
            <w:pPr>
              <w:ind w:left="60"/>
              <w:spacing w:after="0"/>
              <w:rPr>
                <w:sz w:val="20"/>
                <w:szCs w:val="20"/>
                <w:color w:val="auto"/>
              </w:rPr>
            </w:pPr>
            <w:r>
              <w:rPr>
                <w:rFonts w:ascii="Arial" w:cs="Arial" w:eastAsia="Arial" w:hAnsi="Arial"/>
                <w:sz w:val="18"/>
                <w:szCs w:val="18"/>
                <w:color w:val="auto"/>
              </w:rPr>
              <w:t>10/2020)</w:t>
            </w:r>
          </w:p>
        </w:tc>
        <w:tc>
          <w:tcPr>
            <w:tcW w:w="9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137,051</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139,624</w:t>
            </w: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9"/>
                <w:szCs w:val="19"/>
                <w:color w:val="auto"/>
              </w:rPr>
            </w:pPr>
          </w:p>
        </w:tc>
      </w:tr>
      <w:tr>
        <w:trPr>
          <w:trHeight w:val="205"/>
        </w:trPr>
        <w:tc>
          <w:tcPr>
            <w:tcW w:w="252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Retail and consumer</w:t>
            </w:r>
          </w:p>
        </w:tc>
        <w:tc>
          <w:tcPr>
            <w:tcW w:w="256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CFF0FC"/>
            </w:tcBorders>
            <w:shd w:val="clear" w:color="auto" w:fill="CFF0FC"/>
          </w:tcPr>
          <w:p>
            <w:pPr>
              <w:spacing w:after="0"/>
              <w:rPr>
                <w:sz w:val="17"/>
                <w:szCs w:val="17"/>
                <w:color w:val="auto"/>
              </w:rPr>
            </w:pPr>
          </w:p>
        </w:tc>
        <w:tc>
          <w:tcPr>
            <w:tcW w:w="134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5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products</w:t>
            </w:r>
          </w:p>
        </w:tc>
        <w:tc>
          <w:tcPr>
            <w:tcW w:w="25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99 Cents Only Stores LLC </w:t>
            </w:r>
            <w:r>
              <w:rPr>
                <w:rFonts w:ascii="Arial" w:cs="Arial" w:eastAsia="Arial" w:hAnsi="Arial"/>
                <w:sz w:val="15"/>
                <w:szCs w:val="15"/>
                <w:color w:val="auto"/>
              </w:rPr>
              <w:t>(3)</w:t>
            </w:r>
          </w:p>
        </w:tc>
        <w:tc>
          <w:tcPr>
            <w:tcW w:w="2560" w:type="dxa"/>
            <w:vAlign w:val="bottom"/>
          </w:tcPr>
          <w:p>
            <w:pPr>
              <w:ind w:left="60"/>
              <w:spacing w:after="0"/>
              <w:rPr>
                <w:sz w:val="20"/>
                <w:szCs w:val="20"/>
                <w:color w:val="auto"/>
              </w:rPr>
            </w:pPr>
            <w:r>
              <w:rPr>
                <w:rFonts w:ascii="Arial" w:cs="Arial" w:eastAsia="Arial" w:hAnsi="Arial"/>
                <w:sz w:val="18"/>
                <w:szCs w:val="18"/>
                <w:color w:val="auto"/>
              </w:rPr>
              <w:t>ABL FILO term loan ($25,000</w:t>
            </w:r>
          </w:p>
        </w:tc>
        <w:tc>
          <w:tcPr>
            <w:tcW w:w="980" w:type="dxa"/>
            <w:vAlign w:val="bottom"/>
          </w:tcPr>
          <w:p>
            <w:pPr>
              <w:jc w:val="right"/>
              <w:spacing w:after="0"/>
              <w:rPr>
                <w:sz w:val="20"/>
                <w:szCs w:val="20"/>
                <w:color w:val="auto"/>
              </w:rPr>
            </w:pPr>
            <w:r>
              <w:rPr>
                <w:rFonts w:ascii="Arial" w:cs="Arial" w:eastAsia="Arial" w:hAnsi="Arial"/>
                <w:sz w:val="18"/>
                <w:szCs w:val="18"/>
                <w:color w:val="auto"/>
              </w:rPr>
              <w:t>9/6/2017</w:t>
            </w:r>
          </w:p>
        </w:tc>
        <w:tc>
          <w:tcPr>
            <w:tcW w:w="1340" w:type="dxa"/>
            <w:vAlign w:val="bottom"/>
          </w:tcPr>
          <w:p>
            <w:pPr>
              <w:jc w:val="right"/>
              <w:ind w:right="390"/>
              <w:spacing w:after="0"/>
              <w:rPr>
                <w:sz w:val="20"/>
                <w:szCs w:val="20"/>
                <w:color w:val="auto"/>
              </w:rPr>
            </w:pPr>
            <w:r>
              <w:rPr>
                <w:rFonts w:ascii="Arial" w:cs="Arial" w:eastAsia="Arial" w:hAnsi="Arial"/>
                <w:sz w:val="18"/>
                <w:szCs w:val="18"/>
                <w:color w:val="auto"/>
              </w:rPr>
              <w:t>L + 7.75%</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9.26%</w:t>
            </w:r>
          </w:p>
        </w:tc>
        <w:tc>
          <w:tcPr>
            <w:tcW w:w="860" w:type="dxa"/>
            <w:vAlign w:val="bottom"/>
          </w:tcPr>
          <w:p>
            <w:pPr>
              <w:jc w:val="right"/>
              <w:spacing w:after="0"/>
              <w:rPr>
                <w:sz w:val="20"/>
                <w:szCs w:val="20"/>
                <w:color w:val="auto"/>
              </w:rPr>
            </w:pPr>
            <w:r>
              <w:rPr>
                <w:rFonts w:ascii="Arial" w:cs="Arial" w:eastAsia="Arial" w:hAnsi="Arial"/>
                <w:sz w:val="18"/>
                <w:szCs w:val="18"/>
                <w:color w:val="auto"/>
              </w:rPr>
              <w:t>24,654</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24,875</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auto"/>
              </w:rPr>
              <w:t>par, due 4/2021)</w:t>
            </w:r>
          </w:p>
        </w:tc>
        <w:tc>
          <w:tcPr>
            <w:tcW w:w="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American Achievement</w:t>
            </w:r>
          </w:p>
        </w:tc>
        <w:tc>
          <w:tcPr>
            <w:tcW w:w="25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7"/>
              </w:rPr>
              <w:t>First-lien loan ($23,161 par, due</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9/30/2015</w:t>
            </w:r>
          </w:p>
        </w:tc>
        <w:tc>
          <w:tcPr>
            <w:tcW w:w="13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L + 8.25%</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9.62%</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22,964</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23,219</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Corporation </w:t>
            </w:r>
            <w:r>
              <w:rPr>
                <w:rFonts w:ascii="Arial" w:cs="Arial" w:eastAsia="Arial" w:hAnsi="Arial"/>
                <w:sz w:val="15"/>
                <w:szCs w:val="15"/>
                <w:color w:val="auto"/>
              </w:rPr>
              <w:t>(3)(5)</w:t>
            </w:r>
          </w:p>
        </w:tc>
        <w:tc>
          <w:tcPr>
            <w:tcW w:w="2560" w:type="dxa"/>
            <w:vAlign w:val="bottom"/>
            <w:shd w:val="clear" w:color="auto" w:fill="CFF0FC"/>
          </w:tcPr>
          <w:p>
            <w:pPr>
              <w:ind w:left="60"/>
              <w:spacing w:after="0"/>
              <w:rPr>
                <w:sz w:val="20"/>
                <w:szCs w:val="20"/>
                <w:color w:val="auto"/>
              </w:rPr>
            </w:pPr>
            <w:r>
              <w:rPr>
                <w:rFonts w:ascii="Arial" w:cs="Arial" w:eastAsia="Arial" w:hAnsi="Arial"/>
                <w:sz w:val="18"/>
                <w:szCs w:val="18"/>
                <w:color w:val="auto"/>
              </w:rPr>
              <w:t>9/2020)</w:t>
            </w:r>
          </w:p>
        </w:tc>
        <w:tc>
          <w:tcPr>
            <w:tcW w:w="9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Destination Maternity</w:t>
            </w:r>
          </w:p>
        </w:tc>
        <w:tc>
          <w:tcPr>
            <w:tcW w:w="2560" w:type="dxa"/>
            <w:vAlign w:val="bottom"/>
          </w:tcPr>
          <w:p>
            <w:pPr>
              <w:ind w:left="60"/>
              <w:spacing w:after="0"/>
              <w:rPr>
                <w:sz w:val="20"/>
                <w:szCs w:val="20"/>
                <w:color w:val="auto"/>
              </w:rPr>
            </w:pPr>
            <w:r>
              <w:rPr>
                <w:rFonts w:ascii="Arial" w:cs="Arial" w:eastAsia="Arial" w:hAnsi="Arial"/>
                <w:sz w:val="18"/>
                <w:szCs w:val="18"/>
                <w:color w:val="auto"/>
              </w:rPr>
              <w:t>ABL FILO term loan ($15,420</w:t>
            </w:r>
          </w:p>
        </w:tc>
        <w:tc>
          <w:tcPr>
            <w:tcW w:w="980" w:type="dxa"/>
            <w:vAlign w:val="bottom"/>
          </w:tcPr>
          <w:p>
            <w:pPr>
              <w:jc w:val="right"/>
              <w:spacing w:after="0"/>
              <w:rPr>
                <w:sz w:val="20"/>
                <w:szCs w:val="20"/>
                <w:color w:val="auto"/>
              </w:rPr>
            </w:pPr>
            <w:r>
              <w:rPr>
                <w:rFonts w:ascii="Arial" w:cs="Arial" w:eastAsia="Arial" w:hAnsi="Arial"/>
                <w:sz w:val="18"/>
                <w:szCs w:val="18"/>
                <w:color w:val="auto"/>
              </w:rPr>
              <w:t>3/25/2016</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L + 7.50%</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8.74%</w:t>
            </w:r>
          </w:p>
        </w:tc>
        <w:tc>
          <w:tcPr>
            <w:tcW w:w="860" w:type="dxa"/>
            <w:vAlign w:val="bottom"/>
          </w:tcPr>
          <w:p>
            <w:pPr>
              <w:jc w:val="right"/>
              <w:spacing w:after="0"/>
              <w:rPr>
                <w:sz w:val="20"/>
                <w:szCs w:val="20"/>
                <w:color w:val="auto"/>
              </w:rPr>
            </w:pPr>
            <w:r>
              <w:rPr>
                <w:rFonts w:ascii="Arial" w:cs="Arial" w:eastAsia="Arial" w:hAnsi="Arial"/>
                <w:sz w:val="18"/>
                <w:szCs w:val="18"/>
                <w:color w:val="auto"/>
              </w:rPr>
              <w:t>15,165</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15,767</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230"/>
        </w:trPr>
        <w:tc>
          <w:tcPr>
            <w:tcW w:w="2520" w:type="dxa"/>
            <w:vAlign w:val="bottom"/>
          </w:tcPr>
          <w:p>
            <w:pPr>
              <w:ind w:left="140"/>
              <w:spacing w:after="0"/>
              <w:rPr>
                <w:sz w:val="20"/>
                <w:szCs w:val="20"/>
                <w:color w:val="auto"/>
              </w:rPr>
            </w:pPr>
            <w:r>
              <w:rPr>
                <w:rFonts w:ascii="Arial" w:cs="Arial" w:eastAsia="Arial" w:hAnsi="Arial"/>
                <w:sz w:val="18"/>
                <w:szCs w:val="18"/>
                <w:color w:val="auto"/>
              </w:rPr>
              <w:t xml:space="preserve">Corporation </w:t>
            </w:r>
            <w:r>
              <w:rPr>
                <w:rFonts w:ascii="Arial" w:cs="Arial" w:eastAsia="Arial" w:hAnsi="Arial"/>
                <w:sz w:val="15"/>
                <w:szCs w:val="15"/>
                <w:color w:val="auto"/>
              </w:rPr>
              <w:t>(3)(5)</w:t>
            </w:r>
          </w:p>
        </w:tc>
        <w:tc>
          <w:tcPr>
            <w:tcW w:w="2560" w:type="dxa"/>
            <w:vAlign w:val="bottom"/>
          </w:tcPr>
          <w:p>
            <w:pPr>
              <w:ind w:left="60"/>
              <w:spacing w:after="0"/>
              <w:rPr>
                <w:sz w:val="20"/>
                <w:szCs w:val="20"/>
                <w:color w:val="auto"/>
              </w:rPr>
            </w:pPr>
            <w:r>
              <w:rPr>
                <w:rFonts w:ascii="Arial" w:cs="Arial" w:eastAsia="Arial" w:hAnsi="Arial"/>
                <w:sz w:val="18"/>
                <w:szCs w:val="18"/>
                <w:color w:val="auto"/>
              </w:rPr>
              <w:t>par, due 3/2021)</w:t>
            </w:r>
          </w:p>
        </w:tc>
        <w:tc>
          <w:tcPr>
            <w:tcW w:w="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Eddie Bauer LLC </w:t>
            </w:r>
            <w:r>
              <w:rPr>
                <w:rFonts w:ascii="Arial" w:cs="Arial" w:eastAsia="Arial" w:hAnsi="Arial"/>
                <w:sz w:val="15"/>
                <w:szCs w:val="15"/>
                <w:color w:val="auto"/>
              </w:rPr>
              <w:t>(3)</w:t>
            </w:r>
          </w:p>
        </w:tc>
        <w:tc>
          <w:tcPr>
            <w:tcW w:w="2560" w:type="dxa"/>
            <w:vAlign w:val="bottom"/>
            <w:shd w:val="clear" w:color="auto" w:fill="CFF0FC"/>
          </w:tcPr>
          <w:p>
            <w:pPr>
              <w:ind w:left="60"/>
              <w:spacing w:after="0"/>
              <w:rPr>
                <w:sz w:val="20"/>
                <w:szCs w:val="20"/>
                <w:color w:val="auto"/>
              </w:rPr>
            </w:pPr>
            <w:r>
              <w:rPr>
                <w:rFonts w:ascii="Arial" w:cs="Arial" w:eastAsia="Arial" w:hAnsi="Arial"/>
                <w:sz w:val="18"/>
                <w:szCs w:val="18"/>
                <w:color w:val="auto"/>
              </w:rPr>
              <w:t>ABL FILO term loan ($29,250</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3/31/2017</w:t>
            </w:r>
          </w:p>
        </w:tc>
        <w:tc>
          <w:tcPr>
            <w:tcW w:w="13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L + 9.25%</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10.94%</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28,847</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29,396</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60" w:type="dxa"/>
            <w:vAlign w:val="bottom"/>
            <w:shd w:val="clear" w:color="auto" w:fill="CFF0FC"/>
          </w:tcPr>
          <w:p>
            <w:pPr>
              <w:ind w:left="60"/>
              <w:spacing w:after="0"/>
              <w:rPr>
                <w:sz w:val="20"/>
                <w:szCs w:val="20"/>
                <w:color w:val="auto"/>
              </w:rPr>
            </w:pPr>
            <w:r>
              <w:rPr>
                <w:rFonts w:ascii="Arial" w:cs="Arial" w:eastAsia="Arial" w:hAnsi="Arial"/>
                <w:sz w:val="18"/>
                <w:szCs w:val="18"/>
                <w:color w:val="auto"/>
              </w:rPr>
              <w:t>par, due 6/2019)</w:t>
            </w:r>
          </w:p>
        </w:tc>
        <w:tc>
          <w:tcPr>
            <w:tcW w:w="9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Sears </w:t>
            </w:r>
            <w:r>
              <w:rPr>
                <w:rFonts w:ascii="Arial" w:cs="Arial" w:eastAsia="Arial" w:hAnsi="Arial"/>
                <w:sz w:val="15"/>
                <w:szCs w:val="15"/>
                <w:color w:val="auto"/>
              </w:rPr>
              <w:t>(3)(4)(10)</w:t>
            </w:r>
          </w:p>
        </w:tc>
        <w:tc>
          <w:tcPr>
            <w:tcW w:w="2560" w:type="dxa"/>
            <w:vAlign w:val="bottom"/>
          </w:tcPr>
          <w:p>
            <w:pPr>
              <w:ind w:left="60"/>
              <w:spacing w:after="0"/>
              <w:rPr>
                <w:sz w:val="20"/>
                <w:szCs w:val="20"/>
                <w:color w:val="auto"/>
              </w:rPr>
            </w:pPr>
            <w:r>
              <w:rPr>
                <w:rFonts w:ascii="Arial" w:cs="Arial" w:eastAsia="Arial" w:hAnsi="Arial"/>
                <w:sz w:val="18"/>
                <w:szCs w:val="18"/>
                <w:color w:val="auto"/>
                <w:w w:val="95"/>
              </w:rPr>
              <w:t>First-lien ABL loan ($17,296 par,</w:t>
            </w:r>
          </w:p>
        </w:tc>
        <w:tc>
          <w:tcPr>
            <w:tcW w:w="980" w:type="dxa"/>
            <w:vAlign w:val="bottom"/>
          </w:tcPr>
          <w:p>
            <w:pPr>
              <w:jc w:val="right"/>
              <w:spacing w:after="0"/>
              <w:rPr>
                <w:sz w:val="20"/>
                <w:szCs w:val="20"/>
                <w:color w:val="auto"/>
              </w:rPr>
            </w:pPr>
            <w:r>
              <w:rPr>
                <w:rFonts w:ascii="Arial" w:cs="Arial" w:eastAsia="Arial" w:hAnsi="Arial"/>
                <w:sz w:val="18"/>
                <w:szCs w:val="18"/>
                <w:color w:val="auto"/>
              </w:rPr>
              <w:t>3/18/2016</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L + 7.50%</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8.89%</w:t>
            </w:r>
          </w:p>
        </w:tc>
        <w:tc>
          <w:tcPr>
            <w:tcW w:w="860" w:type="dxa"/>
            <w:vAlign w:val="bottom"/>
          </w:tcPr>
          <w:p>
            <w:pPr>
              <w:jc w:val="right"/>
              <w:spacing w:after="0"/>
              <w:rPr>
                <w:sz w:val="20"/>
                <w:szCs w:val="20"/>
                <w:color w:val="auto"/>
              </w:rPr>
            </w:pPr>
            <w:r>
              <w:rPr>
                <w:rFonts w:ascii="Arial" w:cs="Arial" w:eastAsia="Arial" w:hAnsi="Arial"/>
                <w:sz w:val="18"/>
                <w:szCs w:val="18"/>
                <w:color w:val="auto"/>
              </w:rPr>
              <w:t>16,962</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17,383</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30"/>
        </w:trPr>
        <w:tc>
          <w:tcPr>
            <w:tcW w:w="2520" w:type="dxa"/>
            <w:vAlign w:val="bottom"/>
            <w:tcBorders>
              <w:bottom w:val="single" w:sz="8" w:color="CFF0FC"/>
            </w:tcBorders>
          </w:tcPr>
          <w:p>
            <w:pPr>
              <w:spacing w:after="0"/>
              <w:rPr>
                <w:sz w:val="20"/>
                <w:szCs w:val="20"/>
                <w:color w:val="auto"/>
              </w:rPr>
            </w:pPr>
          </w:p>
        </w:tc>
        <w:tc>
          <w:tcPr>
            <w:tcW w:w="2560" w:type="dxa"/>
            <w:vAlign w:val="bottom"/>
            <w:tcBorders>
              <w:bottom w:val="single" w:sz="8" w:color="CFF0FC"/>
            </w:tcBorders>
          </w:tcPr>
          <w:p>
            <w:pPr>
              <w:ind w:left="60"/>
              <w:spacing w:after="0"/>
              <w:rPr>
                <w:sz w:val="20"/>
                <w:szCs w:val="20"/>
                <w:color w:val="auto"/>
              </w:rPr>
            </w:pPr>
            <w:r>
              <w:rPr>
                <w:rFonts w:ascii="Arial" w:cs="Arial" w:eastAsia="Arial" w:hAnsi="Arial"/>
                <w:sz w:val="18"/>
                <w:szCs w:val="18"/>
                <w:color w:val="auto"/>
              </w:rPr>
              <w:t>due 7/2020)</w:t>
            </w:r>
          </w:p>
        </w:tc>
        <w:tc>
          <w:tcPr>
            <w:tcW w:w="980" w:type="dxa"/>
            <w:vAlign w:val="bottom"/>
            <w:tcBorders>
              <w:bottom w:val="single" w:sz="8" w:color="CFF0FC"/>
            </w:tcBorders>
          </w:tcPr>
          <w:p>
            <w:pPr>
              <w:spacing w:after="0"/>
              <w:rPr>
                <w:sz w:val="20"/>
                <w:szCs w:val="20"/>
                <w:color w:val="auto"/>
              </w:rPr>
            </w:pPr>
          </w:p>
        </w:tc>
        <w:tc>
          <w:tcPr>
            <w:tcW w:w="1340" w:type="dxa"/>
            <w:vAlign w:val="bottom"/>
            <w:tcBorders>
              <w:bottom w:val="single" w:sz="8" w:color="CFF0FC"/>
            </w:tcBorders>
          </w:tcPr>
          <w:p>
            <w:pPr>
              <w:spacing w:after="0"/>
              <w:rPr>
                <w:sz w:val="20"/>
                <w:szCs w:val="20"/>
                <w:color w:val="auto"/>
              </w:rPr>
            </w:pPr>
          </w:p>
        </w:tc>
        <w:tc>
          <w:tcPr>
            <w:tcW w:w="100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20" w:type="dxa"/>
            <w:vAlign w:val="bottom"/>
            <w:shd w:val="clear" w:color="auto" w:fill="CFF0FC"/>
          </w:tcPr>
          <w:p>
            <w:pPr>
              <w:spacing w:after="0"/>
              <w:rPr>
                <w:sz w:val="19"/>
                <w:szCs w:val="19"/>
                <w:color w:val="auto"/>
              </w:rPr>
            </w:pPr>
          </w:p>
        </w:tc>
        <w:tc>
          <w:tcPr>
            <w:tcW w:w="25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108,592</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110,640</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9"/>
                <w:szCs w:val="19"/>
                <w:color w:val="auto"/>
              </w:rPr>
            </w:pPr>
          </w:p>
        </w:tc>
      </w:tr>
      <w:tr>
        <w:trPr>
          <w:trHeight w:val="223"/>
        </w:trPr>
        <w:tc>
          <w:tcPr>
            <w:tcW w:w="2520" w:type="dxa"/>
            <w:vAlign w:val="bottom"/>
            <w:tcBorders>
              <w:bottom w:val="single" w:sz="8" w:color="CFF0FC"/>
            </w:tcBorders>
          </w:tcPr>
          <w:p>
            <w:pPr>
              <w:spacing w:after="0"/>
              <w:rPr>
                <w:sz w:val="19"/>
                <w:szCs w:val="19"/>
                <w:color w:val="auto"/>
              </w:rPr>
            </w:pPr>
          </w:p>
        </w:tc>
        <w:tc>
          <w:tcPr>
            <w:tcW w:w="256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Debt Investments</w:t>
            </w:r>
          </w:p>
        </w:tc>
        <w:tc>
          <w:tcPr>
            <w:tcW w:w="25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1,624,237</w:t>
            </w:r>
          </w:p>
        </w:tc>
        <w:tc>
          <w:tcPr>
            <w:tcW w:w="2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1,642,255</w:t>
            </w:r>
          </w:p>
        </w:tc>
        <w:tc>
          <w:tcPr>
            <w:tcW w:w="2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169.4</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9"/>
                <w:szCs w:val="19"/>
                <w:color w:val="auto"/>
              </w:rPr>
            </w:pPr>
          </w:p>
        </w:tc>
      </w:tr>
      <w:tr>
        <w:trPr>
          <w:trHeight w:val="223"/>
        </w:trPr>
        <w:tc>
          <w:tcPr>
            <w:tcW w:w="2520" w:type="dxa"/>
            <w:vAlign w:val="bottom"/>
          </w:tcPr>
          <w:p>
            <w:pPr>
              <w:spacing w:after="0"/>
              <w:rPr>
                <w:sz w:val="20"/>
                <w:szCs w:val="20"/>
                <w:color w:val="auto"/>
              </w:rPr>
            </w:pPr>
            <w:r>
              <w:rPr>
                <w:rFonts w:ascii="Arial" w:cs="Arial" w:eastAsia="Arial" w:hAnsi="Arial"/>
                <w:sz w:val="18"/>
                <w:szCs w:val="18"/>
                <w:b w:val="1"/>
                <w:bCs w:val="1"/>
                <w:color w:val="auto"/>
                <w:w w:val="97"/>
              </w:rPr>
              <w:t>Equity and Other Investments</w:t>
            </w:r>
          </w:p>
        </w:tc>
        <w:tc>
          <w:tcPr>
            <w:tcW w:w="2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Beverage, food and tobacco</w:t>
            </w:r>
          </w:p>
        </w:tc>
        <w:tc>
          <w:tcPr>
            <w:tcW w:w="25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w w:val="95"/>
              </w:rPr>
              <w:t xml:space="preserve">AFS Technologies, Inc. </w:t>
            </w:r>
            <w:r>
              <w:rPr>
                <w:rFonts w:ascii="Arial" w:cs="Arial" w:eastAsia="Arial" w:hAnsi="Arial"/>
                <w:sz w:val="15"/>
                <w:szCs w:val="15"/>
                <w:color w:val="auto"/>
                <w:w w:val="95"/>
              </w:rPr>
              <w:t>(6)(12)(13)</w:t>
            </w:r>
          </w:p>
        </w:tc>
        <w:tc>
          <w:tcPr>
            <w:tcW w:w="2560" w:type="dxa"/>
            <w:vAlign w:val="bottom"/>
          </w:tcPr>
          <w:p>
            <w:pPr>
              <w:ind w:left="60"/>
              <w:spacing w:after="0"/>
              <w:rPr>
                <w:sz w:val="20"/>
                <w:szCs w:val="20"/>
                <w:color w:val="auto"/>
              </w:rPr>
            </w:pPr>
            <w:r>
              <w:rPr>
                <w:rFonts w:ascii="Arial" w:cs="Arial" w:eastAsia="Arial" w:hAnsi="Arial"/>
                <w:sz w:val="18"/>
                <w:szCs w:val="18"/>
                <w:color w:val="auto"/>
                <w:w w:val="93"/>
              </w:rPr>
              <w:t>Class A Preferred Units (125,000</w:t>
            </w:r>
          </w:p>
        </w:tc>
        <w:tc>
          <w:tcPr>
            <w:tcW w:w="980" w:type="dxa"/>
            <w:vAlign w:val="bottom"/>
          </w:tcPr>
          <w:p>
            <w:pPr>
              <w:jc w:val="right"/>
              <w:spacing w:after="0"/>
              <w:rPr>
                <w:sz w:val="20"/>
                <w:szCs w:val="20"/>
                <w:color w:val="auto"/>
              </w:rPr>
            </w:pPr>
            <w:r>
              <w:rPr>
                <w:rFonts w:ascii="Arial" w:cs="Arial" w:eastAsia="Arial" w:hAnsi="Arial"/>
                <w:sz w:val="18"/>
                <w:szCs w:val="18"/>
                <w:color w:val="auto"/>
              </w:rPr>
              <w:t>6/30/2017</w:t>
            </w: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12,500</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14,031</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auto"/>
              </w:rPr>
              <w:t>units)</w:t>
            </w:r>
          </w:p>
        </w:tc>
        <w:tc>
          <w:tcPr>
            <w:tcW w:w="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18"/>
                <w:szCs w:val="18"/>
                <w:color w:val="auto"/>
              </w:rPr>
            </w:pPr>
          </w:p>
        </w:tc>
        <w:tc>
          <w:tcPr>
            <w:tcW w:w="25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8"/>
              </w:rPr>
              <w:t>Class B Common Units (90,000</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6/30/2017</w:t>
            </w:r>
          </w:p>
        </w:tc>
        <w:tc>
          <w:tcPr>
            <w:tcW w:w="1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4,215</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60" w:type="dxa"/>
            <w:vAlign w:val="bottom"/>
            <w:shd w:val="clear" w:color="auto" w:fill="CFF0FC"/>
          </w:tcPr>
          <w:p>
            <w:pPr>
              <w:ind w:left="60"/>
              <w:spacing w:after="0"/>
              <w:rPr>
                <w:sz w:val="20"/>
                <w:szCs w:val="20"/>
                <w:color w:val="auto"/>
              </w:rPr>
            </w:pPr>
            <w:r>
              <w:rPr>
                <w:rFonts w:ascii="Arial" w:cs="Arial" w:eastAsia="Arial" w:hAnsi="Arial"/>
                <w:sz w:val="18"/>
                <w:szCs w:val="18"/>
                <w:color w:val="auto"/>
              </w:rPr>
              <w:t>units)</w:t>
            </w:r>
          </w:p>
        </w:tc>
        <w:tc>
          <w:tcPr>
            <w:tcW w:w="9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12,502</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18,246</w:t>
            </w: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r>
      <w:tr>
        <w:trPr>
          <w:trHeight w:val="223"/>
        </w:trPr>
        <w:tc>
          <w:tcPr>
            <w:tcW w:w="2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Chemicals</w:t>
            </w:r>
          </w:p>
        </w:tc>
        <w:tc>
          <w:tcPr>
            <w:tcW w:w="25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 xml:space="preserve">Vertellus Specialties, Inc. </w:t>
            </w:r>
            <w:r>
              <w:rPr>
                <w:rFonts w:ascii="Arial" w:cs="Arial" w:eastAsia="Arial" w:hAnsi="Arial"/>
                <w:sz w:val="15"/>
                <w:szCs w:val="15"/>
                <w:color w:val="auto"/>
              </w:rPr>
              <w:t>(12)</w:t>
            </w:r>
          </w:p>
        </w:tc>
        <w:tc>
          <w:tcPr>
            <w:tcW w:w="2560" w:type="dxa"/>
            <w:vAlign w:val="bottom"/>
          </w:tcPr>
          <w:p>
            <w:pPr>
              <w:ind w:left="60"/>
              <w:spacing w:after="0"/>
              <w:rPr>
                <w:sz w:val="20"/>
                <w:szCs w:val="20"/>
                <w:color w:val="auto"/>
              </w:rPr>
            </w:pPr>
            <w:r>
              <w:rPr>
                <w:rFonts w:ascii="Arial" w:cs="Arial" w:eastAsia="Arial" w:hAnsi="Arial"/>
                <w:sz w:val="18"/>
                <w:szCs w:val="18"/>
                <w:color w:val="auto"/>
                <w:w w:val="95"/>
              </w:rPr>
              <w:t>Common Units (2,672,990 units)</w:t>
            </w:r>
          </w:p>
        </w:tc>
        <w:tc>
          <w:tcPr>
            <w:tcW w:w="980" w:type="dxa"/>
            <w:vAlign w:val="bottom"/>
          </w:tcPr>
          <w:p>
            <w:pPr>
              <w:jc w:val="right"/>
              <w:spacing w:after="0"/>
              <w:rPr>
                <w:sz w:val="20"/>
                <w:szCs w:val="20"/>
                <w:color w:val="auto"/>
              </w:rPr>
            </w:pPr>
            <w:r>
              <w:rPr>
                <w:rFonts w:ascii="Arial" w:cs="Arial" w:eastAsia="Arial" w:hAnsi="Arial"/>
                <w:sz w:val="18"/>
                <w:szCs w:val="18"/>
                <w:color w:val="auto"/>
                <w:w w:val="97"/>
              </w:rPr>
              <w:t>10/31/2016</w:t>
            </w:r>
          </w:p>
        </w:tc>
        <w:tc>
          <w:tcPr>
            <w:tcW w:w="1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3,828</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3,780</w:t>
            </w: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r>
      <w:tr>
        <w:trPr>
          <w:trHeight w:val="230"/>
        </w:trPr>
        <w:tc>
          <w:tcPr>
            <w:tcW w:w="2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services</w:t>
            </w:r>
          </w:p>
        </w:tc>
        <w:tc>
          <w:tcPr>
            <w:tcW w:w="25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AvidXchange, Inc. </w:t>
            </w:r>
            <w:r>
              <w:rPr>
                <w:rFonts w:ascii="Arial" w:cs="Arial" w:eastAsia="Arial" w:hAnsi="Arial"/>
                <w:sz w:val="15"/>
                <w:szCs w:val="15"/>
                <w:color w:val="auto"/>
              </w:rPr>
              <w:t>(12)</w:t>
            </w:r>
          </w:p>
        </w:tc>
        <w:tc>
          <w:tcPr>
            <w:tcW w:w="2560" w:type="dxa"/>
            <w:vAlign w:val="bottom"/>
          </w:tcPr>
          <w:p>
            <w:pPr>
              <w:ind w:left="60"/>
              <w:spacing w:after="0"/>
              <w:rPr>
                <w:sz w:val="20"/>
                <w:szCs w:val="20"/>
                <w:color w:val="auto"/>
              </w:rPr>
            </w:pPr>
            <w:r>
              <w:rPr>
                <w:rFonts w:ascii="Arial" w:cs="Arial" w:eastAsia="Arial" w:hAnsi="Arial"/>
                <w:sz w:val="18"/>
                <w:szCs w:val="18"/>
                <w:color w:val="auto"/>
              </w:rPr>
              <w:t>Series E Preferred Equity</w:t>
            </w:r>
          </w:p>
        </w:tc>
        <w:tc>
          <w:tcPr>
            <w:tcW w:w="980" w:type="dxa"/>
            <w:vAlign w:val="bottom"/>
          </w:tcPr>
          <w:p>
            <w:pPr>
              <w:jc w:val="right"/>
              <w:spacing w:after="0"/>
              <w:rPr>
                <w:sz w:val="20"/>
                <w:szCs w:val="20"/>
                <w:color w:val="auto"/>
              </w:rPr>
            </w:pPr>
            <w:r>
              <w:rPr>
                <w:rFonts w:ascii="Arial" w:cs="Arial" w:eastAsia="Arial" w:hAnsi="Arial"/>
                <w:sz w:val="18"/>
                <w:szCs w:val="18"/>
                <w:color w:val="auto"/>
              </w:rPr>
              <w:t>8/7/2015</w:t>
            </w: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3,846</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7,481</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auto"/>
              </w:rPr>
              <w:t>(214,132 shares)</w:t>
            </w:r>
          </w:p>
        </w:tc>
        <w:tc>
          <w:tcPr>
            <w:tcW w:w="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Swift Gift Limited </w:t>
            </w:r>
            <w:r>
              <w:rPr>
                <w:rFonts w:ascii="Arial" w:cs="Arial" w:eastAsia="Arial" w:hAnsi="Arial"/>
                <w:sz w:val="15"/>
                <w:szCs w:val="15"/>
                <w:color w:val="auto"/>
              </w:rPr>
              <w:t>(12)(13)</w:t>
            </w:r>
          </w:p>
        </w:tc>
        <w:tc>
          <w:tcPr>
            <w:tcW w:w="25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3"/>
              </w:rPr>
              <w:t>Common Shares (35,000 shares)</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7/31/2017</w:t>
            </w:r>
          </w:p>
        </w:tc>
        <w:tc>
          <w:tcPr>
            <w:tcW w:w="1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5,066</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 xml:space="preserve">TICC Capital Corp. </w:t>
            </w:r>
            <w:r>
              <w:rPr>
                <w:rFonts w:ascii="Arial" w:cs="Arial" w:eastAsia="Arial" w:hAnsi="Arial"/>
                <w:sz w:val="15"/>
                <w:szCs w:val="15"/>
                <w:color w:val="auto"/>
              </w:rPr>
              <w:t>(4)(11)</w:t>
            </w:r>
          </w:p>
        </w:tc>
        <w:tc>
          <w:tcPr>
            <w:tcW w:w="2560" w:type="dxa"/>
            <w:vAlign w:val="bottom"/>
          </w:tcPr>
          <w:p>
            <w:pPr>
              <w:ind w:left="60"/>
              <w:spacing w:after="0"/>
              <w:rPr>
                <w:sz w:val="20"/>
                <w:szCs w:val="20"/>
                <w:color w:val="auto"/>
              </w:rPr>
            </w:pPr>
            <w:r>
              <w:rPr>
                <w:rFonts w:ascii="Arial" w:cs="Arial" w:eastAsia="Arial" w:hAnsi="Arial"/>
                <w:sz w:val="18"/>
                <w:szCs w:val="18"/>
                <w:color w:val="auto"/>
                <w:w w:val="96"/>
              </w:rPr>
              <w:t>Common Shares (1,059 shares)</w:t>
            </w:r>
          </w:p>
        </w:tc>
        <w:tc>
          <w:tcPr>
            <w:tcW w:w="980" w:type="dxa"/>
            <w:vAlign w:val="bottom"/>
          </w:tcPr>
          <w:p>
            <w:pPr>
              <w:jc w:val="right"/>
              <w:spacing w:after="0"/>
              <w:rPr>
                <w:sz w:val="20"/>
                <w:szCs w:val="20"/>
                <w:color w:val="auto"/>
              </w:rPr>
            </w:pPr>
            <w:r>
              <w:rPr>
                <w:rFonts w:ascii="Arial" w:cs="Arial" w:eastAsia="Arial" w:hAnsi="Arial"/>
                <w:sz w:val="18"/>
                <w:szCs w:val="18"/>
                <w:color w:val="auto"/>
              </w:rPr>
              <w:t>8/5/2015</w:t>
            </w:r>
          </w:p>
        </w:tc>
        <w:tc>
          <w:tcPr>
            <w:tcW w:w="1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Triangle Capital Corp. </w:t>
            </w:r>
            <w:r>
              <w:rPr>
                <w:rFonts w:ascii="Arial" w:cs="Arial" w:eastAsia="Arial" w:hAnsi="Arial"/>
                <w:sz w:val="15"/>
                <w:szCs w:val="15"/>
                <w:color w:val="auto"/>
              </w:rPr>
              <w:t>(4)(11)</w:t>
            </w:r>
          </w:p>
        </w:tc>
        <w:tc>
          <w:tcPr>
            <w:tcW w:w="2560" w:type="dxa"/>
            <w:vAlign w:val="bottom"/>
            <w:shd w:val="clear" w:color="auto" w:fill="CFF0FC"/>
          </w:tcPr>
          <w:p>
            <w:pPr>
              <w:ind w:left="60"/>
              <w:spacing w:after="0"/>
              <w:rPr>
                <w:sz w:val="20"/>
                <w:szCs w:val="20"/>
                <w:color w:val="auto"/>
              </w:rPr>
            </w:pPr>
            <w:r>
              <w:rPr>
                <w:rFonts w:ascii="Arial" w:cs="Arial" w:eastAsia="Arial" w:hAnsi="Arial"/>
                <w:sz w:val="18"/>
                <w:szCs w:val="18"/>
                <w:color w:val="auto"/>
              </w:rPr>
              <w:t>Common Shares (1,384,570</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11/3/2017</w:t>
            </w:r>
          </w:p>
        </w:tc>
        <w:tc>
          <w:tcPr>
            <w:tcW w:w="1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13,428</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13,140</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560" w:type="dxa"/>
            <w:vAlign w:val="bottom"/>
            <w:shd w:val="clear" w:color="auto" w:fill="CFF0FC"/>
          </w:tcPr>
          <w:p>
            <w:pPr>
              <w:ind w:left="60"/>
              <w:spacing w:after="0"/>
              <w:rPr>
                <w:sz w:val="20"/>
                <w:szCs w:val="20"/>
                <w:color w:val="auto"/>
              </w:rPr>
            </w:pPr>
            <w:r>
              <w:rPr>
                <w:rFonts w:ascii="Arial" w:cs="Arial" w:eastAsia="Arial" w:hAnsi="Arial"/>
                <w:sz w:val="18"/>
                <w:szCs w:val="18"/>
                <w:color w:val="auto"/>
              </w:rPr>
              <w:t>shares)</w:t>
            </w:r>
          </w:p>
        </w:tc>
        <w:tc>
          <w:tcPr>
            <w:tcW w:w="9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426"/>
        </w:trPr>
        <w:tc>
          <w:tcPr>
            <w:tcW w:w="25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14</w:t>
            </w: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52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6" w:right="2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20,781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25,693</w:t>
            </w:r>
          </w:p>
        </w:tc>
        <w:tc>
          <w:tcPr>
            <w:tcW w:w="220" w:type="dxa"/>
            <w:vAlign w:val="bottom"/>
          </w:tcPr>
          <w:p>
            <w:pPr>
              <w:spacing w:after="0"/>
              <w:rPr>
                <w:sz w:val="19"/>
                <w:szCs w:val="19"/>
                <w:color w:val="auto"/>
              </w:rPr>
            </w:pPr>
          </w:p>
        </w:tc>
        <w:tc>
          <w:tcPr>
            <w:tcW w:w="920" w:type="dxa"/>
            <w:vAlign w:val="bottom"/>
            <w:gridSpan w:val="5"/>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30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Healthcare</w:t>
            </w:r>
          </w:p>
        </w:tc>
        <w:tc>
          <w:tcPr>
            <w:tcW w:w="9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right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right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left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00" w:type="dxa"/>
            <w:vAlign w:val="bottom"/>
            <w:gridSpan w:val="3"/>
          </w:tcPr>
          <w:p>
            <w:pPr>
              <w:spacing w:after="0"/>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(4)(12)</w:t>
            </w: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w w:val="98"/>
              </w:rPr>
              <w:t>Warrants</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9/30/2014</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877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1,336</w:t>
            </w:r>
          </w:p>
        </w:tc>
        <w:tc>
          <w:tcPr>
            <w:tcW w:w="220" w:type="dxa"/>
            <w:vAlign w:val="bottom"/>
          </w:tcPr>
          <w:p>
            <w:pPr>
              <w:spacing w:after="0"/>
              <w:rPr>
                <w:sz w:val="18"/>
                <w:szCs w:val="18"/>
                <w:color w:val="auto"/>
              </w:rPr>
            </w:pPr>
          </w:p>
        </w:tc>
        <w:tc>
          <w:tcPr>
            <w:tcW w:w="920" w:type="dxa"/>
            <w:vAlign w:val="bottom"/>
            <w:gridSpan w:val="5"/>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6"/>
          </w:tcPr>
          <w:p>
            <w:pPr>
              <w:spacing w:after="0"/>
              <w:rPr>
                <w:sz w:val="20"/>
                <w:szCs w:val="20"/>
                <w:color w:val="auto"/>
              </w:rPr>
            </w:pPr>
            <w:r>
              <w:rPr>
                <w:rFonts w:ascii="Arial" w:cs="Arial" w:eastAsia="Arial" w:hAnsi="Arial"/>
                <w:sz w:val="18"/>
                <w:szCs w:val="18"/>
                <w:color w:val="auto"/>
              </w:rPr>
              <w:t>(EUR 1,112)</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 xml:space="preserve">SRS Parent Corp. </w:t>
            </w:r>
            <w:r>
              <w:rPr>
                <w:rFonts w:ascii="Arial" w:cs="Arial" w:eastAsia="Arial" w:hAnsi="Arial"/>
                <w:sz w:val="15"/>
                <w:szCs w:val="15"/>
                <w:color w:val="auto"/>
              </w:rPr>
              <w:t>(12)</w:t>
            </w:r>
          </w:p>
        </w:tc>
        <w:tc>
          <w:tcPr>
            <w:tcW w:w="2620" w:type="dxa"/>
            <w:vAlign w:val="bottom"/>
            <w:gridSpan w:val="5"/>
            <w:shd w:val="clear" w:color="auto" w:fill="CFF0FC"/>
          </w:tcPr>
          <w:p>
            <w:pPr>
              <w:ind w:left="340"/>
              <w:spacing w:after="0"/>
              <w:rPr>
                <w:sz w:val="20"/>
                <w:szCs w:val="20"/>
                <w:color w:val="auto"/>
              </w:rPr>
            </w:pPr>
            <w:r>
              <w:rPr>
                <w:rFonts w:ascii="Arial" w:cs="Arial" w:eastAsia="Arial" w:hAnsi="Arial"/>
                <w:sz w:val="18"/>
                <w:szCs w:val="18"/>
                <w:color w:val="auto"/>
              </w:rPr>
              <w:t>Common Shares Class A</w:t>
            </w:r>
          </w:p>
        </w:tc>
        <w:tc>
          <w:tcPr>
            <w:tcW w:w="14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12/28/2012</w:t>
            </w: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1,980</w:t>
            </w: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1,094</w:t>
            </w:r>
          </w:p>
        </w:tc>
        <w:tc>
          <w:tcPr>
            <w:tcW w:w="220" w:type="dxa"/>
            <w:vAlign w:val="bottom"/>
            <w:shd w:val="clear" w:color="auto" w:fill="CFF0FC"/>
          </w:tcPr>
          <w:p>
            <w:pPr>
              <w:spacing w:after="0"/>
              <w:rPr>
                <w:sz w:val="18"/>
                <w:szCs w:val="18"/>
                <w:color w:val="auto"/>
              </w:rPr>
            </w:pPr>
          </w:p>
        </w:tc>
        <w:tc>
          <w:tcPr>
            <w:tcW w:w="920" w:type="dxa"/>
            <w:vAlign w:val="bottom"/>
            <w:gridSpan w:val="5"/>
            <w:shd w:val="clear" w:color="auto" w:fill="CFF0FC"/>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20"/>
                <w:szCs w:val="20"/>
                <w:color w:val="auto"/>
              </w:rPr>
            </w:pPr>
          </w:p>
        </w:tc>
        <w:tc>
          <w:tcPr>
            <w:tcW w:w="2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20" w:type="dxa"/>
            <w:vAlign w:val="bottom"/>
            <w:gridSpan w:val="5"/>
            <w:shd w:val="clear" w:color="auto" w:fill="CFF0FC"/>
          </w:tcPr>
          <w:p>
            <w:pPr>
              <w:ind w:left="340"/>
              <w:spacing w:after="0"/>
              <w:rPr>
                <w:sz w:val="20"/>
                <w:szCs w:val="20"/>
                <w:color w:val="auto"/>
              </w:rPr>
            </w:pPr>
            <w:r>
              <w:rPr>
                <w:rFonts w:ascii="Arial" w:cs="Arial" w:eastAsia="Arial" w:hAnsi="Arial"/>
                <w:sz w:val="18"/>
                <w:szCs w:val="18"/>
                <w:color w:val="auto"/>
              </w:rPr>
              <w:t>(1,980 shares)</w:t>
            </w: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Borders>
              <w:lef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gridSpan w:val="5"/>
          </w:tcPr>
          <w:p>
            <w:pPr>
              <w:ind w:left="340"/>
              <w:spacing w:after="0"/>
              <w:rPr>
                <w:sz w:val="20"/>
                <w:szCs w:val="20"/>
                <w:color w:val="auto"/>
              </w:rPr>
            </w:pPr>
            <w:r>
              <w:rPr>
                <w:rFonts w:ascii="Arial" w:cs="Arial" w:eastAsia="Arial" w:hAnsi="Arial"/>
                <w:sz w:val="18"/>
                <w:szCs w:val="18"/>
                <w:color w:val="auto"/>
              </w:rPr>
              <w:t>Common Shares Class B</w:t>
            </w:r>
          </w:p>
        </w:tc>
        <w:tc>
          <w:tcPr>
            <w:tcW w:w="1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12/28/2012</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920" w:type="dxa"/>
            <w:vAlign w:val="bottom"/>
            <w:gridSpan w:val="5"/>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FF0FC"/>
            </w:tcBorders>
          </w:tcPr>
          <w:p>
            <w:pPr>
              <w:spacing w:after="0"/>
              <w:rPr>
                <w:sz w:val="20"/>
                <w:szCs w:val="20"/>
                <w:color w:val="auto"/>
              </w:rPr>
            </w:pPr>
          </w:p>
        </w:tc>
        <w:tc>
          <w:tcPr>
            <w:tcW w:w="202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2620" w:type="dxa"/>
            <w:vAlign w:val="bottom"/>
            <w:tcBorders>
              <w:bottom w:val="single" w:sz="8" w:color="CFF0FC"/>
            </w:tcBorders>
            <w:gridSpan w:val="5"/>
          </w:tcPr>
          <w:p>
            <w:pPr>
              <w:ind w:left="340"/>
              <w:spacing w:after="0"/>
              <w:rPr>
                <w:sz w:val="20"/>
                <w:szCs w:val="20"/>
                <w:color w:val="auto"/>
              </w:rPr>
            </w:pPr>
            <w:r>
              <w:rPr>
                <w:rFonts w:ascii="Arial" w:cs="Arial" w:eastAsia="Arial" w:hAnsi="Arial"/>
                <w:sz w:val="18"/>
                <w:szCs w:val="18"/>
                <w:color w:val="auto"/>
              </w:rPr>
              <w:t>(2,953,020 shares)</w:t>
            </w:r>
          </w:p>
        </w:tc>
        <w:tc>
          <w:tcPr>
            <w:tcW w:w="14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90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68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2,877</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2,441</w:t>
            </w:r>
          </w:p>
        </w:tc>
        <w:tc>
          <w:tcPr>
            <w:tcW w:w="220" w:type="dxa"/>
            <w:vAlign w:val="bottom"/>
            <w:shd w:val="clear" w:color="auto" w:fill="CFF0FC"/>
          </w:tcPr>
          <w:p>
            <w:pPr>
              <w:spacing w:after="0"/>
              <w:rPr>
                <w:sz w:val="19"/>
                <w:szCs w:val="19"/>
                <w:color w:val="auto"/>
              </w:rPr>
            </w:pPr>
          </w:p>
        </w:tc>
        <w:tc>
          <w:tcPr>
            <w:tcW w:w="920" w:type="dxa"/>
            <w:vAlign w:val="bottom"/>
            <w:gridSpan w:val="5"/>
            <w:shd w:val="clear" w:color="auto" w:fill="CFF0FC"/>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2300" w:type="dxa"/>
            <w:vAlign w:val="bottom"/>
            <w:gridSpan w:val="3"/>
          </w:tcPr>
          <w:p>
            <w:pPr>
              <w:spacing w:after="0"/>
              <w:rPr>
                <w:sz w:val="20"/>
                <w:szCs w:val="20"/>
                <w:color w:val="auto"/>
              </w:rPr>
            </w:pPr>
            <w:r>
              <w:rPr>
                <w:rFonts w:ascii="Arial" w:cs="Arial" w:eastAsia="Arial" w:hAnsi="Arial"/>
                <w:sz w:val="18"/>
                <w:szCs w:val="18"/>
                <w:b w:val="1"/>
                <w:bCs w:val="1"/>
                <w:color w:val="auto"/>
              </w:rPr>
              <w:t>Hotel, gaming, and leisure</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(6)(12)</w:t>
            </w:r>
          </w:p>
        </w:tc>
        <w:tc>
          <w:tcPr>
            <w:tcW w:w="2620" w:type="dxa"/>
            <w:vAlign w:val="bottom"/>
            <w:gridSpan w:val="5"/>
            <w:shd w:val="clear" w:color="auto" w:fill="CFF0FC"/>
          </w:tcPr>
          <w:p>
            <w:pPr>
              <w:ind w:left="340"/>
              <w:spacing w:after="0"/>
              <w:rPr>
                <w:sz w:val="20"/>
                <w:szCs w:val="20"/>
                <w:color w:val="auto"/>
              </w:rPr>
            </w:pPr>
            <w:r>
              <w:rPr>
                <w:rFonts w:ascii="Arial" w:cs="Arial" w:eastAsia="Arial" w:hAnsi="Arial"/>
                <w:sz w:val="18"/>
                <w:szCs w:val="18"/>
                <w:color w:val="auto"/>
                <w:w w:val="91"/>
              </w:rPr>
              <w:t>Class A Units (5,000,000 units)</w:t>
            </w:r>
          </w:p>
        </w:tc>
        <w:tc>
          <w:tcPr>
            <w:tcW w:w="14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9/29/2015</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3,896</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FF0FC"/>
          </w:tcPr>
          <w:p>
            <w:pPr>
              <w:spacing w:after="0"/>
              <w:rPr>
                <w:sz w:val="19"/>
                <w:szCs w:val="19"/>
                <w:color w:val="auto"/>
              </w:rPr>
            </w:pPr>
          </w:p>
        </w:tc>
        <w:tc>
          <w:tcPr>
            <w:tcW w:w="920" w:type="dxa"/>
            <w:vAlign w:val="bottom"/>
            <w:gridSpan w:val="5"/>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60" w:type="dxa"/>
            <w:vAlign w:val="bottom"/>
            <w:gridSpan w:val="6"/>
          </w:tcPr>
          <w:p>
            <w:pPr>
              <w:ind w:left="340"/>
              <w:spacing w:after="0"/>
              <w:rPr>
                <w:sz w:val="20"/>
                <w:szCs w:val="20"/>
                <w:color w:val="auto"/>
              </w:rPr>
            </w:pPr>
            <w:r>
              <w:rPr>
                <w:rFonts w:ascii="Arial" w:cs="Arial" w:eastAsia="Arial" w:hAnsi="Arial"/>
                <w:sz w:val="18"/>
                <w:szCs w:val="18"/>
                <w:color w:val="auto"/>
                <w:w w:val="90"/>
              </w:rPr>
              <w:t>Class C-1 Units (8,800,000 units)</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9/29/2015</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9"/>
                <w:szCs w:val="19"/>
                <w:color w:val="auto"/>
              </w:rPr>
            </w:pPr>
          </w:p>
        </w:tc>
        <w:tc>
          <w:tcPr>
            <w:tcW w:w="920" w:type="dxa"/>
            <w:vAlign w:val="bottom"/>
            <w:gridSpan w:val="5"/>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20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3,996</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CFF0FC"/>
          </w:tcPr>
          <w:p>
            <w:pPr>
              <w:spacing w:after="0"/>
              <w:rPr>
                <w:sz w:val="19"/>
                <w:szCs w:val="19"/>
                <w:color w:val="auto"/>
              </w:rPr>
            </w:pPr>
          </w:p>
        </w:tc>
        <w:tc>
          <w:tcPr>
            <w:tcW w:w="920" w:type="dxa"/>
            <w:vAlign w:val="bottom"/>
            <w:gridSpan w:val="5"/>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3"/>
        </w:trPr>
        <w:tc>
          <w:tcPr>
            <w:tcW w:w="2300" w:type="dxa"/>
            <w:vAlign w:val="bottom"/>
            <w:gridSpan w:val="3"/>
          </w:tcPr>
          <w:p>
            <w:pPr>
              <w:spacing w:after="0"/>
              <w:rPr>
                <w:sz w:val="20"/>
                <w:szCs w:val="20"/>
                <w:color w:val="auto"/>
              </w:rPr>
            </w:pPr>
            <w:r>
              <w:rPr>
                <w:rFonts w:ascii="Arial" w:cs="Arial" w:eastAsia="Arial" w:hAnsi="Arial"/>
                <w:sz w:val="18"/>
                <w:szCs w:val="18"/>
                <w:b w:val="1"/>
                <w:bCs w:val="1"/>
                <w:color w:val="auto"/>
              </w:rPr>
              <w:t>Insurance</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 xml:space="preserve">Riskonnect, Inc. </w:t>
            </w:r>
            <w:r>
              <w:rPr>
                <w:rFonts w:ascii="Arial" w:cs="Arial" w:eastAsia="Arial" w:hAnsi="Arial"/>
                <w:sz w:val="15"/>
                <w:szCs w:val="15"/>
                <w:color w:val="auto"/>
              </w:rPr>
              <w:t>(12)(13)</w:t>
            </w:r>
          </w:p>
        </w:tc>
        <w:tc>
          <w:tcPr>
            <w:tcW w:w="2620" w:type="dxa"/>
            <w:vAlign w:val="bottom"/>
            <w:gridSpan w:val="5"/>
            <w:shd w:val="clear" w:color="auto" w:fill="CFF0FC"/>
          </w:tcPr>
          <w:p>
            <w:pPr>
              <w:ind w:left="340"/>
              <w:spacing w:after="0"/>
              <w:rPr>
                <w:sz w:val="20"/>
                <w:szCs w:val="20"/>
                <w:color w:val="auto"/>
              </w:rPr>
            </w:pPr>
            <w:r>
              <w:rPr>
                <w:rFonts w:ascii="Arial" w:cs="Arial" w:eastAsia="Arial" w:hAnsi="Arial"/>
                <w:sz w:val="18"/>
                <w:szCs w:val="18"/>
                <w:color w:val="auto"/>
                <w:w w:val="98"/>
              </w:rPr>
              <w:t>Preferred Class A Units (990</w:t>
            </w:r>
          </w:p>
        </w:tc>
        <w:tc>
          <w:tcPr>
            <w:tcW w:w="14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6/30/2017</w:t>
            </w: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220" w:type="dxa"/>
            <w:vAlign w:val="bottom"/>
            <w:shd w:val="clear" w:color="auto" w:fill="CFF0FC"/>
          </w:tcPr>
          <w:p>
            <w:pPr>
              <w:spacing w:after="0"/>
              <w:rPr>
                <w:sz w:val="18"/>
                <w:szCs w:val="18"/>
                <w:color w:val="auto"/>
              </w:rPr>
            </w:pPr>
          </w:p>
        </w:tc>
        <w:tc>
          <w:tcPr>
            <w:tcW w:w="920" w:type="dxa"/>
            <w:vAlign w:val="bottom"/>
            <w:gridSpan w:val="5"/>
            <w:shd w:val="clear" w:color="auto" w:fill="CFF0FC"/>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0" w:type="dxa"/>
            <w:vAlign w:val="bottom"/>
            <w:shd w:val="clear" w:color="auto" w:fill="CFF0FC"/>
          </w:tcPr>
          <w:p>
            <w:pPr>
              <w:spacing w:after="0"/>
              <w:rPr>
                <w:sz w:val="20"/>
                <w:szCs w:val="20"/>
                <w:color w:val="auto"/>
              </w:rPr>
            </w:pPr>
          </w:p>
        </w:tc>
        <w:tc>
          <w:tcPr>
            <w:tcW w:w="2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units)</w:t>
            </w:r>
          </w:p>
        </w:tc>
        <w:tc>
          <w:tcPr>
            <w:tcW w:w="1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Borders>
              <w:lef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gridSpan w:val="6"/>
          </w:tcPr>
          <w:p>
            <w:pPr>
              <w:ind w:left="340"/>
              <w:spacing w:after="0"/>
              <w:rPr>
                <w:sz w:val="20"/>
                <w:szCs w:val="20"/>
                <w:color w:val="auto"/>
              </w:rPr>
            </w:pPr>
            <w:r>
              <w:rPr>
                <w:rFonts w:ascii="Arial" w:cs="Arial" w:eastAsia="Arial" w:hAnsi="Arial"/>
                <w:sz w:val="18"/>
                <w:szCs w:val="18"/>
                <w:color w:val="auto"/>
                <w:w w:val="91"/>
              </w:rPr>
              <w:t>Common Class B Units (959,018</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6/30/2017</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920" w:type="dxa"/>
            <w:vAlign w:val="bottom"/>
            <w:gridSpan w:val="5"/>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FF0FC"/>
            </w:tcBorders>
          </w:tcPr>
          <w:p>
            <w:pPr>
              <w:spacing w:after="0"/>
              <w:rPr>
                <w:sz w:val="20"/>
                <w:szCs w:val="20"/>
                <w:color w:val="auto"/>
              </w:rPr>
            </w:pPr>
          </w:p>
        </w:tc>
        <w:tc>
          <w:tcPr>
            <w:tcW w:w="202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1080" w:type="dxa"/>
            <w:vAlign w:val="bottom"/>
            <w:tcBorders>
              <w:bottom w:val="single" w:sz="8" w:color="CFF0FC"/>
            </w:tcBorders>
            <w:gridSpan w:val="2"/>
          </w:tcPr>
          <w:p>
            <w:pPr>
              <w:ind w:left="340"/>
              <w:spacing w:after="0"/>
              <w:rPr>
                <w:sz w:val="20"/>
                <w:szCs w:val="20"/>
                <w:color w:val="auto"/>
              </w:rPr>
            </w:pPr>
            <w:r>
              <w:rPr>
                <w:rFonts w:ascii="Arial" w:cs="Arial" w:eastAsia="Arial" w:hAnsi="Arial"/>
                <w:sz w:val="18"/>
                <w:szCs w:val="18"/>
                <w:color w:val="auto"/>
              </w:rPr>
              <w:t>units)</w:t>
            </w:r>
          </w:p>
        </w:tc>
        <w:tc>
          <w:tcPr>
            <w:tcW w:w="128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90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68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FF0FC"/>
          </w:tcPr>
          <w:p>
            <w:pPr>
              <w:spacing w:after="0"/>
              <w:rPr>
                <w:sz w:val="19"/>
                <w:szCs w:val="19"/>
                <w:color w:val="auto"/>
              </w:rPr>
            </w:pPr>
          </w:p>
        </w:tc>
        <w:tc>
          <w:tcPr>
            <w:tcW w:w="920" w:type="dxa"/>
            <w:vAlign w:val="bottom"/>
            <w:gridSpan w:val="5"/>
            <w:shd w:val="clear" w:color="auto" w:fill="CFF0FC"/>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5"/>
        </w:trPr>
        <w:tc>
          <w:tcPr>
            <w:tcW w:w="230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rPr>
              <w:t>Oil, gas and consumable</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80" w:type="dxa"/>
            <w:vAlign w:val="bottom"/>
            <w:gridSpan w:val="2"/>
          </w:tcPr>
          <w:p>
            <w:pPr>
              <w:ind w:left="120"/>
              <w:spacing w:after="0"/>
              <w:rPr>
                <w:sz w:val="20"/>
                <w:szCs w:val="20"/>
                <w:color w:val="auto"/>
              </w:rPr>
            </w:pPr>
            <w:r>
              <w:rPr>
                <w:rFonts w:ascii="Arial" w:cs="Arial" w:eastAsia="Arial" w:hAnsi="Arial"/>
                <w:sz w:val="18"/>
                <w:szCs w:val="18"/>
                <w:b w:val="1"/>
                <w:bCs w:val="1"/>
                <w:color w:val="auto"/>
              </w:rPr>
              <w:t>fuels</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0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3"/>
              </w:rPr>
              <w:t xml:space="preserve">Mississippi Resources, LLC </w:t>
            </w:r>
            <w:r>
              <w:rPr>
                <w:rFonts w:ascii="Arial" w:cs="Arial" w:eastAsia="Arial" w:hAnsi="Arial"/>
                <w:sz w:val="15"/>
                <w:szCs w:val="15"/>
                <w:color w:val="auto"/>
                <w:w w:val="93"/>
              </w:rPr>
              <w:t>(6)</w:t>
            </w:r>
          </w:p>
        </w:tc>
        <w:tc>
          <w:tcPr>
            <w:tcW w:w="2760" w:type="dxa"/>
            <w:vAlign w:val="bottom"/>
            <w:gridSpan w:val="6"/>
            <w:shd w:val="clear" w:color="auto" w:fill="CFF0FC"/>
          </w:tcPr>
          <w:p>
            <w:pPr>
              <w:ind w:left="340"/>
              <w:spacing w:after="0"/>
              <w:rPr>
                <w:sz w:val="20"/>
                <w:szCs w:val="20"/>
                <w:color w:val="auto"/>
              </w:rPr>
            </w:pPr>
            <w:r>
              <w:rPr>
                <w:rFonts w:ascii="Arial" w:cs="Arial" w:eastAsia="Arial" w:hAnsi="Arial"/>
                <w:sz w:val="18"/>
                <w:szCs w:val="18"/>
                <w:color w:val="auto"/>
                <w:w w:val="95"/>
              </w:rPr>
              <w:t>Class A-1 Member Units (1,000</w:t>
            </w:r>
          </w:p>
        </w:tc>
        <w:tc>
          <w:tcPr>
            <w:tcW w:w="11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5/3/2017</w:t>
            </w: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8,155</w:t>
            </w: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20" w:type="dxa"/>
            <w:vAlign w:val="bottom"/>
            <w:shd w:val="clear" w:color="auto" w:fill="CFF0FC"/>
          </w:tcPr>
          <w:p>
            <w:pPr>
              <w:spacing w:after="0"/>
              <w:rPr>
                <w:sz w:val="18"/>
                <w:szCs w:val="18"/>
                <w:color w:val="auto"/>
              </w:rPr>
            </w:pPr>
          </w:p>
        </w:tc>
        <w:tc>
          <w:tcPr>
            <w:tcW w:w="920" w:type="dxa"/>
            <w:vAlign w:val="bottom"/>
            <w:gridSpan w:val="5"/>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04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(12)(13)</w:t>
            </w:r>
          </w:p>
        </w:tc>
        <w:tc>
          <w:tcPr>
            <w:tcW w:w="2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units)</w:t>
            </w:r>
          </w:p>
        </w:tc>
        <w:tc>
          <w:tcPr>
            <w:tcW w:w="1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Borders>
              <w:lef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gridSpan w:val="5"/>
          </w:tcPr>
          <w:p>
            <w:pPr>
              <w:ind w:left="340"/>
              <w:spacing w:after="0"/>
              <w:rPr>
                <w:sz w:val="20"/>
                <w:szCs w:val="20"/>
                <w:color w:val="auto"/>
              </w:rPr>
            </w:pPr>
            <w:r>
              <w:rPr>
                <w:rFonts w:ascii="Arial" w:cs="Arial" w:eastAsia="Arial" w:hAnsi="Arial"/>
                <w:sz w:val="18"/>
                <w:szCs w:val="18"/>
                <w:color w:val="auto"/>
                <w:w w:val="95"/>
              </w:rPr>
              <w:t>Class A-2 Member Units (933</w:t>
            </w:r>
          </w:p>
        </w:tc>
        <w:tc>
          <w:tcPr>
            <w:tcW w:w="1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6/4/2014</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8,874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5"/>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FF0FC"/>
            </w:tcBorders>
          </w:tcPr>
          <w:p>
            <w:pPr>
              <w:spacing w:after="0"/>
              <w:rPr>
                <w:sz w:val="20"/>
                <w:szCs w:val="20"/>
                <w:color w:val="auto"/>
              </w:rPr>
            </w:pPr>
          </w:p>
        </w:tc>
        <w:tc>
          <w:tcPr>
            <w:tcW w:w="202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1080" w:type="dxa"/>
            <w:vAlign w:val="bottom"/>
            <w:tcBorders>
              <w:bottom w:val="single" w:sz="8" w:color="CFF0FC"/>
            </w:tcBorders>
            <w:gridSpan w:val="2"/>
          </w:tcPr>
          <w:p>
            <w:pPr>
              <w:ind w:left="340"/>
              <w:spacing w:after="0"/>
              <w:rPr>
                <w:sz w:val="20"/>
                <w:szCs w:val="20"/>
                <w:color w:val="auto"/>
              </w:rPr>
            </w:pPr>
            <w:r>
              <w:rPr>
                <w:rFonts w:ascii="Arial" w:cs="Arial" w:eastAsia="Arial" w:hAnsi="Arial"/>
                <w:sz w:val="18"/>
                <w:szCs w:val="18"/>
                <w:color w:val="auto"/>
              </w:rPr>
              <w:t>units)</w:t>
            </w:r>
          </w:p>
        </w:tc>
        <w:tc>
          <w:tcPr>
            <w:tcW w:w="128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90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68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tcBorders>
              <w:right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17,029</w:t>
            </w:r>
          </w:p>
        </w:tc>
        <w:tc>
          <w:tcPr>
            <w:tcW w:w="260" w:type="dxa"/>
            <w:vAlign w:val="bottom"/>
            <w:tcBorders>
              <w:right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20" w:type="dxa"/>
            <w:vAlign w:val="bottom"/>
            <w:shd w:val="clear" w:color="auto" w:fill="CFF0FC"/>
          </w:tcPr>
          <w:p>
            <w:pPr>
              <w:spacing w:after="0"/>
              <w:rPr>
                <w:sz w:val="19"/>
                <w:szCs w:val="19"/>
                <w:color w:val="auto"/>
              </w:rPr>
            </w:pPr>
          </w:p>
        </w:tc>
        <w:tc>
          <w:tcPr>
            <w:tcW w:w="6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60" w:type="dxa"/>
            <w:vAlign w:val="bottom"/>
            <w:tcBorders>
              <w:left w:val="single" w:sz="8" w:color="CFF0FC"/>
            </w:tcBorders>
            <w:gridSpan w:val="3"/>
            <w:shd w:val="clear" w:color="auto" w:fill="CFF0FC"/>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230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rPr>
              <w:t>Total Equity and Other</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62,013</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51,468</w:t>
            </w:r>
          </w:p>
        </w:tc>
        <w:tc>
          <w:tcPr>
            <w:tcW w:w="220" w:type="dxa"/>
            <w:vAlign w:val="bottom"/>
          </w:tcPr>
          <w:p>
            <w:pPr>
              <w:spacing w:after="0"/>
              <w:rPr>
                <w:sz w:val="17"/>
                <w:szCs w:val="17"/>
                <w:color w:val="auto"/>
              </w:rPr>
            </w:pPr>
          </w:p>
        </w:tc>
        <w:tc>
          <w:tcPr>
            <w:tcW w:w="920" w:type="dxa"/>
            <w:vAlign w:val="bottom"/>
            <w:gridSpan w:val="5"/>
          </w:tcPr>
          <w:p>
            <w:pPr>
              <w:jc w:val="right"/>
              <w:ind w:right="60"/>
              <w:spacing w:after="0" w:line="205"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4"/>
        </w:trPr>
        <w:tc>
          <w:tcPr>
            <w:tcW w:w="20" w:type="dxa"/>
            <w:vAlign w:val="bottom"/>
            <w:tcBorders>
              <w:bottom w:val="single" w:sz="8" w:color="CFF0FC"/>
            </w:tcBorders>
          </w:tcPr>
          <w:p>
            <w:pPr>
              <w:spacing w:after="0"/>
              <w:rPr>
                <w:sz w:val="20"/>
                <w:szCs w:val="20"/>
                <w:color w:val="auto"/>
              </w:rPr>
            </w:pPr>
          </w:p>
        </w:tc>
        <w:tc>
          <w:tcPr>
            <w:tcW w:w="2280" w:type="dxa"/>
            <w:vAlign w:val="bottom"/>
            <w:tcBorders>
              <w:bottom w:val="single" w:sz="8" w:color="CFF0FC"/>
            </w:tcBorders>
            <w:gridSpan w:val="2"/>
          </w:tcPr>
          <w:p>
            <w:pPr>
              <w:ind w:left="120"/>
              <w:spacing w:after="0"/>
              <w:rPr>
                <w:sz w:val="20"/>
                <w:szCs w:val="20"/>
                <w:color w:val="auto"/>
              </w:rPr>
            </w:pPr>
            <w:r>
              <w:rPr>
                <w:rFonts w:ascii="Arial" w:cs="Arial" w:eastAsia="Arial" w:hAnsi="Arial"/>
                <w:sz w:val="18"/>
                <w:szCs w:val="18"/>
                <w:b w:val="1"/>
                <w:bCs w:val="1"/>
                <w:color w:val="auto"/>
              </w:rPr>
              <w:t>Investments</w:t>
            </w:r>
          </w:p>
        </w:tc>
        <w:tc>
          <w:tcPr>
            <w:tcW w:w="90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128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90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68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0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Total Investments</w:t>
            </w:r>
          </w:p>
        </w:tc>
        <w:tc>
          <w:tcPr>
            <w:tcW w:w="9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right w:val="single" w:sz="8" w:color="CFF0FC"/>
            </w:tcBorders>
            <w:shd w:val="clear" w:color="auto" w:fill="CFF0FC"/>
          </w:tcPr>
          <w:p>
            <w:pPr>
              <w:spacing w:after="0"/>
              <w:rPr>
                <w:sz w:val="19"/>
                <w:szCs w:val="19"/>
                <w:color w:val="auto"/>
              </w:rPr>
            </w:pPr>
          </w:p>
        </w:tc>
        <w:tc>
          <w:tcPr>
            <w:tcW w:w="8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$ 1,686,250</w:t>
            </w:r>
          </w:p>
        </w:tc>
        <w:tc>
          <w:tcPr>
            <w:tcW w:w="260" w:type="dxa"/>
            <w:vAlign w:val="bottom"/>
            <w:tcBorders>
              <w:bottom w:val="single" w:sz="8" w:color="CFF0FC"/>
              <w:right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b w:val="1"/>
                <w:bCs w:val="1"/>
                <w:color w:val="auto"/>
                <w:w w:val="94"/>
              </w:rPr>
              <w:t>1,693,723</w:t>
            </w:r>
          </w:p>
        </w:tc>
        <w:tc>
          <w:tcPr>
            <w:tcW w:w="2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174.6</w:t>
            </w:r>
          </w:p>
        </w:tc>
        <w:tc>
          <w:tcPr>
            <w:tcW w:w="260" w:type="dxa"/>
            <w:vAlign w:val="bottom"/>
            <w:tcBorders>
              <w:left w:val="single" w:sz="8" w:color="CFF0FC"/>
              <w:bottom w:val="single" w:sz="8" w:color="CFF0FC"/>
            </w:tcBorders>
            <w:gridSpan w:val="3"/>
            <w:shd w:val="clear" w:color="auto" w:fill="CFF0FC"/>
          </w:tcPr>
          <w:p>
            <w:pPr>
              <w:ind w:left="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80" w:type="dxa"/>
            <w:vAlign w:val="bottom"/>
            <w:gridSpan w:val="11"/>
          </w:tcPr>
          <w:p>
            <w:pPr>
              <w:jc w:val="right"/>
              <w:ind w:right="590"/>
              <w:spacing w:after="0"/>
              <w:rPr>
                <w:sz w:val="20"/>
                <w:szCs w:val="20"/>
                <w:color w:val="auto"/>
              </w:rPr>
            </w:pPr>
            <w:r>
              <w:rPr>
                <w:rFonts w:ascii="Arial" w:cs="Arial" w:eastAsia="Arial" w:hAnsi="Arial"/>
                <w:sz w:val="14"/>
                <w:szCs w:val="14"/>
                <w:b w:val="1"/>
                <w:bCs w:val="1"/>
                <w:color w:val="auto"/>
                <w:w w:val="92"/>
              </w:rPr>
              <w:t>Interest Rate Swaps as of December 31, 2017</w:t>
            </w: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center"/>
              <w:ind w:right="70"/>
              <w:spacing w:after="0" w:line="133" w:lineRule="exact"/>
              <w:rPr>
                <w:sz w:val="20"/>
                <w:szCs w:val="20"/>
                <w:color w:val="auto"/>
              </w:rPr>
            </w:pPr>
            <w:r>
              <w:rPr>
                <w:rFonts w:ascii="Arial" w:cs="Arial" w:eastAsia="Arial" w:hAnsi="Arial"/>
                <w:sz w:val="14"/>
                <w:szCs w:val="14"/>
                <w:b w:val="1"/>
                <w:bCs w:val="1"/>
                <w:color w:val="auto"/>
                <w:w w:val="98"/>
              </w:rPr>
              <w:t>Upfront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3"/>
              </w:rPr>
              <w:t>Company</w:t>
            </w: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Notional</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4"/>
            <w:vMerge w:val="restart"/>
          </w:tcPr>
          <w:p>
            <w:pPr>
              <w:jc w:val="right"/>
              <w:ind w:right="170"/>
              <w:spacing w:after="0"/>
              <w:rPr>
                <w:sz w:val="20"/>
                <w:szCs w:val="20"/>
                <w:color w:val="auto"/>
              </w:rPr>
            </w:pPr>
            <w:r>
              <w:rPr>
                <w:rFonts w:ascii="Arial" w:cs="Arial" w:eastAsia="Arial" w:hAnsi="Arial"/>
                <w:sz w:val="14"/>
                <w:szCs w:val="14"/>
                <w:b w:val="1"/>
                <w:bCs w:val="1"/>
                <w:color w:val="auto"/>
              </w:rPr>
              <w:t>Fair Market</w:t>
            </w:r>
          </w:p>
        </w:tc>
        <w:tc>
          <w:tcPr>
            <w:tcW w:w="740" w:type="dxa"/>
            <w:vAlign w:val="bottom"/>
            <w:gridSpan w:val="2"/>
          </w:tcPr>
          <w:p>
            <w:pPr>
              <w:jc w:val="center"/>
              <w:ind w:right="50"/>
              <w:spacing w:after="0" w:line="149" w:lineRule="exact"/>
              <w:rPr>
                <w:sz w:val="20"/>
                <w:szCs w:val="20"/>
                <w:color w:val="auto"/>
              </w:rPr>
            </w:pPr>
            <w:r>
              <w:rPr>
                <w:rFonts w:ascii="Arial" w:cs="Arial" w:eastAsia="Arial" w:hAnsi="Arial"/>
                <w:sz w:val="14"/>
                <w:szCs w:val="14"/>
                <w:b w:val="1"/>
                <w:bCs w:val="1"/>
                <w:color w:val="auto"/>
                <w:w w:val="90"/>
              </w:rPr>
              <w:t>Payments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7"/>
            <w:vMerge w:val="restart"/>
          </w:tcPr>
          <w:p>
            <w:pPr>
              <w:jc w:val="center"/>
              <w:ind w:right="20"/>
              <w:spacing w:after="0"/>
              <w:rPr>
                <w:sz w:val="20"/>
                <w:szCs w:val="20"/>
                <w:color w:val="auto"/>
              </w:rPr>
            </w:pPr>
            <w:r>
              <w:rPr>
                <w:rFonts w:ascii="Arial" w:cs="Arial" w:eastAsia="Arial" w:hAnsi="Arial"/>
                <w:sz w:val="14"/>
                <w:szCs w:val="14"/>
                <w:b w:val="1"/>
                <w:bCs w:val="1"/>
                <w:color w:val="auto"/>
                <w:w w:val="94"/>
              </w:rPr>
              <w:t>Change in Unrealized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Company Pays</w:t>
            </w:r>
          </w:p>
        </w:tc>
        <w:tc>
          <w:tcPr>
            <w:tcW w:w="20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Maturity Date</w:t>
            </w:r>
          </w:p>
        </w:tc>
        <w:tc>
          <w:tcPr>
            <w:tcW w:w="14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74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5"/>
              </w:rPr>
              <w:t>Receives</w:t>
            </w:r>
          </w:p>
        </w:tc>
        <w:tc>
          <w:tcPr>
            <w:tcW w:w="180" w:type="dxa"/>
            <w:vAlign w:val="bottom"/>
            <w:tcBorders>
              <w:bottom w:val="single" w:sz="8" w:color="CFF0FC"/>
            </w:tcBorders>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60" w:type="dxa"/>
            <w:vAlign w:val="bottom"/>
            <w:tcBorders>
              <w:bottom w:val="single" w:sz="8" w:color="auto"/>
            </w:tcBorders>
            <w:vMerge w:val="continue"/>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FF0FC"/>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4"/>
                <w:szCs w:val="14"/>
                <w:b w:val="1"/>
                <w:bCs w:val="1"/>
                <w:color w:val="auto"/>
                <w:w w:val="89"/>
              </w:rPr>
              <w:t>Receipts</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5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Gains / (Losses)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center"/>
              <w:ind w:right="192"/>
              <w:spacing w:after="0"/>
              <w:rPr>
                <w:sz w:val="20"/>
                <w:szCs w:val="20"/>
                <w:color w:val="auto"/>
              </w:rPr>
            </w:pPr>
            <w:r>
              <w:rPr>
                <w:rFonts w:ascii="Arial" w:cs="Arial" w:eastAsia="Arial" w:hAnsi="Arial"/>
                <w:sz w:val="18"/>
                <w:szCs w:val="18"/>
                <w:color w:val="auto"/>
                <w:w w:val="99"/>
              </w:rPr>
              <w:t>L</w:t>
            </w: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1.16%</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10/5/2018</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92,500</w:t>
            </w:r>
          </w:p>
        </w:tc>
        <w:tc>
          <w:tcPr>
            <w:tcW w:w="2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570"/>
              <w:spacing w:after="0"/>
              <w:rPr>
                <w:sz w:val="20"/>
                <w:szCs w:val="20"/>
                <w:color w:val="auto"/>
              </w:rPr>
            </w:pPr>
            <w:r>
              <w:rPr>
                <w:rFonts w:ascii="Arial" w:cs="Arial" w:eastAsia="Arial" w:hAnsi="Arial"/>
                <w:sz w:val="15"/>
                <w:szCs w:val="15"/>
                <w:color w:val="auto"/>
                <w:w w:val="71"/>
              </w:rPr>
              <w:t>$</w:t>
            </w:r>
          </w:p>
        </w:tc>
        <w:tc>
          <w:tcPr>
            <w:tcW w:w="26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gridSpan w:val="4"/>
            <w:shd w:val="clear" w:color="auto" w:fill="CFF0FC"/>
          </w:tcPr>
          <w:p>
            <w:pPr>
              <w:jc w:val="right"/>
              <w:ind w:right="302"/>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900" w:type="dxa"/>
            <w:vAlign w:val="bottom"/>
          </w:tcPr>
          <w:p>
            <w:pPr>
              <w:jc w:val="center"/>
              <w:ind w:right="192"/>
              <w:spacing w:after="0"/>
              <w:rPr>
                <w:sz w:val="20"/>
                <w:szCs w:val="20"/>
                <w:color w:val="auto"/>
              </w:rPr>
            </w:pPr>
            <w:r>
              <w:rPr>
                <w:rFonts w:ascii="Arial" w:cs="Arial" w:eastAsia="Arial" w:hAnsi="Arial"/>
                <w:sz w:val="18"/>
                <w:szCs w:val="18"/>
                <w:color w:val="auto"/>
                <w:w w:val="90"/>
              </w:rPr>
              <w:t>4.50%</w:t>
            </w:r>
          </w:p>
        </w:tc>
        <w:tc>
          <w:tcPr>
            <w:tcW w:w="180" w:type="dxa"/>
            <w:vAlign w:val="bottom"/>
          </w:tcPr>
          <w:p>
            <w:pPr>
              <w:spacing w:after="0"/>
              <w:rPr>
                <w:sz w:val="19"/>
                <w:szCs w:val="19"/>
                <w:color w:val="auto"/>
              </w:rPr>
            </w:pPr>
          </w:p>
        </w:tc>
        <w:tc>
          <w:tcPr>
            <w:tcW w:w="1540" w:type="dxa"/>
            <w:vAlign w:val="bottom"/>
            <w:gridSpan w:val="3"/>
          </w:tcPr>
          <w:p>
            <w:pPr>
              <w:jc w:val="center"/>
              <w:ind w:right="260"/>
              <w:spacing w:after="0"/>
              <w:rPr>
                <w:sz w:val="20"/>
                <w:szCs w:val="20"/>
                <w:color w:val="auto"/>
              </w:rPr>
            </w:pPr>
            <w:r>
              <w:rPr>
                <w:rFonts w:ascii="Arial" w:cs="Arial" w:eastAsia="Arial" w:hAnsi="Arial"/>
                <w:sz w:val="18"/>
                <w:szCs w:val="18"/>
                <w:color w:val="auto"/>
                <w:w w:val="93"/>
              </w:rPr>
              <w:t>L + 2.86%</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12/15/2019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3"/>
          </w:tcPr>
          <w:p>
            <w:pPr>
              <w:jc w:val="right"/>
              <w:ind w:right="10"/>
              <w:spacing w:after="0"/>
              <w:rPr>
                <w:sz w:val="20"/>
                <w:szCs w:val="20"/>
                <w:color w:val="auto"/>
              </w:rPr>
            </w:pPr>
            <w:r>
              <w:rPr>
                <w:rFonts w:ascii="Arial" w:cs="Arial" w:eastAsia="Arial" w:hAnsi="Arial"/>
                <w:sz w:val="18"/>
                <w:szCs w:val="18"/>
                <w:color w:val="auto"/>
              </w:rPr>
              <w:t>(1,024)</w:t>
            </w: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w:t>
            </w:r>
          </w:p>
        </w:tc>
        <w:tc>
          <w:tcPr>
            <w:tcW w:w="1080" w:type="dxa"/>
            <w:vAlign w:val="bottom"/>
            <w:gridSpan w:val="2"/>
            <w:shd w:val="clear" w:color="auto" w:fill="CFF0FC"/>
          </w:tcPr>
          <w:p>
            <w:pPr>
              <w:jc w:val="center"/>
              <w:ind w:right="460"/>
              <w:spacing w:after="0"/>
              <w:rPr>
                <w:sz w:val="20"/>
                <w:szCs w:val="20"/>
                <w:color w:val="auto"/>
              </w:rPr>
            </w:pPr>
            <w:r>
              <w:rPr>
                <w:rFonts w:ascii="Arial" w:cs="Arial" w:eastAsia="Arial" w:hAnsi="Arial"/>
                <w:sz w:val="18"/>
                <w:szCs w:val="18"/>
                <w:color w:val="auto"/>
                <w:w w:val="99"/>
              </w:rPr>
              <w:t>L</w:t>
            </w: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1.72%</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1/10/2020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33,333</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900" w:type="dxa"/>
            <w:vAlign w:val="bottom"/>
          </w:tcPr>
          <w:p>
            <w:pPr>
              <w:jc w:val="center"/>
              <w:ind w:right="192"/>
              <w:spacing w:after="0"/>
              <w:rPr>
                <w:sz w:val="20"/>
                <w:szCs w:val="20"/>
                <w:color w:val="auto"/>
              </w:rPr>
            </w:pPr>
            <w:r>
              <w:rPr>
                <w:rFonts w:ascii="Arial" w:cs="Arial" w:eastAsia="Arial" w:hAnsi="Arial"/>
                <w:sz w:val="18"/>
                <w:szCs w:val="18"/>
                <w:color w:val="auto"/>
                <w:w w:val="90"/>
              </w:rPr>
              <w:t>4.50%</w:t>
            </w:r>
          </w:p>
        </w:tc>
        <w:tc>
          <w:tcPr>
            <w:tcW w:w="180" w:type="dxa"/>
            <w:vAlign w:val="bottom"/>
          </w:tcPr>
          <w:p>
            <w:pPr>
              <w:spacing w:after="0"/>
              <w:rPr>
                <w:sz w:val="19"/>
                <w:szCs w:val="19"/>
                <w:color w:val="auto"/>
              </w:rPr>
            </w:pPr>
          </w:p>
        </w:tc>
        <w:tc>
          <w:tcPr>
            <w:tcW w:w="1540" w:type="dxa"/>
            <w:vAlign w:val="bottom"/>
            <w:gridSpan w:val="3"/>
          </w:tcPr>
          <w:p>
            <w:pPr>
              <w:jc w:val="center"/>
              <w:ind w:right="260"/>
              <w:spacing w:after="0"/>
              <w:rPr>
                <w:sz w:val="20"/>
                <w:szCs w:val="20"/>
                <w:color w:val="auto"/>
              </w:rPr>
            </w:pPr>
            <w:r>
              <w:rPr>
                <w:rFonts w:ascii="Arial" w:cs="Arial" w:eastAsia="Arial" w:hAnsi="Arial"/>
                <w:sz w:val="18"/>
                <w:szCs w:val="18"/>
                <w:color w:val="auto"/>
                <w:w w:val="93"/>
              </w:rPr>
              <w:t>L + 2.37%</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8/1/2022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3"/>
          </w:tcPr>
          <w:p>
            <w:pPr>
              <w:jc w:val="right"/>
              <w:ind w:right="10"/>
              <w:spacing w:after="0"/>
              <w:rPr>
                <w:sz w:val="20"/>
                <w:szCs w:val="20"/>
                <w:color w:val="auto"/>
              </w:rPr>
            </w:pPr>
            <w:r>
              <w:rPr>
                <w:rFonts w:ascii="Arial" w:cs="Arial" w:eastAsia="Arial" w:hAnsi="Arial"/>
                <w:sz w:val="18"/>
                <w:szCs w:val="18"/>
                <w:color w:val="auto"/>
              </w:rPr>
              <w:t>(710)</w:t>
            </w: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collateral</w:t>
            </w: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   355,833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77"/>
              </w:rPr>
              <w:t>—</w:t>
            </w:r>
          </w:p>
        </w:tc>
        <w:tc>
          <w:tcPr>
            <w:tcW w:w="10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040" w:hanging="519"/>
        <w:spacing w:after="0"/>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Contract terms are shown net of Company receiving 6.65% and paying 8.38%.</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Contains a variable rate structure. Interest rate determined by three-month LIBOR.</w:t>
      </w:r>
    </w:p>
    <w:p>
      <w:pPr>
        <w:spacing w:after="0" w:line="116" w:lineRule="exact"/>
        <w:rPr>
          <w:rFonts w:ascii="Arial" w:cs="Arial" w:eastAsia="Arial" w:hAnsi="Arial"/>
          <w:sz w:val="18"/>
          <w:szCs w:val="18"/>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23" w:lineRule="exact"/>
        <w:rPr>
          <w:rFonts w:ascii="Arial" w:cs="Arial" w:eastAsia="Arial" w:hAnsi="Arial"/>
          <w:sz w:val="18"/>
          <w:szCs w:val="18"/>
          <w:color w:val="auto"/>
        </w:rPr>
      </w:pPr>
    </w:p>
    <w:p>
      <w:pPr>
        <w:ind w:left="520" w:right="180" w:hanging="512"/>
        <w:spacing w:after="0" w:line="250"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20" w:right="20" w:hanging="512"/>
        <w:spacing w:after="0" w:line="250"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Euro Interbank Offered Rate ( “EURIBOR” or “E”) or an alternate base rate (which can include the Federal Funds Effective Rate or the Prime Rate or “P”), at the borrower’s option, which reset periodically based on the terms of the credit agreement. For investments with multiple interest rate contracts, the interest rate shown is the weighted average interest rate in effect at December 31, 2017.</w:t>
      </w:r>
    </w:p>
    <w:p>
      <w:pPr>
        <w:spacing w:after="0" w:line="2" w:lineRule="exact"/>
        <w:rPr>
          <w:rFonts w:ascii="Arial" w:cs="Arial" w:eastAsia="Arial" w:hAnsi="Arial"/>
          <w:sz w:val="18"/>
          <w:szCs w:val="18"/>
          <w:color w:val="auto"/>
        </w:rPr>
      </w:pPr>
    </w:p>
    <w:p>
      <w:pPr>
        <w:jc w:val="both"/>
        <w:ind w:left="520" w:right="40" w:hanging="512"/>
        <w:spacing w:after="0" w:line="277" w:lineRule="auto"/>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14.7% of total assets as of December 31, 2017.</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5" w:name="page16"/>
    <w:bookmarkEnd w:id="15"/>
    <w:p>
      <w:pPr>
        <w:ind w:left="520" w:right="20" w:hanging="512"/>
        <w:spacing w:after="0" w:line="254"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 the “last out” tranche.</w:t>
      </w:r>
    </w:p>
    <w:p>
      <w:pPr>
        <w:spacing w:after="0" w:line="2" w:lineRule="exact"/>
        <w:rPr>
          <w:rFonts w:ascii="Arial" w:cs="Arial" w:eastAsia="Arial" w:hAnsi="Arial"/>
          <w:sz w:val="18"/>
          <w:szCs w:val="18"/>
          <w:color w:val="auto"/>
        </w:rPr>
      </w:pPr>
    </w:p>
    <w:p>
      <w:pPr>
        <w:ind w:left="520" w:right="60" w:hanging="512"/>
        <w:spacing w:after="0" w:line="273"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2017 in which the issuer was an Affiliated Person of and was deemed to Control a portfolio company are as follows: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Controlled, Affiliated Investments during the year ended December 31, 2017</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78"/>
              <w:spacing w:after="0"/>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Net Change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58"/>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3"/>
              </w:rPr>
              <w:t>Value at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8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4"/>
              </w:rPr>
              <w:t>Realized</w:t>
            </w:r>
          </w:p>
        </w:tc>
        <w:tc>
          <w:tcPr>
            <w:tcW w:w="140" w:type="dxa"/>
            <w:vAlign w:val="bottom"/>
          </w:tcPr>
          <w:p>
            <w:pPr>
              <w:spacing w:after="0"/>
              <w:rPr>
                <w:sz w:val="12"/>
                <w:szCs w:val="12"/>
                <w:color w:val="auto"/>
              </w:rPr>
            </w:pPr>
          </w:p>
        </w:tc>
        <w:tc>
          <w:tcPr>
            <w:tcW w:w="7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6"/>
              </w:rPr>
              <w:t>Value at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6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Company</w:t>
            </w:r>
          </w:p>
        </w:tc>
        <w:tc>
          <w:tcPr>
            <w:tcW w:w="1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 Unrealized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78"/>
              <w:spacing w:after="0"/>
              <w:rPr>
                <w:sz w:val="20"/>
                <w:szCs w:val="20"/>
                <w:color w:val="auto"/>
              </w:rPr>
            </w:pPr>
            <w:r>
              <w:rPr>
                <w:rFonts w:ascii="Arial" w:cs="Arial" w:eastAsia="Arial" w:hAnsi="Arial"/>
                <w:sz w:val="14"/>
                <w:szCs w:val="14"/>
                <w:b w:val="1"/>
                <w:bCs w:val="1"/>
                <w:color w:val="auto"/>
                <w:w w:val="89"/>
              </w:rPr>
              <w:t>2016</w:t>
            </w:r>
          </w:p>
        </w:tc>
        <w:tc>
          <w:tcPr>
            <w:tcW w:w="24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Additions (a)</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Reductions (b)</w:t>
            </w:r>
          </w:p>
        </w:tc>
        <w:tc>
          <w:tcPr>
            <w:tcW w:w="8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Gain/(Loss)</w:t>
            </w:r>
          </w:p>
        </w:tc>
        <w:tc>
          <w:tcPr>
            <w:tcW w:w="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Gain/(Losses)</w:t>
            </w:r>
          </w:p>
        </w:tc>
        <w:tc>
          <w:tcPr>
            <w:tcW w:w="140" w:type="dxa"/>
            <w:vAlign w:val="bottom"/>
          </w:tcPr>
          <w:p>
            <w:pPr>
              <w:spacing w:after="0"/>
              <w:rPr>
                <w:sz w:val="14"/>
                <w:szCs w:val="14"/>
                <w:color w:val="auto"/>
              </w:rPr>
            </w:pPr>
          </w:p>
        </w:tc>
        <w:tc>
          <w:tcPr>
            <w:tcW w:w="74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AFS Technologies, Inc.</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72,122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75,780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3,178</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IRGSE Holding Corp.</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31,974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8,014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(5,240)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34,748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Mississippi Resources, LLC</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33,885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(2,264)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(21,776)</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65,859</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86,433</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(2,264</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(21,776</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135,920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040" w:right="260" w:hanging="519"/>
        <w:spacing w:after="0" w:line="258"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40" w:right="160" w:hanging="519"/>
        <w:spacing w:after="0" w:line="255"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82" w:lineRule="exact"/>
        <w:rPr>
          <w:rFonts w:ascii="Arial" w:cs="Arial" w:eastAsia="Arial" w:hAnsi="Arial"/>
          <w:sz w:val="18"/>
          <w:szCs w:val="18"/>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December 31, 2017, the tax cost of the Company’s investments approximates the amortized cost.</w:t>
      </w:r>
    </w:p>
    <w:p>
      <w:pPr>
        <w:spacing w:after="0" w:line="23" w:lineRule="exact"/>
        <w:rPr>
          <w:rFonts w:ascii="Arial" w:cs="Arial" w:eastAsia="Arial" w:hAnsi="Arial"/>
          <w:sz w:val="18"/>
          <w:szCs w:val="18"/>
          <w:color w:val="auto"/>
        </w:rPr>
      </w:pPr>
    </w:p>
    <w:p>
      <w:pPr>
        <w:ind w:left="520" w:right="100" w:hanging="512"/>
        <w:spacing w:after="0" w:line="250"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These investments contain a fixed rate structure. The Company entered into an interest rate swap agreement to swap to a floating rate. Refer to Note 5 for further information related to the Company’s interest rate swaps on investments.</w:t>
      </w:r>
    </w:p>
    <w:p>
      <w:pPr>
        <w:ind w:left="520" w:right="140" w:hanging="512"/>
        <w:spacing w:after="0" w:line="250"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In accordance with Financial Accounting Standards Board Accounting Standards Codification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Arial" w:cs="Arial" w:eastAsia="Arial" w:hAnsi="Arial"/>
          <w:sz w:val="18"/>
          <w:szCs w:val="18"/>
          <w:color w:val="auto"/>
        </w:rPr>
      </w:pPr>
    </w:p>
    <w:p>
      <w:pPr>
        <w:ind w:left="520" w:right="100" w:hanging="512"/>
        <w:spacing w:after="0" w:line="250"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2 investment. See Note 6 for further information related to investments at fair value.</w:t>
      </w:r>
    </w:p>
    <w:p>
      <w:pPr>
        <w:ind w:left="520" w:right="100" w:hanging="512"/>
        <w:spacing w:after="0" w:line="250"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1 investment. See Note 6 for further information related to investments at fair value.</w:t>
      </w: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equity investment is non-income producing.</w:t>
      </w:r>
    </w:p>
    <w:p>
      <w:pPr>
        <w:spacing w:after="0" w:line="9" w:lineRule="exact"/>
        <w:rPr>
          <w:rFonts w:ascii="Arial" w:cs="Arial" w:eastAsia="Arial" w:hAnsi="Arial"/>
          <w:sz w:val="18"/>
          <w:szCs w:val="18"/>
          <w:color w:val="auto"/>
        </w:rPr>
      </w:pPr>
    </w:p>
    <w:p>
      <w:pPr>
        <w:ind w:left="520" w:right="160" w:hanging="512"/>
        <w:spacing w:after="0" w:line="323" w:lineRule="auto"/>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Security acquired in transaction exempt from registration under the Securities Act of 1933, and may be deemed to be “restricted securities” under the Securities Act. As of December 31, 2017, the aggregate fair value of these securities is $24,475, or 2.5% of the Company’s net assets.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7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September 30, 2018</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September 30, 2017</w:t>
            </w:r>
          </w:p>
        </w:tc>
      </w:tr>
      <w:tr>
        <w:trPr>
          <w:trHeight w:val="223"/>
        </w:trPr>
        <w:tc>
          <w:tcPr>
            <w:tcW w:w="7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Increase (Decrease) in Net Assets Resulting from Operations</w:t>
            </w:r>
          </w:p>
        </w:tc>
        <w:tc>
          <w:tcPr>
            <w:tcW w:w="20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Net investment income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99,782</w:t>
            </w:r>
          </w:p>
        </w:tc>
        <w:tc>
          <w:tcPr>
            <w:tcW w:w="140" w:type="dxa"/>
            <w:vAlign w:val="bottom"/>
          </w:tcPr>
          <w:p>
            <w:pPr>
              <w:spacing w:after="0"/>
              <w:rPr>
                <w:sz w:val="19"/>
                <w:szCs w:val="19"/>
                <w:color w:val="auto"/>
              </w:rPr>
            </w:pP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93,380</w:t>
            </w:r>
          </w:p>
        </w:tc>
        <w:tc>
          <w:tcPr>
            <w:tcW w:w="10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w:t>
            </w:r>
          </w:p>
        </w:tc>
        <w:tc>
          <w:tcPr>
            <w:tcW w:w="2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11,038</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5,694</w:t>
            </w:r>
          </w:p>
        </w:tc>
        <w:tc>
          <w:tcPr>
            <w:tcW w:w="100" w:type="dxa"/>
            <w:vAlign w:val="bottom"/>
            <w:shd w:val="clear" w:color="auto" w:fill="CFF0FC"/>
          </w:tcPr>
          <w:p>
            <w:pPr>
              <w:spacing w:after="0"/>
              <w:rPr>
                <w:sz w:val="19"/>
                <w:szCs w:val="19"/>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Net realized losses</w:t>
            </w:r>
          </w:p>
        </w:tc>
        <w:tc>
          <w:tcPr>
            <w:tcW w:w="200" w:type="dxa"/>
            <w:vAlign w:val="bottom"/>
          </w:tcPr>
          <w:p>
            <w:pPr>
              <w:spacing w:after="0"/>
              <w:rPr>
                <w:sz w:val="19"/>
                <w:szCs w:val="19"/>
                <w:color w:val="auto"/>
              </w:rPr>
            </w:pPr>
          </w:p>
        </w:tc>
        <w:tc>
          <w:tcPr>
            <w:tcW w:w="1820" w:type="dxa"/>
            <w:vAlign w:val="bottom"/>
            <w:gridSpan w:val="2"/>
          </w:tcPr>
          <w:p>
            <w:pPr>
              <w:jc w:val="right"/>
              <w:ind w:right="80"/>
              <w:spacing w:after="0"/>
              <w:rPr>
                <w:sz w:val="20"/>
                <w:szCs w:val="20"/>
                <w:color w:val="auto"/>
              </w:rPr>
            </w:pPr>
            <w:r>
              <w:rPr>
                <w:rFonts w:ascii="Arial" w:cs="Arial" w:eastAsia="Arial" w:hAnsi="Arial"/>
                <w:sz w:val="18"/>
                <w:szCs w:val="18"/>
                <w:color w:val="auto"/>
              </w:rPr>
              <w:t>(6,035)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(14,211)</w:t>
            </w:r>
          </w:p>
        </w:tc>
      </w:tr>
      <w:tr>
        <w:trPr>
          <w:trHeight w:val="223"/>
        </w:trPr>
        <w:tc>
          <w:tcPr>
            <w:tcW w:w="73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104,785</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84,863</w:t>
            </w:r>
          </w:p>
        </w:tc>
        <w:tc>
          <w:tcPr>
            <w:tcW w:w="100" w:type="dxa"/>
            <w:vAlign w:val="bottom"/>
            <w:tcBorders>
              <w:top w:val="single" w:sz="8" w:color="CFF0FC"/>
            </w:tcBorders>
            <w:shd w:val="clear" w:color="auto" w:fill="CFF0FC"/>
          </w:tcPr>
          <w:p>
            <w:pPr>
              <w:spacing w:after="0"/>
              <w:rPr>
                <w:sz w:val="19"/>
                <w:szCs w:val="19"/>
                <w:color w:val="auto"/>
              </w:rPr>
            </w:pPr>
          </w:p>
        </w:tc>
      </w:tr>
      <w:tr>
        <w:trPr>
          <w:trHeight w:val="205"/>
        </w:trPr>
        <w:tc>
          <w:tcPr>
            <w:tcW w:w="7320" w:type="dxa"/>
            <w:vAlign w:val="bottom"/>
          </w:tcPr>
          <w:p>
            <w:pPr>
              <w:spacing w:after="0" w:line="205" w:lineRule="exact"/>
              <w:rPr>
                <w:sz w:val="20"/>
                <w:szCs w:val="20"/>
                <w:color w:val="auto"/>
              </w:rPr>
            </w:pPr>
            <w:r>
              <w:rPr>
                <w:rFonts w:ascii="Arial" w:cs="Arial" w:eastAsia="Arial" w:hAnsi="Arial"/>
                <w:sz w:val="18"/>
                <w:szCs w:val="18"/>
                <w:b w:val="1"/>
                <w:bCs w:val="1"/>
                <w:color w:val="auto"/>
              </w:rPr>
              <w:t>Increase (Decrease) in Net Assets Resulting from</w:t>
            </w: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320" w:type="dxa"/>
            <w:vAlign w:val="bottom"/>
          </w:tcPr>
          <w:p>
            <w:pPr>
              <w:ind w:left="140"/>
              <w:spacing w:after="0"/>
              <w:rPr>
                <w:sz w:val="20"/>
                <w:szCs w:val="20"/>
                <w:color w:val="auto"/>
              </w:rPr>
            </w:pPr>
            <w:r>
              <w:rPr>
                <w:rFonts w:ascii="Arial" w:cs="Arial" w:eastAsia="Arial" w:hAnsi="Arial"/>
                <w:sz w:val="18"/>
                <w:szCs w:val="18"/>
                <w:b w:val="1"/>
                <w:bCs w:val="1"/>
                <w:color w:val="auto"/>
              </w:rPr>
              <w:t>Capital Share Transactions</w:t>
            </w: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shares, net of offering and underwriting costs</w:t>
            </w:r>
          </w:p>
        </w:tc>
        <w:tc>
          <w:tcPr>
            <w:tcW w:w="2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71,813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Issuance of convertible notes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Reinvestment of dividends</w:t>
            </w:r>
          </w:p>
        </w:tc>
        <w:tc>
          <w:tcPr>
            <w:tcW w:w="2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7,262</w:t>
            </w:r>
          </w:p>
        </w:tc>
        <w:tc>
          <w:tcPr>
            <w:tcW w:w="100" w:type="dxa"/>
            <w:vAlign w:val="bottom"/>
            <w:shd w:val="clear" w:color="auto" w:fill="CFF0FC"/>
          </w:tcPr>
          <w:p>
            <w:pPr>
              <w:spacing w:after="0"/>
              <w:rPr>
                <w:sz w:val="19"/>
                <w:szCs w:val="19"/>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Dividends declared from net investment income</w:t>
            </w:r>
          </w:p>
        </w:tc>
        <w:tc>
          <w:tcPr>
            <w:tcW w:w="200" w:type="dxa"/>
            <w:vAlign w:val="bottom"/>
          </w:tcPr>
          <w:p>
            <w:pPr>
              <w:spacing w:after="0"/>
              <w:rPr>
                <w:sz w:val="19"/>
                <w:szCs w:val="19"/>
                <w:color w:val="auto"/>
              </w:rPr>
            </w:pPr>
          </w:p>
        </w:tc>
        <w:tc>
          <w:tcPr>
            <w:tcW w:w="1820" w:type="dxa"/>
            <w:vAlign w:val="bottom"/>
            <w:gridSpan w:val="2"/>
          </w:tcPr>
          <w:p>
            <w:pPr>
              <w:jc w:val="right"/>
              <w:ind w:right="80"/>
              <w:spacing w:after="0"/>
              <w:rPr>
                <w:sz w:val="20"/>
                <w:szCs w:val="20"/>
                <w:color w:val="auto"/>
              </w:rPr>
            </w:pPr>
            <w:r>
              <w:rPr>
                <w:rFonts w:ascii="Arial" w:cs="Arial" w:eastAsia="Arial" w:hAnsi="Arial"/>
                <w:sz w:val="18"/>
                <w:szCs w:val="18"/>
                <w:color w:val="auto"/>
              </w:rPr>
              <w:t>(85,177)</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(77,950)</w:t>
            </w:r>
          </w:p>
        </w:tc>
      </w:tr>
      <w:tr>
        <w:trPr>
          <w:trHeight w:val="205"/>
        </w:trPr>
        <w:tc>
          <w:tcPr>
            <w:tcW w:w="7320" w:type="dxa"/>
            <w:vAlign w:val="bottom"/>
            <w:tcBorders>
              <w:top w:val="single" w:sz="8" w:color="CFF0FC"/>
            </w:tcBorders>
            <w:shd w:val="clear" w:color="auto" w:fill="CFF0FC"/>
          </w:tcPr>
          <w:p>
            <w:pPr>
              <w:ind w:left="260"/>
              <w:spacing w:after="0" w:line="205" w:lineRule="exact"/>
              <w:rPr>
                <w:sz w:val="20"/>
                <w:szCs w:val="20"/>
                <w:color w:val="auto"/>
              </w:rPr>
            </w:pPr>
            <w:r>
              <w:rPr>
                <w:rFonts w:ascii="Arial" w:cs="Arial" w:eastAsia="Arial" w:hAnsi="Arial"/>
                <w:sz w:val="18"/>
                <w:szCs w:val="18"/>
                <w:b w:val="1"/>
                <w:bCs w:val="1"/>
                <w:color w:val="auto"/>
              </w:rPr>
              <w:t>Increase (Decrease) in Net Assets Resulting from Capital Share</w:t>
            </w:r>
          </w:p>
        </w:tc>
        <w:tc>
          <w:tcPr>
            <w:tcW w:w="200" w:type="dxa"/>
            <w:vAlign w:val="bottom"/>
            <w:tcBorders>
              <w:top w:val="single" w:sz="8" w:color="auto"/>
            </w:tcBorders>
            <w:shd w:val="clear" w:color="auto" w:fill="CFF0FC"/>
          </w:tcPr>
          <w:p>
            <w:pPr>
              <w:spacing w:after="0"/>
              <w:rPr>
                <w:sz w:val="17"/>
                <w:szCs w:val="17"/>
                <w:color w:val="auto"/>
              </w:rPr>
            </w:pPr>
          </w:p>
        </w:tc>
        <w:tc>
          <w:tcPr>
            <w:tcW w:w="16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34"/>
        </w:trPr>
        <w:tc>
          <w:tcPr>
            <w:tcW w:w="7320" w:type="dxa"/>
            <w:vAlign w:val="bottom"/>
            <w:shd w:val="clear" w:color="auto" w:fill="CFF0FC"/>
          </w:tcPr>
          <w:p>
            <w:pPr>
              <w:ind w:left="380"/>
              <w:spacing w:after="0"/>
              <w:rPr>
                <w:sz w:val="20"/>
                <w:szCs w:val="20"/>
                <w:color w:val="auto"/>
              </w:rPr>
            </w:pPr>
            <w:r>
              <w:rPr>
                <w:rFonts w:ascii="Arial" w:cs="Arial" w:eastAsia="Arial" w:hAnsi="Arial"/>
                <w:sz w:val="18"/>
                <w:szCs w:val="18"/>
                <w:b w:val="1"/>
                <w:bCs w:val="1"/>
                <w:color w:val="auto"/>
              </w:rPr>
              <w:t>Transactions</w:t>
            </w:r>
          </w:p>
        </w:tc>
        <w:tc>
          <w:tcPr>
            <w:tcW w:w="200" w:type="dxa"/>
            <w:vAlign w:val="bottom"/>
            <w:shd w:val="clear" w:color="auto" w:fill="CFF0FC"/>
          </w:tcPr>
          <w:p>
            <w:pPr>
              <w:spacing w:after="0"/>
              <w:rPr>
                <w:sz w:val="20"/>
                <w:szCs w:val="20"/>
                <w:color w:val="auto"/>
              </w:rPr>
            </w:pPr>
          </w:p>
        </w:tc>
        <w:tc>
          <w:tcPr>
            <w:tcW w:w="1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(888)</w:t>
            </w:r>
          </w:p>
        </w:tc>
        <w:tc>
          <w:tcPr>
            <w:tcW w:w="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(70,332)</w:t>
            </w:r>
          </w:p>
        </w:tc>
      </w:tr>
      <w:tr>
        <w:trPr>
          <w:trHeight w:val="223"/>
        </w:trPr>
        <w:tc>
          <w:tcPr>
            <w:tcW w:w="7320" w:type="dxa"/>
            <w:vAlign w:val="bottom"/>
          </w:tcPr>
          <w:p>
            <w:pPr>
              <w:ind w:left="260"/>
              <w:spacing w:after="0"/>
              <w:rPr>
                <w:sz w:val="20"/>
                <w:szCs w:val="20"/>
                <w:color w:val="auto"/>
              </w:rPr>
            </w:pPr>
            <w:r>
              <w:rPr>
                <w:rFonts w:ascii="Arial" w:cs="Arial" w:eastAsia="Arial" w:hAnsi="Arial"/>
                <w:sz w:val="18"/>
                <w:szCs w:val="18"/>
                <w:b w:val="1"/>
                <w:bCs w:val="1"/>
                <w:color w:val="auto"/>
              </w:rPr>
              <w:t>Total Increase in Net Assets</w:t>
            </w:r>
          </w:p>
        </w:tc>
        <w:tc>
          <w:tcPr>
            <w:tcW w:w="20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103,897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14,531</w:t>
            </w:r>
          </w:p>
        </w:tc>
        <w:tc>
          <w:tcPr>
            <w:tcW w:w="10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Net assets, beginning of period</w:t>
            </w:r>
          </w:p>
        </w:tc>
        <w:tc>
          <w:tcPr>
            <w:tcW w:w="20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969,284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952,212</w:t>
            </w:r>
          </w:p>
        </w:tc>
        <w:tc>
          <w:tcPr>
            <w:tcW w:w="100" w:type="dxa"/>
            <w:vAlign w:val="bottom"/>
            <w:shd w:val="clear" w:color="auto" w:fill="CFF0FC"/>
          </w:tcPr>
          <w:p>
            <w:pPr>
              <w:spacing w:after="0"/>
              <w:rPr>
                <w:sz w:val="19"/>
                <w:szCs w:val="19"/>
                <w:color w:val="auto"/>
              </w:rPr>
            </w:pPr>
          </w:p>
        </w:tc>
      </w:tr>
      <w:tr>
        <w:trPr>
          <w:trHeight w:val="263"/>
        </w:trPr>
        <w:tc>
          <w:tcPr>
            <w:tcW w:w="7320" w:type="dxa"/>
            <w:vAlign w:val="bottom"/>
            <w:tcBorders>
              <w:bottom w:val="single" w:sz="8" w:color="CFF0FC"/>
            </w:tcBorders>
          </w:tcPr>
          <w:p>
            <w:pPr>
              <w:ind w:left="260"/>
              <w:spacing w:after="0"/>
              <w:rPr>
                <w:sz w:val="20"/>
                <w:szCs w:val="20"/>
                <w:color w:val="auto"/>
              </w:rPr>
            </w:pPr>
            <w:r>
              <w:rPr>
                <w:rFonts w:ascii="Arial" w:cs="Arial" w:eastAsia="Arial" w:hAnsi="Arial"/>
                <w:sz w:val="18"/>
                <w:szCs w:val="18"/>
                <w:b w:val="1"/>
                <w:bCs w:val="1"/>
                <w:color w:val="auto"/>
              </w:rPr>
              <w:t>Net Assets, End of Period</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1,073,181</w:t>
            </w:r>
          </w:p>
        </w:tc>
        <w:tc>
          <w:tcPr>
            <w:tcW w:w="1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966,743</w:t>
            </w:r>
          </w:p>
        </w:tc>
        <w:tc>
          <w:tcPr>
            <w:tcW w:w="100" w:type="dxa"/>
            <w:vAlign w:val="bottom"/>
            <w:tcBorders>
              <w:bottom w:val="single" w:sz="8" w:color="CFF0FC"/>
            </w:tcBorders>
          </w:tcPr>
          <w:p>
            <w:pPr>
              <w:spacing w:after="0"/>
              <w:rPr>
                <w:sz w:val="22"/>
                <w:szCs w:val="22"/>
                <w:color w:val="auto"/>
              </w:rPr>
            </w:pPr>
          </w:p>
        </w:tc>
      </w:tr>
      <w:tr>
        <w:trPr>
          <w:trHeight w:val="192"/>
        </w:trPr>
        <w:tc>
          <w:tcPr>
            <w:tcW w:w="7320" w:type="dxa"/>
            <w:vAlign w:val="bottom"/>
            <w:shd w:val="clear" w:color="auto" w:fill="CFF0FC"/>
          </w:tcPr>
          <w:p>
            <w:pPr>
              <w:spacing w:after="0" w:line="192" w:lineRule="exact"/>
              <w:rPr>
                <w:sz w:val="20"/>
                <w:szCs w:val="20"/>
                <w:color w:val="auto"/>
              </w:rPr>
            </w:pPr>
            <w:r>
              <w:rPr>
                <w:rFonts w:ascii="Arial" w:cs="Arial" w:eastAsia="Arial" w:hAnsi="Arial"/>
                <w:sz w:val="18"/>
                <w:szCs w:val="18"/>
                <w:b w:val="1"/>
                <w:bCs w:val="1"/>
                <w:color w:val="auto"/>
              </w:rPr>
              <w:t>Undistributed Net Investment Income Included in Net</w:t>
            </w:r>
          </w:p>
        </w:tc>
        <w:tc>
          <w:tcPr>
            <w:tcW w:w="20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73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Assets at the End of the Period</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73,752</w:t>
            </w:r>
          </w:p>
        </w:tc>
        <w:tc>
          <w:tcPr>
            <w:tcW w:w="14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58,866</w:t>
            </w:r>
          </w:p>
        </w:tc>
        <w:tc>
          <w:tcPr>
            <w:tcW w:w="100" w:type="dxa"/>
            <w:vAlign w:val="bottom"/>
            <w:shd w:val="clear" w:color="auto" w:fill="CFF0FC"/>
          </w:tcPr>
          <w:p>
            <w:pPr>
              <w:spacing w:after="0"/>
              <w:rPr>
                <w:sz w:val="20"/>
                <w:szCs w:val="20"/>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Nine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Nine Months Ended</w:t>
            </w:r>
          </w:p>
        </w:tc>
      </w:tr>
      <w:tr>
        <w:trPr>
          <w:trHeight w:val="171"/>
        </w:trPr>
        <w:tc>
          <w:tcPr>
            <w:tcW w:w="7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September 30, 2018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7"/>
              </w:rPr>
              <w:t>September 30, 2017</w:t>
            </w:r>
          </w:p>
        </w:tc>
      </w:tr>
      <w:tr>
        <w:trPr>
          <w:trHeight w:val="223"/>
        </w:trPr>
        <w:tc>
          <w:tcPr>
            <w:tcW w:w="7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104,785</w:t>
            </w:r>
          </w:p>
        </w:tc>
        <w:tc>
          <w:tcPr>
            <w:tcW w:w="140" w:type="dxa"/>
            <w:vAlign w:val="bottom"/>
          </w:tcPr>
          <w:p>
            <w:pPr>
              <w:spacing w:after="0"/>
              <w:rPr>
                <w:sz w:val="19"/>
                <w:szCs w:val="19"/>
                <w:color w:val="auto"/>
              </w:rPr>
            </w:pP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84,863</w:t>
            </w:r>
          </w:p>
        </w:tc>
        <w:tc>
          <w:tcPr>
            <w:tcW w:w="180" w:type="dxa"/>
            <w:vAlign w:val="bottom"/>
          </w:tcPr>
          <w:p>
            <w:pPr>
              <w:spacing w:after="0"/>
              <w:rPr>
                <w:sz w:val="19"/>
                <w:szCs w:val="19"/>
                <w:color w:val="auto"/>
              </w:rPr>
            </w:pPr>
          </w:p>
        </w:tc>
      </w:tr>
      <w:tr>
        <w:trPr>
          <w:trHeight w:val="215"/>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increase in net assets resulting from operations</w:t>
            </w: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7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 net cash provided by (used) in operating activities:</w:t>
            </w:r>
          </w:p>
        </w:tc>
        <w:tc>
          <w:tcPr>
            <w:tcW w:w="20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30"/>
        </w:trPr>
        <w:tc>
          <w:tcPr>
            <w:tcW w:w="7400" w:type="dxa"/>
            <w:vAlign w:val="bottom"/>
          </w:tcPr>
          <w:p>
            <w:pPr>
              <w:ind w:left="500"/>
              <w:spacing w:after="0"/>
              <w:rPr>
                <w:sz w:val="20"/>
                <w:szCs w:val="20"/>
                <w:color w:val="auto"/>
              </w:rPr>
            </w:pPr>
            <w:r>
              <w:rPr>
                <w:rFonts w:ascii="Arial" w:cs="Arial" w:eastAsia="Arial" w:hAnsi="Arial"/>
                <w:sz w:val="18"/>
                <w:szCs w:val="18"/>
                <w:color w:val="auto"/>
              </w:rPr>
              <w:t>Net change in unrealized gains on investments</w:t>
            </w:r>
          </w:p>
        </w:tc>
        <w:tc>
          <w:tcPr>
            <w:tcW w:w="200" w:type="dxa"/>
            <w:vAlign w:val="bottom"/>
          </w:tcPr>
          <w:p>
            <w:pPr>
              <w:spacing w:after="0"/>
              <w:rPr>
                <w:sz w:val="19"/>
                <w:szCs w:val="19"/>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(16,702)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(15,448)</w:t>
            </w:r>
          </w:p>
        </w:tc>
      </w:tr>
      <w:tr>
        <w:trPr>
          <w:trHeight w:val="230"/>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change in unrealized (gains) losses on foreign currency transactions</w:t>
            </w:r>
          </w:p>
        </w:tc>
        <w:tc>
          <w:tcPr>
            <w:tcW w:w="2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(2,316)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10,359</w:t>
            </w:r>
          </w:p>
        </w:tc>
        <w:tc>
          <w:tcPr>
            <w:tcW w:w="180" w:type="dxa"/>
            <w:vAlign w:val="bottom"/>
            <w:shd w:val="clear" w:color="auto" w:fill="CFF0FC"/>
          </w:tcPr>
          <w:p>
            <w:pPr>
              <w:spacing w:after="0"/>
              <w:rPr>
                <w:sz w:val="19"/>
                <w:szCs w:val="19"/>
                <w:color w:val="auto"/>
              </w:rPr>
            </w:pPr>
          </w:p>
        </w:tc>
      </w:tr>
      <w:tr>
        <w:trPr>
          <w:trHeight w:val="230"/>
        </w:trPr>
        <w:tc>
          <w:tcPr>
            <w:tcW w:w="7400" w:type="dxa"/>
            <w:vAlign w:val="bottom"/>
          </w:tcPr>
          <w:p>
            <w:pPr>
              <w:ind w:left="500"/>
              <w:spacing w:after="0"/>
              <w:rPr>
                <w:sz w:val="20"/>
                <w:szCs w:val="20"/>
                <w:color w:val="auto"/>
              </w:rPr>
            </w:pPr>
            <w:r>
              <w:rPr>
                <w:rFonts w:ascii="Arial" w:cs="Arial" w:eastAsia="Arial" w:hAnsi="Arial"/>
                <w:sz w:val="18"/>
                <w:szCs w:val="18"/>
                <w:color w:val="auto"/>
              </w:rPr>
              <w:t>Net change in unrealized (gains) losses on interest rate swaps</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7,980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(605)</w:t>
            </w:r>
          </w:p>
        </w:tc>
      </w:tr>
      <w:tr>
        <w:trPr>
          <w:trHeight w:val="230"/>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realized losses on investments</w:t>
            </w:r>
          </w:p>
        </w:tc>
        <w:tc>
          <w:tcPr>
            <w:tcW w:w="2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14,768</w:t>
            </w:r>
          </w:p>
        </w:tc>
        <w:tc>
          <w:tcPr>
            <w:tcW w:w="180" w:type="dxa"/>
            <w:vAlign w:val="bottom"/>
            <w:shd w:val="clear" w:color="auto" w:fill="CFF0FC"/>
          </w:tcPr>
          <w:p>
            <w:pPr>
              <w:spacing w:after="0"/>
              <w:rPr>
                <w:sz w:val="19"/>
                <w:szCs w:val="19"/>
                <w:color w:val="auto"/>
              </w:rPr>
            </w:pPr>
          </w:p>
        </w:tc>
      </w:tr>
      <w:tr>
        <w:trPr>
          <w:trHeight w:val="230"/>
        </w:trPr>
        <w:tc>
          <w:tcPr>
            <w:tcW w:w="7400" w:type="dxa"/>
            <w:vAlign w:val="bottom"/>
          </w:tcPr>
          <w:p>
            <w:pPr>
              <w:ind w:left="500"/>
              <w:spacing w:after="0"/>
              <w:rPr>
                <w:sz w:val="20"/>
                <w:szCs w:val="20"/>
                <w:color w:val="auto"/>
              </w:rPr>
            </w:pPr>
            <w:r>
              <w:rPr>
                <w:rFonts w:ascii="Arial" w:cs="Arial" w:eastAsia="Arial" w:hAnsi="Arial"/>
                <w:sz w:val="18"/>
                <w:szCs w:val="18"/>
                <w:color w:val="auto"/>
              </w:rPr>
              <w:t>Net realized gains on foreign currency transactions</w:t>
            </w:r>
          </w:p>
        </w:tc>
        <w:tc>
          <w:tcPr>
            <w:tcW w:w="200" w:type="dxa"/>
            <w:vAlign w:val="bottom"/>
          </w:tcPr>
          <w:p>
            <w:pPr>
              <w:spacing w:after="0"/>
              <w:rPr>
                <w:sz w:val="19"/>
                <w:szCs w:val="19"/>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(339)</w:t>
            </w:r>
          </w:p>
        </w:tc>
      </w:tr>
      <w:tr>
        <w:trPr>
          <w:trHeight w:val="230"/>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amortization of discount on investments</w:t>
            </w:r>
          </w:p>
        </w:tc>
        <w:tc>
          <w:tcPr>
            <w:tcW w:w="2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(15,226)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(25,568)</w:t>
            </w:r>
          </w:p>
        </w:tc>
      </w:tr>
      <w:tr>
        <w:trPr>
          <w:trHeight w:val="230"/>
        </w:trPr>
        <w:tc>
          <w:tcPr>
            <w:tcW w:w="7400" w:type="dxa"/>
            <w:vAlign w:val="bottom"/>
          </w:tcPr>
          <w:p>
            <w:pPr>
              <w:ind w:left="500"/>
              <w:spacing w:after="0"/>
              <w:rPr>
                <w:sz w:val="20"/>
                <w:szCs w:val="20"/>
                <w:color w:val="auto"/>
              </w:rPr>
            </w:pPr>
            <w:r>
              <w:rPr>
                <w:rFonts w:ascii="Arial" w:cs="Arial" w:eastAsia="Arial" w:hAnsi="Arial"/>
                <w:sz w:val="18"/>
                <w:szCs w:val="18"/>
                <w:color w:val="auto"/>
              </w:rPr>
              <w:t>Amortization of deferred financing costs</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2,944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2,354</w:t>
            </w:r>
          </w:p>
        </w:tc>
        <w:tc>
          <w:tcPr>
            <w:tcW w:w="180" w:type="dxa"/>
            <w:vAlign w:val="bottom"/>
          </w:tcPr>
          <w:p>
            <w:pPr>
              <w:spacing w:after="0"/>
              <w:rPr>
                <w:sz w:val="19"/>
                <w:szCs w:val="19"/>
                <w:color w:val="auto"/>
              </w:rPr>
            </w:pPr>
          </w:p>
        </w:tc>
      </w:tr>
      <w:tr>
        <w:trPr>
          <w:trHeight w:val="230"/>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discount on debt</w:t>
            </w:r>
          </w:p>
        </w:tc>
        <w:tc>
          <w:tcPr>
            <w:tcW w:w="2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180" w:type="dxa"/>
            <w:vAlign w:val="bottom"/>
            <w:shd w:val="clear" w:color="auto" w:fill="CFF0FC"/>
          </w:tcPr>
          <w:p>
            <w:pPr>
              <w:spacing w:after="0"/>
              <w:rPr>
                <w:sz w:val="19"/>
                <w:szCs w:val="19"/>
                <w:color w:val="auto"/>
              </w:rPr>
            </w:pPr>
          </w:p>
        </w:tc>
      </w:tr>
      <w:tr>
        <w:trPr>
          <w:trHeight w:val="230"/>
        </w:trPr>
        <w:tc>
          <w:tcPr>
            <w:tcW w:w="7400" w:type="dxa"/>
            <w:vAlign w:val="bottom"/>
          </w:tcPr>
          <w:p>
            <w:pPr>
              <w:ind w:left="500"/>
              <w:spacing w:after="0"/>
              <w:rPr>
                <w:sz w:val="20"/>
                <w:szCs w:val="20"/>
                <w:color w:val="auto"/>
              </w:rPr>
            </w:pPr>
            <w:r>
              <w:rPr>
                <w:rFonts w:ascii="Arial" w:cs="Arial" w:eastAsia="Arial" w:hAnsi="Arial"/>
                <w:sz w:val="18"/>
                <w:szCs w:val="18"/>
                <w:color w:val="auto"/>
              </w:rPr>
              <w:t>Purchases and originations of investments, net</w:t>
            </w:r>
          </w:p>
        </w:tc>
        <w:tc>
          <w:tcPr>
            <w:tcW w:w="200" w:type="dxa"/>
            <w:vAlign w:val="bottom"/>
          </w:tcPr>
          <w:p>
            <w:pPr>
              <w:spacing w:after="0"/>
              <w:rPr>
                <w:sz w:val="19"/>
                <w:szCs w:val="19"/>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(691,810)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(742,736)</w:t>
            </w:r>
          </w:p>
        </w:tc>
      </w:tr>
      <w:tr>
        <w:trPr>
          <w:trHeight w:val="230"/>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investments, net</w:t>
            </w:r>
          </w:p>
        </w:tc>
        <w:tc>
          <w:tcPr>
            <w:tcW w:w="2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17,339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92,526</w:t>
            </w:r>
          </w:p>
        </w:tc>
        <w:tc>
          <w:tcPr>
            <w:tcW w:w="180" w:type="dxa"/>
            <w:vAlign w:val="bottom"/>
            <w:shd w:val="clear" w:color="auto" w:fill="CFF0FC"/>
          </w:tcPr>
          <w:p>
            <w:pPr>
              <w:spacing w:after="0"/>
              <w:rPr>
                <w:sz w:val="19"/>
                <w:szCs w:val="19"/>
                <w:color w:val="auto"/>
              </w:rPr>
            </w:pPr>
          </w:p>
        </w:tc>
      </w:tr>
      <w:tr>
        <w:trPr>
          <w:trHeight w:val="230"/>
        </w:trPr>
        <w:tc>
          <w:tcPr>
            <w:tcW w:w="7400" w:type="dxa"/>
            <w:vAlign w:val="bottom"/>
          </w:tcPr>
          <w:p>
            <w:pPr>
              <w:ind w:left="500"/>
              <w:spacing w:after="0"/>
              <w:rPr>
                <w:sz w:val="20"/>
                <w:szCs w:val="20"/>
                <w:color w:val="auto"/>
              </w:rPr>
            </w:pPr>
            <w:r>
              <w:rPr>
                <w:rFonts w:ascii="Arial" w:cs="Arial" w:eastAsia="Arial" w:hAnsi="Arial"/>
                <w:sz w:val="18"/>
                <w:szCs w:val="18"/>
                <w:color w:val="auto"/>
              </w:rPr>
              <w:t>Repayments on investments</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414,713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783,768</w:t>
            </w:r>
          </w:p>
        </w:tc>
        <w:tc>
          <w:tcPr>
            <w:tcW w:w="180" w:type="dxa"/>
            <w:vAlign w:val="bottom"/>
          </w:tcPr>
          <w:p>
            <w:pPr>
              <w:spacing w:after="0"/>
              <w:rPr>
                <w:sz w:val="19"/>
                <w:szCs w:val="19"/>
                <w:color w:val="auto"/>
              </w:rPr>
            </w:pPr>
          </w:p>
        </w:tc>
      </w:tr>
      <w:tr>
        <w:trPr>
          <w:trHeight w:val="230"/>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Paid-in-kind interest</w:t>
            </w:r>
          </w:p>
        </w:tc>
        <w:tc>
          <w:tcPr>
            <w:tcW w:w="2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(4,442)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(5,045)</w:t>
            </w:r>
          </w:p>
        </w:tc>
      </w:tr>
      <w:tr>
        <w:trPr>
          <w:trHeight w:val="230"/>
        </w:trPr>
        <w:tc>
          <w:tcPr>
            <w:tcW w:w="740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receivable</w:t>
            </w:r>
          </w:p>
        </w:tc>
        <w:tc>
          <w:tcPr>
            <w:tcW w:w="2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(2,294)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1,563</w:t>
            </w:r>
          </w:p>
        </w:tc>
        <w:tc>
          <w:tcPr>
            <w:tcW w:w="180" w:type="dxa"/>
            <w:vAlign w:val="bottom"/>
            <w:shd w:val="clear" w:color="auto" w:fill="CFF0FC"/>
          </w:tcPr>
          <w:p>
            <w:pPr>
              <w:spacing w:after="0"/>
              <w:rPr>
                <w:sz w:val="19"/>
                <w:szCs w:val="19"/>
                <w:color w:val="auto"/>
              </w:rPr>
            </w:pPr>
          </w:p>
        </w:tc>
      </w:tr>
      <w:tr>
        <w:trPr>
          <w:trHeight w:val="230"/>
        </w:trPr>
        <w:tc>
          <w:tcPr>
            <w:tcW w:w="7400" w:type="dxa"/>
            <w:vAlign w:val="bottom"/>
          </w:tcPr>
          <w:p>
            <w:pPr>
              <w:ind w:left="500"/>
              <w:spacing w:after="0"/>
              <w:rPr>
                <w:sz w:val="20"/>
                <w:szCs w:val="20"/>
                <w:color w:val="auto"/>
              </w:rPr>
            </w:pPr>
            <w:r>
              <w:rPr>
                <w:rFonts w:ascii="Arial" w:cs="Arial" w:eastAsia="Arial" w:hAnsi="Arial"/>
                <w:sz w:val="18"/>
                <w:szCs w:val="18"/>
                <w:color w:val="auto"/>
              </w:rPr>
              <w:t>Interest receivable paid-in-kind</w:t>
            </w:r>
          </w:p>
        </w:tc>
        <w:tc>
          <w:tcPr>
            <w:tcW w:w="200" w:type="dxa"/>
            <w:vAlign w:val="bottom"/>
          </w:tcPr>
          <w:p>
            <w:pPr>
              <w:spacing w:after="0"/>
              <w:rPr>
                <w:sz w:val="19"/>
                <w:szCs w:val="19"/>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(283)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197</w:t>
            </w:r>
          </w:p>
        </w:tc>
        <w:tc>
          <w:tcPr>
            <w:tcW w:w="180" w:type="dxa"/>
            <w:vAlign w:val="bottom"/>
          </w:tcPr>
          <w:p>
            <w:pPr>
              <w:spacing w:after="0"/>
              <w:rPr>
                <w:sz w:val="19"/>
                <w:szCs w:val="19"/>
                <w:color w:val="auto"/>
              </w:rPr>
            </w:pPr>
          </w:p>
        </w:tc>
      </w:tr>
      <w:tr>
        <w:trPr>
          <w:trHeight w:val="230"/>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(11,648)</w:t>
            </w:r>
          </w:p>
        </w:tc>
      </w:tr>
      <w:tr>
        <w:trPr>
          <w:trHeight w:val="230"/>
        </w:trPr>
        <w:tc>
          <w:tcPr>
            <w:tcW w:w="7400" w:type="dxa"/>
            <w:vAlign w:val="bottom"/>
          </w:tcPr>
          <w:p>
            <w:pPr>
              <w:ind w:left="500"/>
              <w:spacing w:after="0"/>
              <w:rPr>
                <w:sz w:val="20"/>
                <w:szCs w:val="20"/>
                <w:color w:val="auto"/>
              </w:rPr>
            </w:pPr>
            <w:r>
              <w:rPr>
                <w:rFonts w:ascii="Arial" w:cs="Arial" w:eastAsia="Arial" w:hAnsi="Arial"/>
                <w:sz w:val="18"/>
                <w:szCs w:val="18"/>
                <w:color w:val="auto"/>
              </w:rPr>
              <w:t>Management fees payable to affiliate</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(274)</w:t>
            </w:r>
          </w:p>
        </w:tc>
      </w:tr>
      <w:tr>
        <w:trPr>
          <w:trHeight w:val="230"/>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Incentive fees payable to affiliate</w:t>
            </w:r>
          </w:p>
        </w:tc>
        <w:tc>
          <w:tcPr>
            <w:tcW w:w="20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180" w:type="dxa"/>
            <w:vAlign w:val="bottom"/>
            <w:shd w:val="clear" w:color="auto" w:fill="CFF0FC"/>
          </w:tcPr>
          <w:p>
            <w:pPr>
              <w:spacing w:after="0"/>
              <w:rPr>
                <w:sz w:val="19"/>
                <w:szCs w:val="19"/>
                <w:color w:val="auto"/>
              </w:rPr>
            </w:pPr>
          </w:p>
        </w:tc>
      </w:tr>
      <w:tr>
        <w:trPr>
          <w:trHeight w:val="230"/>
        </w:trPr>
        <w:tc>
          <w:tcPr>
            <w:tcW w:w="7400" w:type="dxa"/>
            <w:vAlign w:val="bottom"/>
          </w:tcPr>
          <w:p>
            <w:pPr>
              <w:ind w:left="500"/>
              <w:spacing w:after="0"/>
              <w:rPr>
                <w:sz w:val="20"/>
                <w:szCs w:val="20"/>
                <w:color w:val="auto"/>
              </w:rPr>
            </w:pPr>
            <w:r>
              <w:rPr>
                <w:rFonts w:ascii="Arial" w:cs="Arial" w:eastAsia="Arial" w:hAnsi="Arial"/>
                <w:sz w:val="18"/>
                <w:szCs w:val="18"/>
                <w:color w:val="auto"/>
              </w:rPr>
              <w:t>Payable to affiliate</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371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19"/>
                <w:szCs w:val="19"/>
                <w:color w:val="auto"/>
              </w:rPr>
            </w:pPr>
          </w:p>
        </w:tc>
      </w:tr>
      <w:tr>
        <w:trPr>
          <w:trHeight w:val="230"/>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(3,871)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4,601</w:t>
            </w:r>
          </w:p>
        </w:tc>
        <w:tc>
          <w:tcPr>
            <w:tcW w:w="180" w:type="dxa"/>
            <w:vAlign w:val="bottom"/>
            <w:shd w:val="clear" w:color="auto" w:fill="CFF0FC"/>
          </w:tcPr>
          <w:p>
            <w:pPr>
              <w:spacing w:after="0"/>
              <w:rPr>
                <w:sz w:val="19"/>
                <w:szCs w:val="19"/>
                <w:color w:val="auto"/>
              </w:rPr>
            </w:pPr>
          </w:p>
        </w:tc>
      </w:tr>
      <w:tr>
        <w:trPr>
          <w:trHeight w:val="223"/>
        </w:trPr>
        <w:tc>
          <w:tcPr>
            <w:tcW w:w="7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20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(170,799)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196,527</w:t>
            </w:r>
          </w:p>
        </w:tc>
        <w:tc>
          <w:tcPr>
            <w:tcW w:w="180" w:type="dxa"/>
            <w:vAlign w:val="bottom"/>
            <w:tcBorders>
              <w:bottom w:val="single" w:sz="8" w:color="CFF0FC"/>
            </w:tcBorders>
          </w:tcPr>
          <w:p>
            <w:pPr>
              <w:spacing w:after="0"/>
              <w:rPr>
                <w:sz w:val="19"/>
                <w:szCs w:val="19"/>
                <w:color w:val="auto"/>
              </w:rPr>
            </w:pPr>
          </w:p>
        </w:tc>
      </w:tr>
      <w:tr>
        <w:trPr>
          <w:trHeight w:val="223"/>
        </w:trPr>
        <w:tc>
          <w:tcPr>
            <w:tcW w:w="7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Borrowings on debt</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1,032,897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849,000</w:t>
            </w:r>
          </w:p>
        </w:tc>
        <w:tc>
          <w:tcPr>
            <w:tcW w:w="180" w:type="dxa"/>
            <w:vAlign w:val="bottom"/>
          </w:tcPr>
          <w:p>
            <w:pPr>
              <w:spacing w:after="0"/>
              <w:rPr>
                <w:sz w:val="19"/>
                <w:szCs w:val="19"/>
                <w:color w:val="auto"/>
              </w:rPr>
            </w:pPr>
          </w:p>
        </w:tc>
      </w:tr>
      <w:tr>
        <w:trPr>
          <w:trHeight w:val="23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Repayments on debt</w:t>
            </w:r>
          </w:p>
        </w:tc>
        <w:tc>
          <w:tcPr>
            <w:tcW w:w="2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(850,613)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(968,893)</w:t>
            </w: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200" w:type="dxa"/>
            <w:vAlign w:val="bottom"/>
          </w:tcPr>
          <w:p>
            <w:pPr>
              <w:spacing w:after="0"/>
              <w:rPr>
                <w:sz w:val="19"/>
                <w:szCs w:val="19"/>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(6,850)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(3,922)</w:t>
            </w:r>
          </w:p>
        </w:tc>
      </w:tr>
      <w:tr>
        <w:trPr>
          <w:trHeight w:val="215"/>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common stock, net of offering and</w:t>
            </w: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7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underwriting costs</w:t>
            </w:r>
          </w:p>
        </w:tc>
        <w:tc>
          <w:tcPr>
            <w:tcW w:w="20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71,813</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Dividends paid to stockholders</w:t>
            </w:r>
          </w:p>
        </w:tc>
        <w:tc>
          <w:tcPr>
            <w:tcW w:w="200" w:type="dxa"/>
            <w:vAlign w:val="bottom"/>
          </w:tcPr>
          <w:p>
            <w:pPr>
              <w:spacing w:after="0"/>
              <w:rPr>
                <w:sz w:val="19"/>
                <w:szCs w:val="19"/>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(71,798)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(70,548)</w:t>
            </w:r>
          </w:p>
        </w:tc>
      </w:tr>
      <w:tr>
        <w:trPr>
          <w:trHeight w:val="223"/>
        </w:trPr>
        <w:tc>
          <w:tcPr>
            <w:tcW w:w="74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175,449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(194,363)</w:t>
            </w:r>
          </w:p>
        </w:tc>
        <w:tc>
          <w:tcPr>
            <w:tcW w:w="180" w:type="dxa"/>
            <w:vAlign w:val="bottom"/>
            <w:tcBorders>
              <w:top w:val="single" w:sz="8" w:color="CFF0FC"/>
            </w:tcBorders>
            <w:shd w:val="clear" w:color="auto" w:fill="CFF0FC"/>
          </w:tcPr>
          <w:p>
            <w:pPr>
              <w:spacing w:after="0"/>
              <w:rPr>
                <w:sz w:val="19"/>
                <w:szCs w:val="19"/>
                <w:color w:val="auto"/>
              </w:rPr>
            </w:pPr>
          </w:p>
        </w:tc>
      </w:tr>
      <w:tr>
        <w:trPr>
          <w:trHeight w:val="223"/>
        </w:trPr>
        <w:tc>
          <w:tcPr>
            <w:tcW w:w="7400" w:type="dxa"/>
            <w:vAlign w:val="bottom"/>
          </w:tcPr>
          <w:p>
            <w:pPr>
              <w:ind w:left="500"/>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4,650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2,164</w:t>
            </w:r>
          </w:p>
        </w:tc>
        <w:tc>
          <w:tcPr>
            <w:tcW w:w="180" w:type="dxa"/>
            <w:vAlign w:val="bottom"/>
          </w:tcPr>
          <w:p>
            <w:pPr>
              <w:spacing w:after="0"/>
              <w:rPr>
                <w:sz w:val="19"/>
                <w:szCs w:val="19"/>
                <w:color w:val="auto"/>
              </w:rPr>
            </w:pPr>
          </w:p>
        </w:tc>
      </w:tr>
      <w:tr>
        <w:trPr>
          <w:trHeight w:val="23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20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5,954</w:t>
            </w:r>
          </w:p>
        </w:tc>
        <w:tc>
          <w:tcPr>
            <w:tcW w:w="180" w:type="dxa"/>
            <w:vAlign w:val="bottom"/>
            <w:shd w:val="clear" w:color="auto" w:fill="CFF0FC"/>
          </w:tcPr>
          <w:p>
            <w:pPr>
              <w:spacing w:after="0"/>
              <w:rPr>
                <w:sz w:val="19"/>
                <w:szCs w:val="19"/>
                <w:color w:val="auto"/>
              </w:rPr>
            </w:pPr>
          </w:p>
        </w:tc>
      </w:tr>
      <w:tr>
        <w:trPr>
          <w:trHeight w:val="263"/>
        </w:trPr>
        <w:tc>
          <w:tcPr>
            <w:tcW w:w="740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11,315</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8,118</w:t>
            </w:r>
          </w:p>
        </w:tc>
        <w:tc>
          <w:tcPr>
            <w:tcW w:w="180" w:type="dxa"/>
            <w:vAlign w:val="bottom"/>
            <w:tcBorders>
              <w:bottom w:val="single" w:sz="8" w:color="CFF0FC"/>
            </w:tcBorders>
          </w:tcPr>
          <w:p>
            <w:pPr>
              <w:spacing w:after="0"/>
              <w:rPr>
                <w:sz w:val="22"/>
                <w:szCs w:val="22"/>
                <w:color w:val="auto"/>
              </w:rPr>
            </w:pPr>
          </w:p>
        </w:tc>
      </w:tr>
      <w:tr>
        <w:trPr>
          <w:trHeight w:val="21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Supplemental Information:</w:t>
            </w: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7400" w:type="dxa"/>
            <w:vAlign w:val="bottom"/>
          </w:tcPr>
          <w:p>
            <w:pPr>
              <w:ind w:left="500"/>
              <w:spacing w:after="0"/>
              <w:rPr>
                <w:sz w:val="20"/>
                <w:szCs w:val="20"/>
                <w:color w:val="auto"/>
              </w:rPr>
            </w:pPr>
            <w:r>
              <w:rPr>
                <w:rFonts w:ascii="Arial" w:cs="Arial" w:eastAsia="Arial" w:hAnsi="Arial"/>
                <w:sz w:val="18"/>
                <w:szCs w:val="18"/>
                <w:color w:val="auto"/>
              </w:rPr>
              <w:t>Interest paid during the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27,215</w:t>
            </w:r>
          </w:p>
        </w:tc>
        <w:tc>
          <w:tcPr>
            <w:tcW w:w="140" w:type="dxa"/>
            <w:vAlign w:val="bottom"/>
          </w:tcPr>
          <w:p>
            <w:pPr>
              <w:spacing w:after="0"/>
              <w:rPr>
                <w:sz w:val="19"/>
                <w:szCs w:val="19"/>
                <w:color w:val="auto"/>
              </w:rPr>
            </w:pP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15,030</w:t>
            </w:r>
          </w:p>
        </w:tc>
        <w:tc>
          <w:tcPr>
            <w:tcW w:w="180" w:type="dxa"/>
            <w:vAlign w:val="bottom"/>
          </w:tcPr>
          <w:p>
            <w:pPr>
              <w:spacing w:after="0"/>
              <w:rPr>
                <w:sz w:val="19"/>
                <w:szCs w:val="19"/>
                <w:color w:val="auto"/>
              </w:rPr>
            </w:pPr>
          </w:p>
        </w:tc>
      </w:tr>
      <w:tr>
        <w:trPr>
          <w:trHeight w:val="230"/>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Excise taxes paid during the period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2,100</w:t>
            </w:r>
          </w:p>
        </w:tc>
        <w:tc>
          <w:tcPr>
            <w:tcW w:w="180" w:type="dxa"/>
            <w:vAlign w:val="bottom"/>
            <w:shd w:val="clear" w:color="auto" w:fill="CFF0FC"/>
          </w:tcPr>
          <w:p>
            <w:pPr>
              <w:spacing w:after="0"/>
              <w:rPr>
                <w:sz w:val="19"/>
                <w:szCs w:val="19"/>
                <w:color w:val="auto"/>
              </w:rPr>
            </w:pPr>
          </w:p>
        </w:tc>
      </w:tr>
      <w:tr>
        <w:trPr>
          <w:trHeight w:val="230"/>
        </w:trPr>
        <w:tc>
          <w:tcPr>
            <w:tcW w:w="7400" w:type="dxa"/>
            <w:vAlign w:val="bottom"/>
          </w:tcPr>
          <w:p>
            <w:pPr>
              <w:ind w:left="500"/>
              <w:spacing w:after="0"/>
              <w:rPr>
                <w:sz w:val="20"/>
                <w:szCs w:val="20"/>
                <w:color w:val="auto"/>
              </w:rPr>
            </w:pPr>
            <w:r>
              <w:rPr>
                <w:rFonts w:ascii="Arial" w:cs="Arial" w:eastAsia="Arial" w:hAnsi="Arial"/>
                <w:sz w:val="18"/>
                <w:szCs w:val="18"/>
                <w:color w:val="auto"/>
              </w:rPr>
              <w:t>Dividends declared during the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85,177</w:t>
            </w:r>
          </w:p>
        </w:tc>
        <w:tc>
          <w:tcPr>
            <w:tcW w:w="140" w:type="dxa"/>
            <w:vAlign w:val="bottom"/>
          </w:tcPr>
          <w:p>
            <w:pPr>
              <w:spacing w:after="0"/>
              <w:rPr>
                <w:sz w:val="19"/>
                <w:szCs w:val="19"/>
                <w:color w:val="auto"/>
              </w:rPr>
            </w:pP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77,950</w:t>
            </w:r>
          </w:p>
        </w:tc>
        <w:tc>
          <w:tcPr>
            <w:tcW w:w="180" w:type="dxa"/>
            <w:vAlign w:val="bottom"/>
          </w:tcPr>
          <w:p>
            <w:pPr>
              <w:spacing w:after="0"/>
              <w:rPr>
                <w:sz w:val="19"/>
                <w:szCs w:val="19"/>
                <w:color w:val="auto"/>
              </w:rPr>
            </w:pPr>
          </w:p>
        </w:tc>
      </w:tr>
      <w:tr>
        <w:trPr>
          <w:trHeight w:val="230"/>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Reinvestment of dividends during the period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11,466</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7,262</w:t>
            </w:r>
          </w:p>
        </w:tc>
        <w:tc>
          <w:tcPr>
            <w:tcW w:w="18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20" w:firstLine="259"/>
        <w:spacing w:after="0" w:line="272" w:lineRule="auto"/>
        <w:rPr>
          <w:sz w:val="20"/>
          <w:szCs w:val="20"/>
          <w:color w:val="auto"/>
        </w:rPr>
      </w:pPr>
      <w:r>
        <w:rPr>
          <w:rFonts w:ascii="Arial" w:cs="Arial" w:eastAsia="Arial" w:hAnsi="Arial"/>
          <w:sz w:val="17"/>
          <w:szCs w:val="17"/>
          <w:color w:val="auto"/>
        </w:rPr>
        <w:t>TPG Specialty Lending, Inc. (“TSLX” or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TSLX is managed by TSL Advisers, LLC (the “Adviser”). On June 1, 2011, the Company formed a wholly-owned subsidiary, TC Lending, LLC, a Delaware limited liability company. On March 22, 2012, the Company formed a wholly-owned subsidiary, TPG SL SPV, LLC, a Delaware limited liability company (“TPG SL SPV”). On May 19, 2014, the Company formed a wholly-owned subsidiary, TSL MR, LLC, a Delaware limited liability company.</w:t>
      </w:r>
    </w:p>
    <w:p>
      <w:pPr>
        <w:spacing w:after="0" w:line="178"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On March 21, 2014, the Company completed its initial public offering (“IPO”) and the Company’s shares began trading on the New York Stock Exchange (“NYSE”) under the symbol “TSLX.”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20" w:firstLine="259"/>
        <w:spacing w:after="0" w:line="302" w:lineRule="auto"/>
        <w:rPr>
          <w:sz w:val="20"/>
          <w:szCs w:val="20"/>
          <w:color w:val="auto"/>
        </w:rPr>
      </w:pPr>
      <w:r>
        <w:rPr>
          <w:rFonts w:ascii="Arial" w:cs="Arial" w:eastAsia="Arial" w:hAnsi="Arial"/>
          <w:sz w:val="16"/>
          <w:szCs w:val="16"/>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54" w:lineRule="exact"/>
        <w:rPr>
          <w:sz w:val="20"/>
          <w:szCs w:val="20"/>
          <w:color w:val="auto"/>
        </w:rPr>
      </w:pPr>
    </w:p>
    <w:p>
      <w:pPr>
        <w:ind w:firstLine="259"/>
        <w:spacing w:after="0" w:line="302" w:lineRule="auto"/>
        <w:rPr>
          <w:sz w:val="20"/>
          <w:szCs w:val="20"/>
          <w:color w:val="auto"/>
        </w:rPr>
      </w:pPr>
      <w:r>
        <w:rPr>
          <w:rFonts w:ascii="Arial" w:cs="Arial" w:eastAsia="Arial" w:hAnsi="Arial"/>
          <w:sz w:val="16"/>
          <w:szCs w:val="16"/>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2017, which was filed with the Securities and Exchange Commission (“SEC”), on February 21, 2018.</w:t>
      </w:r>
    </w:p>
    <w:p>
      <w:pPr>
        <w:spacing w:after="0" w:line="154"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 xml:space="preserve">The Company is an investment company and, therefore, applies the specialized accounting and reporting guidance in Accounting Standards Codification (“ASC”) Topic 946, </w:t>
      </w:r>
      <w:r>
        <w:rPr>
          <w:rFonts w:ascii="Arial" w:cs="Arial" w:eastAsia="Arial" w:hAnsi="Arial"/>
          <w:sz w:val="18"/>
          <w:szCs w:val="18"/>
          <w:i w:val="1"/>
          <w:iCs w:val="1"/>
          <w:color w:val="auto"/>
        </w:rPr>
        <w:t>Financial Services – Investment Companies.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fiscal year ends on December 31.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right="200" w:firstLine="259"/>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100" w:firstLine="259"/>
        <w:spacing w:after="0" w:line="259" w:lineRule="auto"/>
        <w:rPr>
          <w:sz w:val="20"/>
          <w:szCs w:val="20"/>
          <w:color w:val="auto"/>
        </w:rPr>
      </w:pPr>
      <w:r>
        <w:rPr>
          <w:rFonts w:ascii="Arial" w:cs="Arial" w:eastAsia="Arial" w:hAnsi="Arial"/>
          <w:sz w:val="18"/>
          <w:szCs w:val="18"/>
          <w:color w:val="auto"/>
        </w:rPr>
        <w:t>Cash and cash equivalents may consist of demand deposits, highly liquid investments (e.g., money market funds, U.S. Treasury notes, and similar type instruments) with original maturities of three months or less, and restricted cash pledged as collateral.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40" w:firstLine="259"/>
        <w:spacing w:after="0" w:line="297" w:lineRule="auto"/>
        <w:rPr>
          <w:sz w:val="20"/>
          <w:szCs w:val="20"/>
          <w:color w:val="auto"/>
        </w:rPr>
      </w:pPr>
      <w:r>
        <w:rPr>
          <w:rFonts w:ascii="Arial" w:cs="Arial" w:eastAsia="Arial" w:hAnsi="Arial"/>
          <w:sz w:val="16"/>
          <w:szCs w:val="16"/>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73"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As part of the valuation process, the Board takes into account relevant factors in determining the fair value of its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20" w:right="260" w:hanging="255"/>
        <w:spacing w:after="0" w:line="277"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62" w:lineRule="exact"/>
        <w:rPr>
          <w:rFonts w:ascii="Arial" w:cs="Arial" w:eastAsia="Arial" w:hAnsi="Arial"/>
          <w:sz w:val="18"/>
          <w:szCs w:val="18"/>
          <w:color w:val="auto"/>
        </w:rPr>
      </w:pPr>
    </w:p>
    <w:p>
      <w:pPr>
        <w:ind w:left="520" w:right="580" w:hanging="255"/>
        <w:spacing w:after="0" w:line="277"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17" w:lineRule="exact"/>
        <w:rPr>
          <w:rFonts w:ascii="Arial" w:cs="Arial" w:eastAsia="Arial" w:hAnsi="Arial"/>
          <w:sz w:val="18"/>
          <w:szCs w:val="18"/>
          <w:color w:val="auto"/>
        </w:rPr>
      </w:pPr>
    </w:p>
    <w:p>
      <w:pPr>
        <w:ind w:left="520" w:right="80" w:hanging="255"/>
        <w:spacing w:after="0" w:line="264"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conducts this valuation process on a quarterly basis.</w:t>
      </w:r>
    </w:p>
    <w:p>
      <w:pPr>
        <w:spacing w:after="0" w:line="225" w:lineRule="exact"/>
        <w:rPr>
          <w:sz w:val="20"/>
          <w:szCs w:val="20"/>
          <w:color w:val="auto"/>
        </w:rPr>
      </w:pPr>
    </w:p>
    <w:p>
      <w:pPr>
        <w:ind w:right="80" w:firstLine="259"/>
        <w:spacing w:after="0" w:line="279" w:lineRule="auto"/>
        <w:rPr>
          <w:sz w:val="20"/>
          <w:szCs w:val="20"/>
          <w:color w:val="auto"/>
        </w:rPr>
      </w:pPr>
      <w:r>
        <w:rPr>
          <w:rFonts w:ascii="Arial" w:cs="Arial" w:eastAsia="Arial" w:hAnsi="Arial"/>
          <w:sz w:val="17"/>
          <w:szCs w:val="17"/>
          <w:color w:val="auto"/>
        </w:rPr>
        <w:t>The Board has engaged independent third-party valuation firms to perform certain limited procedures that the Board has identified and requested them to perform in connection with the valuation process. At September 30, 2018,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appeared reasonable.</w:t>
      </w:r>
    </w:p>
    <w:p>
      <w:pPr>
        <w:spacing w:after="0" w:line="171" w:lineRule="exact"/>
        <w:rPr>
          <w:sz w:val="20"/>
          <w:szCs w:val="20"/>
          <w:color w:val="auto"/>
        </w:rPr>
      </w:pPr>
    </w:p>
    <w:p>
      <w:pPr>
        <w:ind w:right="20" w:firstLine="259"/>
        <w:spacing w:after="0" w:line="272" w:lineRule="auto"/>
        <w:rPr>
          <w:sz w:val="20"/>
          <w:szCs w:val="20"/>
          <w:color w:val="auto"/>
        </w:rPr>
      </w:pPr>
      <w:r>
        <w:rPr>
          <w:rFonts w:ascii="Arial" w:cs="Arial" w:eastAsia="Arial" w:hAnsi="Arial"/>
          <w:sz w:val="17"/>
          <w:szCs w:val="17"/>
          <w:color w:val="auto"/>
        </w:rPr>
        <w:t xml:space="preserve">The Company applies Financial Accounting Standards Board Accounting Standards Codification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70" w:lineRule="exact"/>
        <w:rPr>
          <w:sz w:val="20"/>
          <w:szCs w:val="20"/>
          <w:color w:val="auto"/>
        </w:rPr>
      </w:pPr>
    </w:p>
    <w:p>
      <w:pPr>
        <w:ind w:left="5620" w:right="1040" w:hanging="5355"/>
        <w:spacing w:after="0" w:line="528" w:lineRule="auto"/>
        <w:tabs>
          <w:tab w:leader="none" w:pos="517"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has the ability to access.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0" w:name="page21"/>
    <w:bookmarkEnd w:id="20"/>
    <w:p>
      <w:pPr>
        <w:ind w:left="520" w:right="740" w:hanging="255"/>
        <w:spacing w:after="0" w:line="277"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firstLine="259"/>
        <w:spacing w:after="0" w:line="290"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66" w:lineRule="exact"/>
        <w:rPr>
          <w:sz w:val="20"/>
          <w:szCs w:val="20"/>
          <w:color w:val="auto"/>
        </w:rPr>
      </w:pPr>
    </w:p>
    <w:p>
      <w:pPr>
        <w:ind w:right="260" w:firstLine="259"/>
        <w:spacing w:after="0" w:line="255"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93"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117" w:lineRule="exact"/>
        <w:rPr>
          <w:sz w:val="20"/>
          <w:szCs w:val="20"/>
          <w:color w:val="auto"/>
        </w:rPr>
      </w:pPr>
    </w:p>
    <w:p>
      <w:pPr>
        <w:ind w:firstLine="259"/>
        <w:spacing w:after="0" w:line="342" w:lineRule="auto"/>
        <w:rPr>
          <w:sz w:val="20"/>
          <w:szCs w:val="20"/>
          <w:color w:val="auto"/>
        </w:rPr>
      </w:pPr>
      <w:r>
        <w:rPr>
          <w:rFonts w:ascii="Arial" w:cs="Arial" w:eastAsia="Arial" w:hAnsi="Arial"/>
          <w:sz w:val="16"/>
          <w:szCs w:val="16"/>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124" w:lineRule="exact"/>
        <w:rPr>
          <w:sz w:val="20"/>
          <w:szCs w:val="20"/>
          <w:color w:val="auto"/>
        </w:rPr>
      </w:pPr>
    </w:p>
    <w:p>
      <w:pPr>
        <w:ind w:right="60" w:firstLine="259"/>
        <w:spacing w:after="0" w:line="297" w:lineRule="auto"/>
        <w:rPr>
          <w:sz w:val="20"/>
          <w:szCs w:val="20"/>
          <w:color w:val="auto"/>
        </w:rPr>
      </w:pPr>
      <w:r>
        <w:rPr>
          <w:rFonts w:ascii="Arial" w:cs="Arial" w:eastAsia="Arial" w:hAnsi="Arial"/>
          <w:sz w:val="16"/>
          <w:szCs w:val="16"/>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Derivatives, including the Company’s interest rate swaps, for which broker quotes are available are typically valued at those broker quotes.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117"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17" w:lineRule="exact"/>
        <w:rPr>
          <w:sz w:val="20"/>
          <w:szCs w:val="20"/>
          <w:color w:val="auto"/>
        </w:rPr>
      </w:pPr>
    </w:p>
    <w:p>
      <w:pPr>
        <w:ind w:left="520" w:right="40" w:hanging="255"/>
        <w:spacing w:after="0" w:line="277"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62" w:lineRule="exact"/>
        <w:rPr>
          <w:rFonts w:ascii="Arial" w:cs="Arial" w:eastAsia="Arial" w:hAnsi="Arial"/>
          <w:sz w:val="18"/>
          <w:szCs w:val="18"/>
          <w:color w:val="auto"/>
        </w:rPr>
      </w:pPr>
    </w:p>
    <w:p>
      <w:pPr>
        <w:ind w:left="520" w:right="160" w:hanging="255"/>
        <w:spacing w:after="0" w:line="277"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1" w:name="page22"/>
    <w:bookmarkEnd w:id="21"/>
    <w:p>
      <w:pPr>
        <w:ind w:right="100" w:firstLine="259"/>
        <w:spacing w:after="0" w:line="293"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65" w:lineRule="exact"/>
        <w:rPr>
          <w:sz w:val="20"/>
          <w:szCs w:val="20"/>
          <w:color w:val="auto"/>
        </w:rPr>
      </w:pPr>
    </w:p>
    <w:p>
      <w:pPr>
        <w:ind w:right="280" w:firstLine="259"/>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 Expenses</w:t>
      </w:r>
    </w:p>
    <w:p>
      <w:pPr>
        <w:spacing w:after="0" w:line="117" w:lineRule="exact"/>
        <w:rPr>
          <w:sz w:val="20"/>
          <w:szCs w:val="20"/>
          <w:color w:val="auto"/>
        </w:rPr>
      </w:pPr>
    </w:p>
    <w:p>
      <w:pPr>
        <w:ind w:right="380" w:firstLine="259"/>
        <w:spacing w:after="0" w:line="277" w:lineRule="auto"/>
        <w:rPr>
          <w:sz w:val="20"/>
          <w:szCs w:val="20"/>
          <w:color w:val="auto"/>
        </w:rPr>
      </w:pPr>
      <w:r>
        <w:rPr>
          <w:rFonts w:ascii="Arial" w:cs="Arial" w:eastAsia="Arial" w:hAnsi="Arial"/>
          <w:sz w:val="18"/>
          <w:szCs w:val="18"/>
          <w:color w:val="auto"/>
        </w:rPr>
        <w:t>The Company records expenses related to equity offerings as a reduction of capital upon completion of an offering of registered securities. The costs associated with renewals of the Company’s shelf registration statement are expensed as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obligation.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right="240" w:firstLine="259"/>
        <w:spacing w:after="0" w:line="286" w:lineRule="auto"/>
        <w:rPr>
          <w:sz w:val="20"/>
          <w:szCs w:val="20"/>
          <w:color w:val="auto"/>
        </w:rPr>
      </w:pPr>
      <w:r>
        <w:rPr>
          <w:rFonts w:ascii="Arial" w:cs="Arial" w:eastAsia="Arial" w:hAnsi="Arial"/>
          <w:sz w:val="17"/>
          <w:szCs w:val="17"/>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66"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color w:val="auto"/>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70" w:lineRule="exact"/>
        <w:rPr>
          <w:sz w:val="20"/>
          <w:szCs w:val="20"/>
          <w:color w:val="auto"/>
        </w:rPr>
      </w:pPr>
    </w:p>
    <w:p>
      <w:pPr>
        <w:ind w:right="160" w:firstLine="259"/>
        <w:spacing w:after="0" w:line="273" w:lineRule="auto"/>
        <w:rPr>
          <w:sz w:val="20"/>
          <w:szCs w:val="20"/>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8"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color w:val="auto"/>
        </w:rPr>
        <w:t>From time to time, the Company may receive fees for services provided to portfolio companies by the Adviser. The services that the Adviser provides vary by investment, but may include syndication, structuring, diligence fees, or other service-based fees, and fees for providing managerial assistance to our portfolio companies and are recognized as revenue when earned.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 Subsequent to closing, investments are recorded at fair value at each reporting period.</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22" w:name="page23"/>
    <w:bookmarkEnd w:id="22"/>
    <w:p>
      <w:pPr>
        <w:ind w:right="80" w:firstLine="259"/>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260" w:firstLine="259"/>
        <w:spacing w:after="0" w:line="257" w:lineRule="auto"/>
        <w:rPr>
          <w:sz w:val="20"/>
          <w:szCs w:val="20"/>
          <w:color w:val="auto"/>
        </w:rPr>
      </w:pPr>
      <w:r>
        <w:rPr>
          <w:rFonts w:ascii="Arial" w:cs="Arial" w:eastAsia="Arial" w:hAnsi="Arial"/>
          <w:sz w:val="18"/>
          <w:szCs w:val="18"/>
          <w:color w:val="auto"/>
        </w:rPr>
        <w:t>The Company has elected to be treated as a BDC under the 1940 Act. The Company also has elected to be treated as a RIC under the Internal Revenue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88"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117" w:lineRule="exact"/>
        <w:rPr>
          <w:sz w:val="20"/>
          <w:szCs w:val="20"/>
          <w:color w:val="auto"/>
        </w:rPr>
      </w:pPr>
    </w:p>
    <w:p>
      <w:pPr>
        <w:ind w:right="40" w:firstLine="259"/>
        <w:spacing w:after="0" w:line="308" w:lineRule="auto"/>
        <w:rPr>
          <w:sz w:val="20"/>
          <w:szCs w:val="20"/>
          <w:color w:val="auto"/>
        </w:rPr>
      </w:pPr>
      <w:r>
        <w:rPr>
          <w:rFonts w:ascii="Arial" w:cs="Arial" w:eastAsia="Arial" w:hAnsi="Arial"/>
          <w:sz w:val="17"/>
          <w:szCs w:val="17"/>
          <w:color w:val="auto"/>
        </w:rPr>
        <w:t>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spacing w:after="0" w:line="147"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satisfy the dividend reinvestment plan.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 in 2018</w:t>
      </w:r>
    </w:p>
    <w:p>
      <w:pPr>
        <w:spacing w:after="0" w:line="117" w:lineRule="exact"/>
        <w:rPr>
          <w:sz w:val="20"/>
          <w:szCs w:val="20"/>
          <w:color w:val="auto"/>
        </w:rPr>
      </w:pPr>
    </w:p>
    <w:p>
      <w:pPr>
        <w:ind w:right="60" w:firstLine="259"/>
        <w:spacing w:after="0" w:line="272" w:lineRule="auto"/>
        <w:rPr>
          <w:sz w:val="20"/>
          <w:szCs w:val="20"/>
          <w:color w:val="auto"/>
        </w:rPr>
      </w:pPr>
      <w:r>
        <w:rPr>
          <w:rFonts w:ascii="Arial" w:cs="Arial" w:eastAsia="Arial" w:hAnsi="Arial"/>
          <w:sz w:val="17"/>
          <w:szCs w:val="17"/>
          <w:color w:val="auto"/>
        </w:rPr>
        <w:t>In May 2014, the Financial Accounting Standards Board issued Accounting Standards Update 2014-09 (“ASU 2014-09”), “Revenue from Contracts with Customers (Topic 606).” The guidance in this ASU supersedes the revenue recognition requirements in Topic 605, Revenue Recognition. Under the new guidance, an entity should recognize revenue to depict the transfer of promised goods or services to customers in an amount that reflects the consideration to which the entity expects to be entitled in exchange for those goods or services. The amendments in ASU 2014-09 are effective for public companies for interim and annual periods in fiscal years beginning after December 15, 2017, with early adoption permitted for interim and annual periods in fiscal years beginning after December 15, 2016. The Company’s adoption of this guidance did not have a material impact on the Company’s financial position, results of operations, cash flows or notes to the consolidated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right="60" w:firstLine="259"/>
        <w:spacing w:after="0" w:line="291" w:lineRule="auto"/>
        <w:rPr>
          <w:sz w:val="20"/>
          <w:szCs w:val="20"/>
          <w:color w:val="auto"/>
        </w:rPr>
      </w:pPr>
      <w:r>
        <w:rPr>
          <w:rFonts w:ascii="Arial" w:cs="Arial" w:eastAsia="Arial" w:hAnsi="Arial"/>
          <w:sz w:val="16"/>
          <w:szCs w:val="16"/>
          <w:color w:val="auto"/>
        </w:rPr>
        <w:t>In August 2017, the Financial Accounting Standards Board issued Accounting Standards Update 2017-12 (“ASU 2017-12”) “Derivatives and Hedging (Topic 815), Targeted Improvements to Accounting for Hedging Activities.” Among other things, the new guidance includes updates to the alignment of risk management activities and financial reporting, risk component hedging, accounting for the hedged item in fair value hedges of interest rate risk, recognition and presentation of the effects of hedging instruments, amounts excluded from the assessment of hedge effectiveness, and other simplifications of hedge accounting guidance. The amendments of ASU 2017-12 are effective for fiscal years beginning after December 15, 2018, and interim periods therein. Early adoption is permitted in any interim period and the effect of the adoption should be reflected as of the beginning of the fiscal year of adoption. The Company is evaluating whether we will early adopt this new guidance and the impact it will have on our financial position and results of operations.</w:t>
      </w:r>
    </w:p>
    <w:p>
      <w:pPr>
        <w:spacing w:after="0" w:line="59" w:lineRule="exact"/>
        <w:rPr>
          <w:sz w:val="20"/>
          <w:szCs w:val="20"/>
          <w:color w:val="auto"/>
        </w:rPr>
      </w:pPr>
    </w:p>
    <w:p>
      <w:pPr>
        <w:ind w:right="20" w:firstLine="259"/>
        <w:spacing w:after="0" w:line="273" w:lineRule="auto"/>
        <w:rPr>
          <w:sz w:val="20"/>
          <w:szCs w:val="20"/>
          <w:color w:val="auto"/>
        </w:rPr>
      </w:pPr>
      <w:r>
        <w:rPr>
          <w:rFonts w:ascii="Arial" w:cs="Arial" w:eastAsia="Arial" w:hAnsi="Arial"/>
          <w:sz w:val="17"/>
          <w:szCs w:val="17"/>
          <w:color w:val="auto"/>
        </w:rPr>
        <w:t>In August 2018, the Financial Accounting Standards Board issued Accounting Standards Update 2018-13 (“ASU 2018-13”) “Fair Value Measurement (Topic 820): Disclosure Framework – Changes to the Disclosure Requirements for Fair Value Measurement.” This guidance modifies the disclosure requirements on fair value measurements in ASC Topic 820, by eliminating, amending, and adding certain disclosure requirements. ASU 2018-13 is effective for financial statements issued for fiscal years beginning after December 15, 2019, including interim periods within those fiscal years. Early adoption is permitted for any period for which financial statements have not yet been issued or have not yet been made available for issuance. The Company is currently evaluating the impact, if any, of adopting this ASU on our financial statements.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right="60" w:firstLine="259"/>
        <w:spacing w:after="0" w:line="293" w:lineRule="auto"/>
        <w:rPr>
          <w:sz w:val="20"/>
          <w:szCs w:val="20"/>
          <w:color w:val="auto"/>
        </w:rPr>
      </w:pPr>
      <w:r>
        <w:rPr>
          <w:rFonts w:ascii="Arial" w:cs="Arial" w:eastAsia="Arial" w:hAnsi="Arial"/>
          <w:sz w:val="16"/>
          <w:szCs w:val="16"/>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65" w:lineRule="exact"/>
        <w:rPr>
          <w:sz w:val="20"/>
          <w:szCs w:val="20"/>
          <w:color w:val="auto"/>
        </w:rPr>
      </w:pPr>
    </w:p>
    <w:p>
      <w:pPr>
        <w:ind w:right="380" w:firstLine="259"/>
        <w:spacing w:after="0" w:line="264" w:lineRule="auto"/>
        <w:rPr>
          <w:sz w:val="20"/>
          <w:szCs w:val="20"/>
          <w:color w:val="auto"/>
        </w:rPr>
      </w:pPr>
      <w:r>
        <w:rPr>
          <w:rFonts w:ascii="Arial" w:cs="Arial" w:eastAsia="Arial" w:hAnsi="Arial"/>
          <w:sz w:val="18"/>
          <w:szCs w:val="18"/>
          <w:color w:val="auto"/>
        </w:rPr>
        <w:t>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w:t>
      </w:r>
    </w:p>
    <w:p>
      <w:pPr>
        <w:spacing w:after="0" w:line="181" w:lineRule="exact"/>
        <w:rPr>
          <w:sz w:val="20"/>
          <w:szCs w:val="20"/>
          <w:color w:val="auto"/>
        </w:rPr>
      </w:pPr>
    </w:p>
    <w:p>
      <w:pPr>
        <w:jc w:val="both"/>
        <w:ind w:right="120" w:firstLine="259"/>
        <w:spacing w:after="0" w:line="264" w:lineRule="auto"/>
        <w:rPr>
          <w:sz w:val="20"/>
          <w:szCs w:val="20"/>
          <w:color w:val="auto"/>
        </w:rPr>
      </w:pPr>
      <w:r>
        <w:rPr>
          <w:rFonts w:ascii="Arial" w:cs="Arial" w:eastAsia="Arial" w:hAnsi="Arial"/>
          <w:sz w:val="18"/>
          <w:szCs w:val="18"/>
          <w:color w:val="auto"/>
        </w:rPr>
        <w:t>In November 2018, the Board renewed the Administration Agreement. Unless earlier terminated as described below, the Administration Agreement will remain in effect until November 2019, and may be extended subject to required approvals. The Administration Agreement may be terminated by either party without penalty on 60 days’ written notice to the other party.</w:t>
      </w:r>
    </w:p>
    <w:p>
      <w:pPr>
        <w:spacing w:after="0" w:line="181"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For the three and nine months ended September 30, 2018, the Company incurred expenses of $1.1 million and $2.9 million, respectively, for administrative services payable to the Adviser under the terms of the Administration Agreement. For the three and nine months ended September 30, 2017 the Company incurred expenses of $1.0 million and $3.0 million, respectively, for administrative services payable to the Adviser under the terms of the Administration Agreement.</w:t>
      </w:r>
    </w:p>
    <w:p>
      <w:pPr>
        <w:spacing w:after="0" w:line="187" w:lineRule="exact"/>
        <w:rPr>
          <w:sz w:val="20"/>
          <w:szCs w:val="20"/>
          <w:color w:val="auto"/>
        </w:rPr>
      </w:pPr>
    </w:p>
    <w:p>
      <w:pPr>
        <w:ind w:right="140" w:firstLine="259"/>
        <w:spacing w:after="0" w:line="297" w:lineRule="auto"/>
        <w:rPr>
          <w:sz w:val="20"/>
          <w:szCs w:val="20"/>
          <w:color w:val="auto"/>
        </w:rPr>
      </w:pPr>
      <w:r>
        <w:rPr>
          <w:rFonts w:ascii="Arial" w:cs="Arial" w:eastAsia="Arial" w:hAnsi="Arial"/>
          <w:sz w:val="16"/>
          <w:szCs w:val="16"/>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right="80" w:firstLine="259"/>
        <w:spacing w:after="0" w:line="257"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8"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p>
    <w:p>
      <w:pPr>
        <w:spacing w:after="0" w:line="181" w:lineRule="exact"/>
        <w:rPr>
          <w:sz w:val="20"/>
          <w:szCs w:val="20"/>
          <w:color w:val="auto"/>
        </w:rPr>
      </w:pPr>
    </w:p>
    <w:p>
      <w:pPr>
        <w:ind w:right="100" w:firstLine="259"/>
        <w:spacing w:after="0" w:line="308" w:lineRule="auto"/>
        <w:rPr>
          <w:sz w:val="20"/>
          <w:szCs w:val="20"/>
          <w:color w:val="auto"/>
        </w:rPr>
      </w:pPr>
      <w:r>
        <w:rPr>
          <w:rFonts w:ascii="Arial" w:cs="Arial" w:eastAsia="Arial" w:hAnsi="Arial"/>
          <w:sz w:val="17"/>
          <w:szCs w:val="17"/>
          <w:color w:val="auto"/>
        </w:rPr>
        <w:t>For the three and nine months ended September 30, 2018, Management Fees (gross of waivers) were $7.5 million and $21.5 million, respectively. For the three and nine months ended September 30, 2017, Management Fees (gross of waivers) were $6.0 million and $18.0 million, respectively.</w:t>
      </w:r>
    </w:p>
    <w:p>
      <w:pPr>
        <w:spacing w:after="0" w:line="147"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color w:val="auto"/>
        </w:rPr>
        <w:t>The Adviser has voluntarily waived the Management Fee on the Company’s ownership of shares of common stock in Triangle Capital Corp. (the “TCAP Shares”) for any period in which Triangle Capital Corp. remains a portfolio company. As of June 30, 2018 the Company had fully exited its position in the TCAP Shares.</w:t>
      </w:r>
    </w:p>
    <w:p>
      <w:pPr>
        <w:spacing w:after="0" w:line="181" w:lineRule="exact"/>
        <w:rPr>
          <w:sz w:val="20"/>
          <w:szCs w:val="20"/>
          <w:color w:val="auto"/>
        </w:rPr>
      </w:pPr>
    </w:p>
    <w:p>
      <w:pPr>
        <w:ind w:right="260" w:firstLine="259"/>
        <w:spacing w:after="0" w:line="286" w:lineRule="auto"/>
        <w:rPr>
          <w:sz w:val="20"/>
          <w:szCs w:val="20"/>
          <w:color w:val="auto"/>
        </w:rPr>
      </w:pPr>
      <w:r>
        <w:rPr>
          <w:rFonts w:ascii="Arial" w:cs="Arial" w:eastAsia="Arial" w:hAnsi="Arial"/>
          <w:sz w:val="17"/>
          <w:szCs w:val="17"/>
          <w:color w:val="auto"/>
        </w:rPr>
        <w:t>For the nine months ended September 30, 2018, Management Fees of less than $0.1 million were waived consisting solely of Management Fees attributable to the Company’s ownership of the TCAP Shares. The Adviser did not waive any Management Fees for the three months ended September 30, 2018. The Adviser did not waive any Management Fees for the three or nine months ended September 30, 2017.</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42" w:right="239" w:bottom="1440" w:gutter="0" w:footer="0" w:header="0"/>
        </w:sectPr>
      </w:pPr>
    </w:p>
    <w:bookmarkStart w:id="24" w:name="page25"/>
    <w:bookmarkEnd w:id="24"/>
    <w:p>
      <w:pPr>
        <w:ind w:left="260"/>
        <w:spacing w:after="0"/>
        <w:rPr>
          <w:sz w:val="20"/>
          <w:szCs w:val="20"/>
          <w:color w:val="auto"/>
        </w:rPr>
      </w:pPr>
      <w:r>
        <w:rPr>
          <w:rFonts w:ascii="Arial" w:cs="Arial" w:eastAsia="Arial" w:hAnsi="Arial"/>
          <w:sz w:val="18"/>
          <w:szCs w:val="18"/>
          <w:color w:val="auto"/>
        </w:rPr>
        <w:t>Any waived Management Fees are not subject to recoupment by the Adviser.</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Incentive Fee consists of two parts, as follows:</w:t>
      </w:r>
    </w:p>
    <w:p>
      <w:pPr>
        <w:spacing w:after="0" w:line="117" w:lineRule="exact"/>
        <w:rPr>
          <w:sz w:val="20"/>
          <w:szCs w:val="20"/>
          <w:color w:val="auto"/>
        </w:rPr>
      </w:pPr>
    </w:p>
    <w:p>
      <w:pPr>
        <w:ind w:left="520" w:right="280" w:hanging="255"/>
        <w:spacing w:after="0" w:line="286" w:lineRule="auto"/>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w:t>
      </w:r>
    </w:p>
    <w:p>
      <w:pPr>
        <w:spacing w:after="0" w:line="1" w:lineRule="exact"/>
        <w:rPr>
          <w:rFonts w:ascii="Arial" w:cs="Arial" w:eastAsia="Arial" w:hAnsi="Arial"/>
          <w:sz w:val="16"/>
          <w:szCs w:val="16"/>
          <w:color w:val="auto"/>
        </w:rPr>
      </w:pPr>
    </w:p>
    <w:p>
      <w:pPr>
        <w:ind w:left="520" w:right="20"/>
        <w:spacing w:after="0" w:line="277" w:lineRule="auto"/>
        <w:rPr>
          <w:rFonts w:ascii="Arial" w:cs="Arial" w:eastAsia="Arial" w:hAnsi="Arial"/>
          <w:sz w:val="16"/>
          <w:szCs w:val="16"/>
          <w:color w:val="auto"/>
        </w:rPr>
      </w:pPr>
      <w:r>
        <w:rPr>
          <w:rFonts w:ascii="Arial" w:cs="Arial" w:eastAsia="Arial" w:hAnsi="Arial"/>
          <w:sz w:val="17"/>
          <w:szCs w:val="17"/>
          <w:color w:val="auto"/>
        </w:rPr>
        <w:t>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65" w:lineRule="exact"/>
        <w:rPr>
          <w:rFonts w:ascii="Arial" w:cs="Arial" w:eastAsia="Arial" w:hAnsi="Arial"/>
          <w:sz w:val="16"/>
          <w:szCs w:val="16"/>
          <w:color w:val="auto"/>
        </w:rPr>
      </w:pPr>
    </w:p>
    <w:p>
      <w:pPr>
        <w:ind w:left="520" w:right="60"/>
        <w:spacing w:after="0" w:line="293" w:lineRule="auto"/>
        <w:rPr>
          <w:rFonts w:ascii="Arial" w:cs="Arial" w:eastAsia="Arial" w:hAnsi="Arial"/>
          <w:sz w:val="16"/>
          <w:szCs w:val="16"/>
          <w:color w:val="auto"/>
        </w:rPr>
      </w:pPr>
      <w:r>
        <w:rPr>
          <w:rFonts w:ascii="Arial" w:cs="Arial" w:eastAsia="Arial" w:hAnsi="Arial"/>
          <w:sz w:val="16"/>
          <w:szCs w:val="16"/>
          <w:color w:val="auto"/>
        </w:rPr>
        <w:t>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gains or losses.</w:t>
      </w:r>
    </w:p>
    <w:p>
      <w:pPr>
        <w:spacing w:after="0" w:line="56" w:lineRule="exact"/>
        <w:rPr>
          <w:rFonts w:ascii="Arial" w:cs="Arial" w:eastAsia="Arial" w:hAnsi="Arial"/>
          <w:sz w:val="16"/>
          <w:szCs w:val="16"/>
          <w:color w:val="auto"/>
        </w:rPr>
      </w:pPr>
    </w:p>
    <w:p>
      <w:pPr>
        <w:ind w:left="520" w:right="40" w:hanging="255"/>
        <w:spacing w:after="0" w:line="289" w:lineRule="auto"/>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capital gains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w:t>
      </w:r>
    </w:p>
    <w:p>
      <w:pPr>
        <w:spacing w:after="0" w:line="167" w:lineRule="exact"/>
        <w:rPr>
          <w:sz w:val="20"/>
          <w:szCs w:val="20"/>
          <w:color w:val="auto"/>
        </w:rPr>
      </w:pPr>
    </w:p>
    <w:p>
      <w:pPr>
        <w:ind w:right="580" w:firstLine="259"/>
        <w:spacing w:after="0" w:line="308" w:lineRule="auto"/>
        <w:rPr>
          <w:sz w:val="20"/>
          <w:szCs w:val="20"/>
          <w:color w:val="auto"/>
        </w:rPr>
      </w:pPr>
      <w:r>
        <w:rPr>
          <w:rFonts w:ascii="Arial" w:cs="Arial" w:eastAsia="Arial" w:hAnsi="Arial"/>
          <w:sz w:val="17"/>
          <w:szCs w:val="17"/>
          <w:color w:val="auto"/>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47"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Section 205(b)(3) of the Investment Advisers Act of 1940, as amended, prohibits the Adviser from receiving the payment of fees on unrealized gains until those gains are realized, if ever. There can be no assurance that such unrealized gains will be realized in the future.</w:t>
      </w:r>
    </w:p>
    <w:p>
      <w:pPr>
        <w:spacing w:after="0" w:line="170"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For the three and nine months ended September 30, 2018, Incentive Fees (gross of waivers) were $6.9 million and $21.2 million, respectively, all of which were realized and payable to the Adviser. For the three and nine months ended September 30, 2017 Incentive Fees (gross of waivers) were $6.6 million and $19.8 million, respectively, all of which were realized and payable to the Adviser.</w:t>
      </w:r>
    </w:p>
    <w:p>
      <w:pPr>
        <w:spacing w:after="0" w:line="181" w:lineRule="exact"/>
        <w:rPr>
          <w:sz w:val="20"/>
          <w:szCs w:val="20"/>
          <w:color w:val="auto"/>
        </w:rPr>
      </w:pPr>
    </w:p>
    <w:p>
      <w:pPr>
        <w:ind w:right="60" w:firstLine="259"/>
        <w:spacing w:after="0" w:line="302" w:lineRule="auto"/>
        <w:rPr>
          <w:sz w:val="20"/>
          <w:szCs w:val="20"/>
          <w:color w:val="auto"/>
        </w:rPr>
      </w:pPr>
      <w:r>
        <w:rPr>
          <w:rFonts w:ascii="Arial" w:cs="Arial" w:eastAsia="Arial" w:hAnsi="Arial"/>
          <w:sz w:val="16"/>
          <w:szCs w:val="16"/>
          <w:color w:val="auto"/>
        </w:rPr>
        <w:t>The Adviser has voluntarily waived the Incentive Fees attributable to pre-Incentive Fee net investment income accrued by the Company as a result of its ownership of the TCAP Shares for any period in which Triangle Capital Corp. remains a portfolio company. The Adviser has not waived any part of the Capital Gains Fee attributable to the Company’s ownership of the TCAP Shares and, accordingly, any realized capital gains or losses and unrealized capital losses with respect to the TCAP Shares will be applied against the Company’s cumulative realized capital gains on which the Capital Gains Fee is calculated.</w:t>
      </w:r>
    </w:p>
    <w:p>
      <w:pPr>
        <w:spacing w:after="0" w:line="154" w:lineRule="exact"/>
        <w:rPr>
          <w:sz w:val="20"/>
          <w:szCs w:val="20"/>
          <w:color w:val="auto"/>
        </w:rPr>
      </w:pPr>
    </w:p>
    <w:p>
      <w:pPr>
        <w:jc w:val="both"/>
        <w:ind w:right="160" w:firstLine="259"/>
        <w:spacing w:after="0" w:line="264" w:lineRule="auto"/>
        <w:rPr>
          <w:sz w:val="20"/>
          <w:szCs w:val="20"/>
          <w:color w:val="auto"/>
        </w:rPr>
      </w:pPr>
      <w:r>
        <w:rPr>
          <w:rFonts w:ascii="Arial" w:cs="Arial" w:eastAsia="Arial" w:hAnsi="Arial"/>
          <w:sz w:val="18"/>
          <w:szCs w:val="18"/>
          <w:color w:val="auto"/>
        </w:rPr>
        <w:t>For the nine months ended September 30, 2018, Incentive Fees of less than $0.1 million were waived, consisting solely of Incentive Fees attributable to the Company’s ownership of the TCAP Shares. The Adviser did not waive any Incentive Fees for the three months ended September 30, 2018. The Adviser did not waive any Incentive Fees for the three and nine months ended September 30, 2017.</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Any waived Incentive Fees are not subject to recoupment by the Adviser.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5" w:name="page26"/>
    <w:bookmarkEnd w:id="25"/>
    <w:p>
      <w:pPr>
        <w:ind w:right="80" w:firstLine="259"/>
        <w:spacing w:after="0" w:line="264" w:lineRule="auto"/>
        <w:rPr>
          <w:sz w:val="20"/>
          <w:szCs w:val="20"/>
          <w:color w:val="auto"/>
        </w:rPr>
      </w:pPr>
      <w:r>
        <w:rPr>
          <w:rFonts w:ascii="Arial" w:cs="Arial" w:eastAsia="Arial" w:hAnsi="Arial"/>
          <w:sz w:val="18"/>
          <w:szCs w:val="18"/>
          <w:color w:val="auto"/>
        </w:rPr>
        <w:t>Since the Company’s IPO, with the exception of its waiver of Management Fees and certain Incentive Fees attributable to the Company’s ownership of certain investments, including the TCAP Shares, the Adviser has not waived its right to receive any Management Fees or Incentive Fees payable pursuant to the Investment Advisory Agreement.</w:t>
      </w:r>
    </w:p>
    <w:p>
      <w:pPr>
        <w:spacing w:after="0" w:line="181" w:lineRule="exact"/>
        <w:rPr>
          <w:sz w:val="20"/>
          <w:szCs w:val="20"/>
          <w:color w:val="auto"/>
        </w:rPr>
      </w:pPr>
    </w:p>
    <w:p>
      <w:pPr>
        <w:ind w:right="120" w:firstLine="259"/>
        <w:spacing w:after="0" w:line="312" w:lineRule="auto"/>
        <w:rPr>
          <w:sz w:val="20"/>
          <w:szCs w:val="20"/>
          <w:color w:val="auto"/>
        </w:rPr>
      </w:pPr>
      <w:r>
        <w:rPr>
          <w:rFonts w:ascii="Arial" w:cs="Arial" w:eastAsia="Arial" w:hAnsi="Arial"/>
          <w:sz w:val="16"/>
          <w:szCs w:val="16"/>
          <w:color w:val="auto"/>
        </w:rPr>
        <w:t>In November 2018, the Board renewed the Investment Advisory Agreement. Unless earlier terminated as described below, the Investment Advisory Agreement will remain in effect until November 2019, and may be extended subject to required approvals. The Investment Advisory Agreement will automatically terminate in the event of an assignment and may be terminated by either party without penalty upon 60 days’ written notice to the other party.</w:t>
      </w:r>
    </w:p>
    <w:p>
      <w:pPr>
        <w:spacing w:after="0" w:line="147" w:lineRule="exact"/>
        <w:rPr>
          <w:sz w:val="20"/>
          <w:szCs w:val="20"/>
          <w:color w:val="auto"/>
        </w:rPr>
      </w:pPr>
    </w:p>
    <w:p>
      <w:pPr>
        <w:ind w:right="200" w:firstLine="259"/>
        <w:spacing w:after="0" w:line="264"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firstLine="259"/>
        <w:spacing w:after="0" w:line="272" w:lineRule="auto"/>
        <w:rPr>
          <w:sz w:val="20"/>
          <w:szCs w:val="20"/>
          <w:color w:val="auto"/>
        </w:rPr>
      </w:pPr>
      <w:r>
        <w:rPr>
          <w:rFonts w:ascii="Arial" w:cs="Arial" w:eastAsia="Arial" w:hAnsi="Arial"/>
          <w:sz w:val="17"/>
          <w:szCs w:val="17"/>
          <w:color w:val="auto"/>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Investments at fair value consisted of the following at September 30, 2018 and December 31, 2017:</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September 30, 2018</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6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1,830,992</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1,855,320</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24,328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62,962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62,962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61,301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61,149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16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1,957,755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1,981,931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24,176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December 31, 2017</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720" w:type="dxa"/>
            <w:vAlign w:val="bottom"/>
            <w:gridSpan w:val="2"/>
            <w:vMerge w:val="restart"/>
          </w:tcPr>
          <w:p>
            <w:pPr>
              <w:spacing w:after="0"/>
              <w:rPr>
                <w:sz w:val="20"/>
                <w:szCs w:val="20"/>
                <w:color w:val="auto"/>
              </w:rPr>
            </w:pPr>
            <w:r>
              <w:rPr>
                <w:rFonts w:ascii="Arial" w:cs="Arial" w:eastAsia="Arial" w:hAnsi="Arial"/>
                <w:sz w:val="18"/>
                <w:szCs w:val="18"/>
                <w:color w:val="auto"/>
              </w:rPr>
              <w:t>First-lien debt investments</w:t>
            </w:r>
          </w:p>
        </w:tc>
        <w:tc>
          <w:tcPr>
            <w:tcW w:w="16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223"/>
        </w:trPr>
        <w:tc>
          <w:tcPr>
            <w:tcW w:w="3720" w:type="dxa"/>
            <w:vAlign w:val="bottom"/>
            <w:gridSpan w:val="2"/>
            <w:vMerge w:val="continue"/>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1,561,275</w:t>
            </w:r>
          </w:p>
        </w:tc>
        <w:tc>
          <w:tcPr>
            <w:tcW w:w="2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1,581,355</w:t>
            </w:r>
          </w:p>
        </w:tc>
        <w:tc>
          <w:tcPr>
            <w:tcW w:w="220" w:type="dxa"/>
            <w:vAlign w:val="bottom"/>
            <w:gridSpan w:val="2"/>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Second-lien debt investments</w:t>
            </w:r>
          </w:p>
        </w:tc>
        <w:tc>
          <w:tcPr>
            <w:tcW w:w="1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62,962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60,900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Mezzanine debt investments</w:t>
            </w: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Equity and other investments</w:t>
            </w:r>
          </w:p>
        </w:tc>
        <w:tc>
          <w:tcPr>
            <w:tcW w:w="1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62,013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51,468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ind w:left="240"/>
              <w:spacing w:after="0"/>
              <w:rPr>
                <w:sz w:val="20"/>
                <w:szCs w:val="20"/>
                <w:color w:val="auto"/>
              </w:rPr>
            </w:pPr>
            <w:r>
              <w:rPr>
                <w:rFonts w:ascii="Arial" w:cs="Arial" w:eastAsia="Arial" w:hAnsi="Arial"/>
                <w:sz w:val="18"/>
                <w:szCs w:val="18"/>
                <w:b w:val="1"/>
                <w:bCs w:val="1"/>
                <w:color w:val="auto"/>
              </w:rPr>
              <w:t>Total Investments</w:t>
            </w:r>
          </w:p>
        </w:tc>
        <w:tc>
          <w:tcPr>
            <w:tcW w:w="1600" w:type="dxa"/>
            <w:vAlign w:val="bottom"/>
          </w:tcPr>
          <w:p>
            <w:pPr>
              <w:spacing w:after="0"/>
              <w:rPr>
                <w:sz w:val="19"/>
                <w:szCs w:val="19"/>
                <w:color w:val="auto"/>
              </w:rPr>
            </w:pPr>
          </w:p>
        </w:tc>
        <w:tc>
          <w:tcPr>
            <w:tcW w:w="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1,686,250</w:t>
            </w:r>
          </w:p>
        </w:tc>
        <w:tc>
          <w:tcPr>
            <w:tcW w:w="2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1,693,723</w:t>
            </w:r>
          </w:p>
        </w:tc>
        <w:tc>
          <w:tcPr>
            <w:tcW w:w="220" w:type="dxa"/>
            <w:vAlign w:val="bottom"/>
            <w:gridSpan w:val="2"/>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220" w:hanging="512"/>
        <w:spacing w:after="0" w:line="277"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26" w:name="page27"/>
    <w:bookmarkEnd w:id="26"/>
    <w:p>
      <w:pPr>
        <w:ind w:left="260"/>
        <w:spacing w:after="0"/>
        <w:rPr>
          <w:sz w:val="20"/>
          <w:szCs w:val="20"/>
          <w:color w:val="auto"/>
        </w:rPr>
      </w:pPr>
      <w:r>
        <w:rPr>
          <w:rFonts w:ascii="Arial" w:cs="Arial" w:eastAsia="Arial" w:hAnsi="Arial"/>
          <w:sz w:val="18"/>
          <w:szCs w:val="18"/>
          <w:color w:val="auto"/>
        </w:rPr>
        <w:t>The industry composition of investments at fair value at September 30, 2018 and December 31, 2017 is as follows:</w:t>
      </w:r>
    </w:p>
    <w:p>
      <w:pPr>
        <w:spacing w:after="0" w:line="298"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582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September 30, 2018</w:t>
            </w:r>
          </w:p>
        </w:tc>
        <w:tc>
          <w:tcPr>
            <w:tcW w:w="32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December 31, 2017</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Automotive</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Business services</w:t>
            </w: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19.5%</w:t>
            </w: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Chemicals</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Communications</w:t>
            </w:r>
          </w:p>
        </w:tc>
        <w:tc>
          <w:tcPr>
            <w:tcW w:w="15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Education</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Financial services</w:t>
            </w: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15.6%</w:t>
            </w: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Healthcare</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Hotel, gaming, and leisure</w:t>
            </w: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w:t>
            </w: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Human resource support services</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Insurance</w:t>
            </w: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5.4%</w:t>
            </w: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Internet services</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Manufacturing</w:t>
            </w: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w:t>
            </w: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Marketing services</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Office products</w:t>
            </w: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w:t>
            </w: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Oil, gas and consumable fuels</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Pharmaceuticals</w:t>
            </w: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5.6%</w:t>
            </w: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Retail and consumer products</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Transportation</w:t>
            </w: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4.2%</w:t>
            </w: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Total</w:t>
            </w:r>
          </w:p>
        </w:tc>
        <w:tc>
          <w:tcPr>
            <w:tcW w:w="1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vMerge w:val="continue"/>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geographic composition of Investments at fair value at September 30, 2018 and December 31, 2017 is as follows: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22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Midwest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16.4%</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Northeast</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23.4%</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South</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17.1%</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38.8%</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Canada</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Australia</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2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20" w:type="dxa"/>
            <w:vAlign w:val="bottom"/>
            <w:vMerge w:val="continue"/>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8"/>
          <w:szCs w:val="18"/>
          <w:color w:val="auto"/>
        </w:rPr>
        <w:t>In January 2015, in connection with its 2019 Convertible Notes, the Company entered into two interest rate swap transactions, each with a $57.5 million notional amount. The Company receives fixed rate interest at 4.50% and pays variable rate interest based on the three-month LIBOR plus 2.86%. The swap transactions mature on December 15, 2019.</w:t>
      </w:r>
    </w:p>
    <w:p>
      <w:pPr>
        <w:spacing w:after="0" w:line="181" w:lineRule="exact"/>
        <w:rPr>
          <w:sz w:val="20"/>
          <w:szCs w:val="20"/>
          <w:color w:val="auto"/>
        </w:rPr>
      </w:pPr>
    </w:p>
    <w:p>
      <w:pPr>
        <w:ind w:right="100" w:firstLine="259"/>
        <w:spacing w:after="0" w:line="302" w:lineRule="auto"/>
        <w:rPr>
          <w:sz w:val="20"/>
          <w:szCs w:val="20"/>
          <w:color w:val="auto"/>
        </w:rPr>
      </w:pPr>
      <w:r>
        <w:rPr>
          <w:rFonts w:ascii="Arial" w:cs="Arial" w:eastAsia="Arial" w:hAnsi="Arial"/>
          <w:sz w:val="16"/>
          <w:szCs w:val="16"/>
          <w:color w:val="auto"/>
        </w:rPr>
        <w:t>In November 2015, in connection with a fixed rate investment, the Company entered into two interest rate swap transactions, each with a $46.3 million notional amount. The Company receives three-month LIBOR and pays fixed rate interest at 1.16%. The swap transactions mature on October 5, 2018. In October 2018, upon maturity of the original swap transactions, the Company entered into an interest rate swap transaction with a $91.5 million notional amount. The Company receives three-month LIBOR and pays fixed rate interest at 2.66%. The swap transaction matures on June 27, 2019.</w:t>
      </w:r>
    </w:p>
    <w:p>
      <w:pPr>
        <w:spacing w:after="0" w:line="200" w:lineRule="exact"/>
        <w:rPr>
          <w:sz w:val="20"/>
          <w:szCs w:val="20"/>
          <w:color w:val="auto"/>
        </w:rPr>
      </w:pPr>
    </w:p>
    <w:p>
      <w:pPr>
        <w:spacing w:after="0" w:line="3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557" w:right="419" w:bottom="1440" w:gutter="0" w:footer="0" w:header="0"/>
        </w:sectPr>
      </w:pPr>
    </w:p>
    <w:bookmarkStart w:id="27" w:name="page28"/>
    <w:bookmarkEnd w:id="27"/>
    <w:p>
      <w:pPr>
        <w:ind w:right="120" w:firstLine="259"/>
        <w:spacing w:after="0" w:line="342" w:lineRule="auto"/>
        <w:rPr>
          <w:sz w:val="20"/>
          <w:szCs w:val="20"/>
          <w:color w:val="auto"/>
        </w:rPr>
      </w:pPr>
      <w:r>
        <w:rPr>
          <w:rFonts w:ascii="Arial" w:cs="Arial" w:eastAsia="Arial" w:hAnsi="Arial"/>
          <w:sz w:val="16"/>
          <w:szCs w:val="16"/>
          <w:color w:val="auto"/>
        </w:rPr>
        <w:t>In January 2017, in connection with a fixed rate investment, the Company entered into an interest rate swap transaction with a $33.3 million notional amount. On a net basis, the Company receives three-month LIBOR and pays fixed rate interest at 1.72%. The swap transaction matures on January 10, 2020.</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 February 2017, in connection with the issuance of the 2022 Convertible Notes, the Company entered into an interest rate swap transaction with 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$115.0 million notional amount. The Company receives fixed rate interest at 4.50% and pays variable rate interest based on three-month LIBOR plus 2.37%.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swap transaction matures on August 1, 2022.</w:t>
      </w:r>
    </w:p>
    <w:p>
      <w:pPr>
        <w:spacing w:after="0" w:line="211" w:lineRule="exact"/>
        <w:rPr>
          <w:sz w:val="20"/>
          <w:szCs w:val="20"/>
          <w:color w:val="auto"/>
        </w:rPr>
      </w:pPr>
    </w:p>
    <w:p>
      <w:pPr>
        <w:jc w:val="both"/>
        <w:ind w:right="420" w:firstLine="259"/>
        <w:spacing w:after="0" w:line="264" w:lineRule="auto"/>
        <w:rPr>
          <w:sz w:val="20"/>
          <w:szCs w:val="20"/>
          <w:color w:val="auto"/>
        </w:rPr>
      </w:pPr>
      <w:r>
        <w:rPr>
          <w:rFonts w:ascii="Arial" w:cs="Arial" w:eastAsia="Arial" w:hAnsi="Arial"/>
          <w:sz w:val="18"/>
          <w:szCs w:val="18"/>
          <w:color w:val="auto"/>
        </w:rPr>
        <w:t>In January 2018, in connection with the issuance of the 2023 Notes, the Company entered into an interest rate swap transaction with a $150.0 million notional amount. The Company receives fixed rate interest at 4.50% and pays variable rate interest based on three-month LIBOR plus 1.99%. The swap transaction matures on January 22, 2023.</w:t>
      </w:r>
    </w:p>
    <w:p>
      <w:pPr>
        <w:spacing w:after="0" w:line="181" w:lineRule="exact"/>
        <w:rPr>
          <w:sz w:val="20"/>
          <w:szCs w:val="20"/>
          <w:color w:val="auto"/>
        </w:rPr>
      </w:pPr>
    </w:p>
    <w:p>
      <w:pPr>
        <w:ind w:right="40" w:firstLine="259"/>
        <w:spacing w:after="0" w:line="286" w:lineRule="auto"/>
        <w:rPr>
          <w:sz w:val="20"/>
          <w:szCs w:val="20"/>
          <w:color w:val="auto"/>
        </w:rPr>
      </w:pPr>
      <w:r>
        <w:rPr>
          <w:rFonts w:ascii="Arial" w:cs="Arial" w:eastAsia="Arial" w:hAnsi="Arial"/>
          <w:sz w:val="17"/>
          <w:szCs w:val="17"/>
          <w:color w:val="auto"/>
        </w:rPr>
        <w:t>In June 2018, in connection with the reopening and issuance of additional 2022 Convertible Notes, the Company entered into two interest rate swap transactions with notional amounts of $50.0 million and $7.5 million, respectively. The Company receives fixed rate interest on each swap at 4.50%, and pays variable rate interest based on three-month LIBOR plus 1.59%, and 1.60%, respectively. The swap transactions mature on August 1, 2022.</w:t>
      </w:r>
    </w:p>
    <w:p>
      <w:pPr>
        <w:spacing w:after="0" w:line="166"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The following tables present the gross and net information on the Company’s interest rate swap transactions that are eligible for offset in the Company’s consolidated balance sheets as of September 30, 2018 and December 31, 2017:</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September 30, 2018</w:t>
            </w: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gridSpan w:val="2"/>
          </w:tcPr>
          <w:p>
            <w:pPr>
              <w:jc w:val="center"/>
              <w:ind w:right="540"/>
              <w:spacing w:after="0" w:line="133" w:lineRule="exact"/>
              <w:rPr>
                <w:sz w:val="20"/>
                <w:szCs w:val="20"/>
                <w:color w:val="auto"/>
              </w:rPr>
            </w:pPr>
            <w:r>
              <w:rPr>
                <w:rFonts w:ascii="Arial" w:cs="Arial" w:eastAsia="Arial" w:hAnsi="Arial"/>
                <w:sz w:val="14"/>
                <w:szCs w:val="14"/>
                <w:b w:val="1"/>
                <w:bCs w:val="1"/>
                <w:color w:val="auto"/>
                <w:w w:val="92"/>
              </w:rPr>
              <w:t>Gross Amount</w:t>
            </w:r>
          </w:p>
        </w:tc>
        <w:tc>
          <w:tcPr>
            <w:tcW w:w="26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ind w:right="177"/>
              <w:spacing w:after="0" w:line="133" w:lineRule="exact"/>
              <w:rPr>
                <w:sz w:val="20"/>
                <w:szCs w:val="20"/>
                <w:color w:val="auto"/>
              </w:rPr>
            </w:pPr>
            <w:r>
              <w:rPr>
                <w:rFonts w:ascii="Arial" w:cs="Arial" w:eastAsia="Arial" w:hAnsi="Arial"/>
                <w:sz w:val="14"/>
                <w:szCs w:val="14"/>
                <w:b w:val="1"/>
                <w:bCs w:val="1"/>
                <w:color w:val="auto"/>
                <w:w w:val="93"/>
              </w:rPr>
              <w:t>Net Amount of</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Notional</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6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260" w:type="dxa"/>
            <w:vAlign w:val="bottom"/>
          </w:tcPr>
          <w:p>
            <w:pPr>
              <w:spacing w:after="0"/>
              <w:rPr>
                <w:sz w:val="12"/>
                <w:szCs w:val="12"/>
                <w:color w:val="auto"/>
              </w:rPr>
            </w:pPr>
          </w:p>
        </w:tc>
        <w:tc>
          <w:tcPr>
            <w:tcW w:w="16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Assets in the</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5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Maturity Date</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of Recognized</w:t>
            </w:r>
          </w:p>
        </w:tc>
        <w:tc>
          <w:tcPr>
            <w:tcW w:w="220" w:type="dxa"/>
            <w:vAlign w:val="bottom"/>
          </w:tcPr>
          <w:p>
            <w:pPr>
              <w:spacing w:after="0"/>
              <w:rPr>
                <w:sz w:val="12"/>
                <w:szCs w:val="12"/>
                <w:color w:val="auto"/>
              </w:rPr>
            </w:pPr>
          </w:p>
        </w:tc>
        <w:tc>
          <w:tcPr>
            <w:tcW w:w="16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60" w:type="dxa"/>
            <w:vAlign w:val="bottom"/>
          </w:tcPr>
          <w:p>
            <w:pPr>
              <w:spacing w:after="0"/>
              <w:rPr>
                <w:sz w:val="12"/>
                <w:szCs w:val="12"/>
                <w:color w:val="auto"/>
              </w:rPr>
            </w:pPr>
          </w:p>
        </w:tc>
        <w:tc>
          <w:tcPr>
            <w:tcW w:w="16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1"/>
        </w:trPr>
        <w:tc>
          <w:tcPr>
            <w:tcW w:w="25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ind w:left="18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Asset (Liability)</w:t>
            </w:r>
          </w:p>
        </w:tc>
        <w:tc>
          <w:tcPr>
            <w:tcW w:w="220" w:type="dxa"/>
            <w:vAlign w:val="bottom"/>
          </w:tcPr>
          <w:p>
            <w:pPr>
              <w:spacing w:after="0"/>
              <w:rPr>
                <w:sz w:val="14"/>
                <w:szCs w:val="14"/>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Balance Sheets</w:t>
            </w:r>
          </w:p>
        </w:tc>
        <w:tc>
          <w:tcPr>
            <w:tcW w:w="260" w:type="dxa"/>
            <w:vAlign w:val="bottom"/>
          </w:tcPr>
          <w:p>
            <w:pPr>
              <w:spacing w:after="0"/>
              <w:rPr>
                <w:sz w:val="14"/>
                <w:szCs w:val="14"/>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Balance Sheets</w:t>
            </w:r>
          </w:p>
        </w:tc>
        <w:tc>
          <w:tcPr>
            <w:tcW w:w="0" w:type="dxa"/>
            <w:vAlign w:val="bottom"/>
          </w:tcPr>
          <w:p>
            <w:pPr>
              <w:spacing w:after="0"/>
              <w:rPr>
                <w:sz w:val="1"/>
                <w:szCs w:val="1"/>
                <w:color w:val="auto"/>
              </w:rPr>
            </w:pPr>
          </w:p>
        </w:tc>
      </w:tr>
      <w:tr>
        <w:trPr>
          <w:trHeight w:val="223"/>
        </w:trPr>
        <w:tc>
          <w:tcPr>
            <w:tcW w:w="2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(1)</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10/5/2018</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92,500</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ind w:left="128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Interest rate swap</w:t>
            </w:r>
          </w:p>
        </w:tc>
        <w:tc>
          <w:tcPr>
            <w:tcW w:w="1500" w:type="dxa"/>
            <w:vAlign w:val="bottom"/>
          </w:tcPr>
          <w:p>
            <w:pPr>
              <w:jc w:val="right"/>
              <w:spacing w:after="0"/>
              <w:rPr>
                <w:sz w:val="20"/>
                <w:szCs w:val="20"/>
                <w:color w:val="auto"/>
              </w:rPr>
            </w:pPr>
            <w:r>
              <w:rPr>
                <w:rFonts w:ascii="Arial" w:cs="Arial" w:eastAsia="Arial" w:hAnsi="Arial"/>
                <w:sz w:val="18"/>
                <w:szCs w:val="18"/>
                <w:color w:val="auto"/>
              </w:rPr>
              <w:t>12/15/2019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115,000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(1,691)</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1,691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1/10/2020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33,333</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(503)</w:t>
            </w:r>
          </w:p>
        </w:tc>
        <w:tc>
          <w:tcPr>
            <w:tcW w:w="2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Interest rate swap</w:t>
            </w:r>
          </w:p>
        </w:tc>
        <w:tc>
          <w:tcPr>
            <w:tcW w:w="1500" w:type="dxa"/>
            <w:vAlign w:val="bottom"/>
          </w:tcPr>
          <w:p>
            <w:pPr>
              <w:jc w:val="right"/>
              <w:spacing w:after="0"/>
              <w:rPr>
                <w:sz w:val="20"/>
                <w:szCs w:val="20"/>
                <w:color w:val="auto"/>
              </w:rPr>
            </w:pPr>
            <w:r>
              <w:rPr>
                <w:rFonts w:ascii="Arial" w:cs="Arial" w:eastAsia="Arial" w:hAnsi="Arial"/>
                <w:sz w:val="18"/>
                <w:szCs w:val="18"/>
                <w:color w:val="auto"/>
              </w:rPr>
              <w:t>8/1/2022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115,000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(4,029)</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4,029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(313)</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Interest rate swap</w:t>
            </w:r>
          </w:p>
        </w:tc>
        <w:tc>
          <w:tcPr>
            <w:tcW w:w="1500" w:type="dxa"/>
            <w:vAlign w:val="bottom"/>
          </w:tcPr>
          <w:p>
            <w:pPr>
              <w:jc w:val="right"/>
              <w:spacing w:after="0"/>
              <w:rPr>
                <w:sz w:val="20"/>
                <w:szCs w:val="20"/>
                <w:color w:val="auto"/>
              </w:rPr>
            </w:pPr>
            <w:r>
              <w:rPr>
                <w:rFonts w:ascii="Arial" w:cs="Arial" w:eastAsia="Arial" w:hAnsi="Arial"/>
                <w:sz w:val="18"/>
                <w:szCs w:val="18"/>
                <w:color w:val="auto"/>
              </w:rPr>
              <w:t>8/1/2022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7,500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1/22/2023</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(3,590)</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500" w:type="dxa"/>
            <w:vAlign w:val="bottom"/>
          </w:tcPr>
          <w:p>
            <w:pPr>
              <w:ind w:left="260"/>
              <w:spacing w:after="0"/>
              <w:rPr>
                <w:sz w:val="20"/>
                <w:szCs w:val="20"/>
                <w:color w:val="auto"/>
              </w:rPr>
            </w:pPr>
            <w:r>
              <w:rPr>
                <w:rFonts w:ascii="Arial" w:cs="Arial" w:eastAsia="Arial" w:hAnsi="Arial"/>
                <w:sz w:val="18"/>
                <w:szCs w:val="18"/>
                <w:b w:val="1"/>
                <w:bCs w:val="1"/>
                <w:color w:val="auto"/>
              </w:rPr>
              <w:t>Total</w:t>
            </w: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563,333</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(8,942)</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8,942</w:t>
            </w:r>
          </w:p>
        </w:tc>
        <w:tc>
          <w:tcPr>
            <w:tcW w:w="3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ind w:left="12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7"/>
        </w:trPr>
        <w:tc>
          <w:tcPr>
            <w:tcW w:w="2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December 31, 2017</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5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gridSpan w:val="2"/>
          </w:tcPr>
          <w:p>
            <w:pPr>
              <w:jc w:val="center"/>
              <w:ind w:right="540"/>
              <w:spacing w:after="0" w:line="133" w:lineRule="exact"/>
              <w:rPr>
                <w:sz w:val="20"/>
                <w:szCs w:val="20"/>
                <w:color w:val="auto"/>
              </w:rPr>
            </w:pPr>
            <w:r>
              <w:rPr>
                <w:rFonts w:ascii="Arial" w:cs="Arial" w:eastAsia="Arial" w:hAnsi="Arial"/>
                <w:sz w:val="14"/>
                <w:szCs w:val="14"/>
                <w:b w:val="1"/>
                <w:bCs w:val="1"/>
                <w:color w:val="auto"/>
                <w:w w:val="92"/>
              </w:rPr>
              <w:t>Gross Amount</w:t>
            </w:r>
          </w:p>
        </w:tc>
        <w:tc>
          <w:tcPr>
            <w:tcW w:w="26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ind w:right="177"/>
              <w:spacing w:after="0" w:line="133" w:lineRule="exact"/>
              <w:rPr>
                <w:sz w:val="20"/>
                <w:szCs w:val="20"/>
                <w:color w:val="auto"/>
              </w:rPr>
            </w:pPr>
            <w:r>
              <w:rPr>
                <w:rFonts w:ascii="Arial" w:cs="Arial" w:eastAsia="Arial" w:hAnsi="Arial"/>
                <w:sz w:val="14"/>
                <w:szCs w:val="14"/>
                <w:b w:val="1"/>
                <w:bCs w:val="1"/>
                <w:color w:val="auto"/>
                <w:w w:val="93"/>
              </w:rPr>
              <w:t>Net Amount of</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Notional</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6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260" w:type="dxa"/>
            <w:vAlign w:val="bottom"/>
          </w:tcPr>
          <w:p>
            <w:pPr>
              <w:spacing w:after="0"/>
              <w:rPr>
                <w:sz w:val="12"/>
                <w:szCs w:val="12"/>
                <w:color w:val="auto"/>
              </w:rPr>
            </w:pPr>
          </w:p>
        </w:tc>
        <w:tc>
          <w:tcPr>
            <w:tcW w:w="16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Assets in the</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5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Maturity Date</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of Recognized</w:t>
            </w:r>
          </w:p>
        </w:tc>
        <w:tc>
          <w:tcPr>
            <w:tcW w:w="220" w:type="dxa"/>
            <w:vAlign w:val="bottom"/>
          </w:tcPr>
          <w:p>
            <w:pPr>
              <w:spacing w:after="0"/>
              <w:rPr>
                <w:sz w:val="12"/>
                <w:szCs w:val="12"/>
                <w:color w:val="auto"/>
              </w:rPr>
            </w:pPr>
          </w:p>
        </w:tc>
        <w:tc>
          <w:tcPr>
            <w:tcW w:w="16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60" w:type="dxa"/>
            <w:vAlign w:val="bottom"/>
          </w:tcPr>
          <w:p>
            <w:pPr>
              <w:spacing w:after="0"/>
              <w:rPr>
                <w:sz w:val="12"/>
                <w:szCs w:val="12"/>
                <w:color w:val="auto"/>
              </w:rPr>
            </w:pPr>
          </w:p>
        </w:tc>
        <w:tc>
          <w:tcPr>
            <w:tcW w:w="16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1"/>
        </w:trPr>
        <w:tc>
          <w:tcPr>
            <w:tcW w:w="250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ind w:left="18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4"/>
                <w:szCs w:val="14"/>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Balance Sheets</w:t>
            </w:r>
          </w:p>
        </w:tc>
        <w:tc>
          <w:tcPr>
            <w:tcW w:w="260" w:type="dxa"/>
            <w:vAlign w:val="bottom"/>
          </w:tcPr>
          <w:p>
            <w:pPr>
              <w:spacing w:after="0"/>
              <w:rPr>
                <w:sz w:val="14"/>
                <w:szCs w:val="14"/>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Balance Sheets</w:t>
            </w:r>
          </w:p>
        </w:tc>
        <w:tc>
          <w:tcPr>
            <w:tcW w:w="0" w:type="dxa"/>
            <w:vAlign w:val="bottom"/>
          </w:tcPr>
          <w:p>
            <w:pPr>
              <w:spacing w:after="0"/>
              <w:rPr>
                <w:sz w:val="1"/>
                <w:szCs w:val="1"/>
                <w:color w:val="auto"/>
              </w:rPr>
            </w:pPr>
          </w:p>
        </w:tc>
      </w:tr>
      <w:tr>
        <w:trPr>
          <w:trHeight w:val="223"/>
        </w:trPr>
        <w:tc>
          <w:tcPr>
            <w:tcW w:w="2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(1)</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10/5/2018</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92,500</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ind w:left="128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Interest rate swap</w:t>
            </w:r>
          </w:p>
        </w:tc>
        <w:tc>
          <w:tcPr>
            <w:tcW w:w="1500" w:type="dxa"/>
            <w:vAlign w:val="bottom"/>
          </w:tcPr>
          <w:p>
            <w:pPr>
              <w:jc w:val="right"/>
              <w:spacing w:after="0"/>
              <w:rPr>
                <w:sz w:val="20"/>
                <w:szCs w:val="20"/>
                <w:color w:val="auto"/>
              </w:rPr>
            </w:pPr>
            <w:r>
              <w:rPr>
                <w:rFonts w:ascii="Arial" w:cs="Arial" w:eastAsia="Arial" w:hAnsi="Arial"/>
                <w:sz w:val="18"/>
                <w:szCs w:val="18"/>
                <w:color w:val="auto"/>
              </w:rPr>
              <w:t>12/15/2019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115,000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(1,024)</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1/10/2020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33,333</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(292)</w:t>
            </w:r>
          </w:p>
        </w:tc>
        <w:tc>
          <w:tcPr>
            <w:tcW w:w="2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Interest rate swap</w:t>
            </w:r>
          </w:p>
        </w:tc>
        <w:tc>
          <w:tcPr>
            <w:tcW w:w="1500" w:type="dxa"/>
            <w:vAlign w:val="bottom"/>
          </w:tcPr>
          <w:p>
            <w:pPr>
              <w:jc w:val="right"/>
              <w:spacing w:after="0"/>
              <w:rPr>
                <w:sz w:val="20"/>
                <w:szCs w:val="20"/>
                <w:color w:val="auto"/>
              </w:rPr>
            </w:pPr>
            <w:r>
              <w:rPr>
                <w:rFonts w:ascii="Arial" w:cs="Arial" w:eastAsia="Arial" w:hAnsi="Arial"/>
                <w:sz w:val="18"/>
                <w:szCs w:val="18"/>
                <w:color w:val="auto"/>
              </w:rPr>
              <w:t>8/1/2022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115,000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(710)</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5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5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355,833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FF0FC"/>
          </w:tcPr>
          <w:p>
            <w:pPr>
              <w:ind w:left="128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280" w:hanging="512"/>
        <w:spacing w:after="0" w:line="277"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exceed the Company’s investment in individual portfolio companies as a result of arrangements with other lenders in the syndicate.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8" w:name="page29"/>
    <w:bookmarkEnd w:id="28"/>
    <w:p>
      <w:pPr>
        <w:ind w:left="260"/>
        <w:spacing w:after="0"/>
        <w:rPr>
          <w:sz w:val="20"/>
          <w:szCs w:val="20"/>
          <w:color w:val="auto"/>
        </w:rPr>
      </w:pPr>
      <w:r>
        <w:rPr>
          <w:rFonts w:ascii="Arial" w:cs="Arial" w:eastAsia="Arial" w:hAnsi="Arial"/>
          <w:sz w:val="17"/>
          <w:szCs w:val="17"/>
          <w:color w:val="auto"/>
        </w:rPr>
        <w:t>The following tables present the amounts paid and received on the Company’s interest rate swap transactions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2017:</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Maturity Date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97"/>
              </w:rPr>
              <w:t>Notional Amount</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20" w:type="dxa"/>
            <w:vAlign w:val="bottom"/>
            <w:gridSpan w:val="13"/>
          </w:tcPr>
          <w:p>
            <w:pPr>
              <w:jc w:val="right"/>
              <w:ind w:right="300"/>
              <w:spacing w:after="0"/>
              <w:rPr>
                <w:sz w:val="20"/>
                <w:szCs w:val="20"/>
                <w:color w:val="auto"/>
              </w:rPr>
            </w:pPr>
            <w:r>
              <w:rPr>
                <w:rFonts w:ascii="Arial" w:cs="Arial" w:eastAsia="Arial" w:hAnsi="Arial"/>
                <w:sz w:val="14"/>
                <w:szCs w:val="14"/>
                <w:b w:val="1"/>
                <w:bCs w:val="1"/>
                <w:color w:val="auto"/>
                <w:w w:val="95"/>
              </w:rPr>
              <w:t>For the Three Months Ended September 30, 2018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60" w:type="dxa"/>
            <w:vAlign w:val="bottom"/>
            <w:gridSpan w:val="14"/>
          </w:tcPr>
          <w:p>
            <w:pPr>
              <w:jc w:val="right"/>
              <w:ind w:right="320"/>
              <w:spacing w:after="0"/>
              <w:rPr>
                <w:sz w:val="20"/>
                <w:szCs w:val="20"/>
                <w:color w:val="auto"/>
              </w:rPr>
            </w:pPr>
            <w:r>
              <w:rPr>
                <w:rFonts w:ascii="Arial" w:cs="Arial" w:eastAsia="Arial" w:hAnsi="Arial"/>
                <w:sz w:val="14"/>
                <w:szCs w:val="14"/>
                <w:b w:val="1"/>
                <w:bCs w:val="1"/>
                <w:color w:val="auto"/>
                <w:w w:val="95"/>
              </w:rPr>
              <w:t>For the Nine Months Ended September 30, 2018</w:t>
            </w:r>
          </w:p>
        </w:tc>
        <w:tc>
          <w:tcPr>
            <w:tcW w:w="0" w:type="dxa"/>
            <w:vAlign w:val="bottom"/>
          </w:tcPr>
          <w:p>
            <w:pPr>
              <w:spacing w:after="0"/>
              <w:rPr>
                <w:sz w:val="1"/>
                <w:szCs w:val="1"/>
                <w:color w:val="auto"/>
              </w:rPr>
            </w:pPr>
          </w:p>
        </w:tc>
      </w:tr>
      <w:tr>
        <w:trPr>
          <w:trHeight w:val="156"/>
        </w:trPr>
        <w:tc>
          <w:tcPr>
            <w:tcW w:w="1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3"/>
          </w:tcPr>
          <w:p>
            <w:pPr>
              <w:jc w:val="right"/>
              <w:ind w:right="420"/>
              <w:spacing w:after="0" w:line="155" w:lineRule="exact"/>
              <w:rPr>
                <w:sz w:val="20"/>
                <w:szCs w:val="20"/>
                <w:color w:val="auto"/>
              </w:rPr>
            </w:pPr>
            <w:r>
              <w:rPr>
                <w:rFonts w:ascii="Arial" w:cs="Arial" w:eastAsia="Arial" w:hAnsi="Arial"/>
                <w:sz w:val="14"/>
                <w:szCs w:val="14"/>
                <w:b w:val="1"/>
                <w:bCs w:val="1"/>
                <w:color w:val="auto"/>
              </w:rPr>
              <w:t>Paid</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Received</w:t>
            </w: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3"/>
          </w:tcPr>
          <w:p>
            <w:pPr>
              <w:jc w:val="right"/>
              <w:ind w:right="480"/>
              <w:spacing w:after="0" w:line="155" w:lineRule="exact"/>
              <w:rPr>
                <w:sz w:val="20"/>
                <w:szCs w:val="20"/>
                <w:color w:val="auto"/>
              </w:rPr>
            </w:pPr>
            <w:r>
              <w:rPr>
                <w:rFonts w:ascii="Arial" w:cs="Arial" w:eastAsia="Arial" w:hAnsi="Arial"/>
                <w:sz w:val="14"/>
                <w:szCs w:val="14"/>
                <w:b w:val="1"/>
                <w:bCs w:val="1"/>
                <w:color w:val="auto"/>
              </w:rPr>
              <w:t>Paid</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Received</w:t>
            </w:r>
          </w:p>
        </w:tc>
        <w:tc>
          <w:tcPr>
            <w:tcW w:w="1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8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(1)</w:t>
            </w: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10/5/2018</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92,500</w:t>
            </w: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549</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1,268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gridSpan w:val="2"/>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60" w:type="dxa"/>
            <w:vAlign w:val="bottom"/>
            <w:gridSpan w:val="2"/>
          </w:tcPr>
          <w:p>
            <w:pPr>
              <w:spacing w:after="0"/>
              <w:rPr>
                <w:sz w:val="20"/>
                <w:szCs w:val="20"/>
                <w:color w:val="auto"/>
              </w:rPr>
            </w:pPr>
            <w:r>
              <w:rPr>
                <w:rFonts w:ascii="Arial" w:cs="Arial" w:eastAsia="Arial" w:hAnsi="Arial"/>
                <w:sz w:val="18"/>
                <w:szCs w:val="18"/>
                <w:color w:val="auto"/>
              </w:rPr>
              <w:t>Interest rate swap</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12/15/2019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115,000</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(1,562)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1,294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(4,305)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3,881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30"/>
        </w:trPr>
        <w:tc>
          <w:tcPr>
            <w:tcW w:w="1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1/10/2020</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33,333</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(698)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(2,094)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2,217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60" w:type="dxa"/>
            <w:vAlign w:val="bottom"/>
            <w:gridSpan w:val="2"/>
          </w:tcPr>
          <w:p>
            <w:pPr>
              <w:spacing w:after="0"/>
              <w:rPr>
                <w:sz w:val="20"/>
                <w:szCs w:val="20"/>
                <w:color w:val="auto"/>
              </w:rPr>
            </w:pPr>
            <w:r>
              <w:rPr>
                <w:rFonts w:ascii="Arial" w:cs="Arial" w:eastAsia="Arial" w:hAnsi="Arial"/>
                <w:sz w:val="18"/>
                <w:szCs w:val="18"/>
                <w:color w:val="auto"/>
              </w:rPr>
              <w:t>Interest rate swap</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8/1/2022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115,000</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(1,368)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1,294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(3,911)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3,881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1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8/1/2022</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60" w:type="dxa"/>
            <w:vAlign w:val="bottom"/>
            <w:gridSpan w:val="2"/>
          </w:tcPr>
          <w:p>
            <w:pPr>
              <w:spacing w:after="0"/>
              <w:rPr>
                <w:sz w:val="20"/>
                <w:szCs w:val="20"/>
                <w:color w:val="auto"/>
              </w:rPr>
            </w:pPr>
            <w:r>
              <w:rPr>
                <w:rFonts w:ascii="Arial" w:cs="Arial" w:eastAsia="Arial" w:hAnsi="Arial"/>
                <w:sz w:val="18"/>
                <w:szCs w:val="18"/>
                <w:color w:val="auto"/>
              </w:rPr>
              <w:t>Interest rate swap</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8/1/2022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7,500</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1/22/2023</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150,000</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(1,641)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1,687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(4,292)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4,631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gridSpan w:val="2"/>
          </w:tcPr>
          <w:p>
            <w:pPr>
              <w:ind w:left="260"/>
              <w:spacing w:after="0"/>
              <w:rPr>
                <w:sz w:val="20"/>
                <w:szCs w:val="20"/>
                <w:color w:val="auto"/>
              </w:rPr>
            </w:pPr>
            <w:r>
              <w:rPr>
                <w:rFonts w:ascii="Arial" w:cs="Arial" w:eastAsia="Arial" w:hAnsi="Arial"/>
                <w:sz w:val="18"/>
                <w:szCs w:val="18"/>
                <w:b w:val="1"/>
                <w:bCs w:val="1"/>
                <w:color w:val="auto"/>
              </w:rPr>
              <w:t>Total</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563,333</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(6,111)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6,253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(16,038)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16,587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Maturity Date</w:t>
            </w:r>
          </w:p>
        </w:tc>
        <w:tc>
          <w:tcPr>
            <w:tcW w:w="2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7"/>
              </w:rPr>
              <w:t>Notional Amount</w:t>
            </w:r>
          </w:p>
        </w:tc>
        <w:tc>
          <w:tcPr>
            <w:tcW w:w="4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gridSpan w:val="13"/>
          </w:tcPr>
          <w:p>
            <w:pPr>
              <w:jc w:val="right"/>
              <w:ind w:right="360"/>
              <w:spacing w:after="0"/>
              <w:rPr>
                <w:sz w:val="20"/>
                <w:szCs w:val="20"/>
                <w:color w:val="auto"/>
              </w:rPr>
            </w:pPr>
            <w:r>
              <w:rPr>
                <w:rFonts w:ascii="Arial" w:cs="Arial" w:eastAsia="Arial" w:hAnsi="Arial"/>
                <w:sz w:val="14"/>
                <w:szCs w:val="14"/>
                <w:b w:val="1"/>
                <w:bCs w:val="1"/>
                <w:color w:val="auto"/>
                <w:w w:val="93"/>
              </w:rPr>
              <w:t>For the Three Months Ended September 30, 2017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gridSpan w:val="14"/>
          </w:tcPr>
          <w:p>
            <w:pPr>
              <w:jc w:val="right"/>
              <w:ind w:right="380"/>
              <w:spacing w:after="0"/>
              <w:rPr>
                <w:sz w:val="20"/>
                <w:szCs w:val="20"/>
                <w:color w:val="auto"/>
              </w:rPr>
            </w:pPr>
            <w:r>
              <w:rPr>
                <w:rFonts w:ascii="Arial" w:cs="Arial" w:eastAsia="Arial" w:hAnsi="Arial"/>
                <w:sz w:val="14"/>
                <w:szCs w:val="14"/>
                <w:b w:val="1"/>
                <w:bCs w:val="1"/>
                <w:color w:val="auto"/>
                <w:w w:val="93"/>
              </w:rPr>
              <w:t>For the Nine Months Ended September 30, 2017</w:t>
            </w:r>
          </w:p>
        </w:tc>
        <w:tc>
          <w:tcPr>
            <w:tcW w:w="0" w:type="dxa"/>
            <w:vAlign w:val="bottom"/>
          </w:tcPr>
          <w:p>
            <w:pPr>
              <w:spacing w:after="0"/>
              <w:rPr>
                <w:sz w:val="1"/>
                <w:szCs w:val="1"/>
                <w:color w:val="auto"/>
              </w:rPr>
            </w:pPr>
          </w:p>
        </w:tc>
      </w:tr>
      <w:tr>
        <w:trPr>
          <w:trHeight w:val="156"/>
        </w:trPr>
        <w:tc>
          <w:tcPr>
            <w:tcW w:w="184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CFF0FC"/>
            </w:tcBorders>
            <w:vMerge w:val="continue"/>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vMerge w:val="continue"/>
          </w:tcPr>
          <w:p>
            <w:pPr>
              <w:spacing w:after="0"/>
              <w:rPr>
                <w:sz w:val="13"/>
                <w:szCs w:val="13"/>
                <w:color w:val="auto"/>
              </w:rPr>
            </w:pPr>
          </w:p>
        </w:tc>
        <w:tc>
          <w:tcPr>
            <w:tcW w:w="40" w:type="dxa"/>
            <w:vAlign w:val="bottom"/>
            <w:tcBorders>
              <w:bottom w:val="single" w:sz="8" w:color="CFF0FC"/>
            </w:tcBorders>
            <w:vMerge w:val="continue"/>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Paid</w:t>
            </w:r>
          </w:p>
        </w:tc>
        <w:tc>
          <w:tcPr>
            <w:tcW w:w="200" w:type="dxa"/>
            <w:vAlign w:val="bottom"/>
            <w:tcBorders>
              <w:top w:val="single" w:sz="8" w:color="auto"/>
              <w:bottom w:val="single" w:sz="8" w:color="CFF0FC"/>
            </w:tcBorders>
            <w:gridSpan w:val="2"/>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w w:val="87"/>
              </w:rPr>
              <w:t>Received</w:t>
            </w: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Net</w:t>
            </w:r>
          </w:p>
        </w:tc>
        <w:tc>
          <w:tcPr>
            <w:tcW w:w="180" w:type="dxa"/>
            <w:vAlign w:val="bottom"/>
            <w:tcBorders>
              <w:bottom w:val="single" w:sz="8" w:color="CFF0FC"/>
            </w:tcBorders>
            <w:gridSpan w:val="2"/>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Paid</w:t>
            </w:r>
          </w:p>
        </w:tc>
        <w:tc>
          <w:tcPr>
            <w:tcW w:w="200" w:type="dxa"/>
            <w:vAlign w:val="bottom"/>
            <w:tcBorders>
              <w:top w:val="single" w:sz="8" w:color="auto"/>
              <w:bottom w:val="single" w:sz="8" w:color="CFF0FC"/>
            </w:tcBorders>
            <w:gridSpan w:val="2"/>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w w:val="87"/>
              </w:rPr>
              <w:t>Received</w:t>
            </w:r>
          </w:p>
        </w:tc>
        <w:tc>
          <w:tcPr>
            <w:tcW w:w="8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Net</w:t>
            </w:r>
          </w:p>
        </w:tc>
        <w:tc>
          <w:tcPr>
            <w:tcW w:w="100" w:type="dxa"/>
            <w:vAlign w:val="bottom"/>
            <w:tcBorders>
              <w:bottom w:val="single" w:sz="8" w:color="CFF0FC"/>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8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(1)</w:t>
            </w:r>
          </w:p>
        </w:tc>
        <w:tc>
          <w:tcPr>
            <w:tcW w:w="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10/5/2018</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79"/>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92,500</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gridSpan w:val="3"/>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00" w:type="dxa"/>
            <w:vAlign w:val="bottom"/>
            <w:gridSpan w:val="2"/>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60" w:type="dxa"/>
            <w:vAlign w:val="bottom"/>
            <w:gridSpan w:val="2"/>
          </w:tcPr>
          <w:p>
            <w:pPr>
              <w:spacing w:after="0"/>
              <w:rPr>
                <w:sz w:val="20"/>
                <w:szCs w:val="20"/>
                <w:color w:val="auto"/>
              </w:rPr>
            </w:pPr>
            <w:r>
              <w:rPr>
                <w:rFonts w:ascii="Arial" w:cs="Arial" w:eastAsia="Arial" w:hAnsi="Arial"/>
                <w:sz w:val="18"/>
                <w:szCs w:val="18"/>
                <w:color w:val="auto"/>
              </w:rPr>
              <w:t>Interest rate swap</w:t>
            </w:r>
          </w:p>
        </w:tc>
        <w:tc>
          <w:tcPr>
            <w:tcW w:w="980" w:type="dxa"/>
            <w:vAlign w:val="bottom"/>
          </w:tcPr>
          <w:p>
            <w:pPr>
              <w:jc w:val="right"/>
              <w:spacing w:after="0"/>
              <w:rPr>
                <w:sz w:val="20"/>
                <w:szCs w:val="20"/>
                <w:color w:val="auto"/>
              </w:rPr>
            </w:pPr>
            <w:r>
              <w:rPr>
                <w:rFonts w:ascii="Arial" w:cs="Arial" w:eastAsia="Arial" w:hAnsi="Arial"/>
                <w:sz w:val="18"/>
                <w:szCs w:val="18"/>
                <w:color w:val="auto"/>
              </w:rPr>
              <w:t>12/15/2019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115,000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(3,479)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3,881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1/10/2020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33,333</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(1,900)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1860" w:type="dxa"/>
            <w:vAlign w:val="bottom"/>
            <w:gridSpan w:val="2"/>
          </w:tcPr>
          <w:p>
            <w:pPr>
              <w:spacing w:after="0"/>
              <w:rPr>
                <w:sz w:val="20"/>
                <w:szCs w:val="20"/>
                <w:color w:val="auto"/>
              </w:rPr>
            </w:pPr>
            <w:r>
              <w:rPr>
                <w:rFonts w:ascii="Arial" w:cs="Arial" w:eastAsia="Arial" w:hAnsi="Arial"/>
                <w:sz w:val="18"/>
                <w:szCs w:val="18"/>
                <w:color w:val="auto"/>
              </w:rPr>
              <w:t>Interest rate swap</w:t>
            </w:r>
          </w:p>
        </w:tc>
        <w:tc>
          <w:tcPr>
            <w:tcW w:w="980" w:type="dxa"/>
            <w:vAlign w:val="bottom"/>
          </w:tcPr>
          <w:p>
            <w:pPr>
              <w:jc w:val="right"/>
              <w:spacing w:after="0"/>
              <w:rPr>
                <w:sz w:val="20"/>
                <w:szCs w:val="20"/>
                <w:color w:val="auto"/>
              </w:rPr>
            </w:pPr>
            <w:r>
              <w:rPr>
                <w:rFonts w:ascii="Arial" w:cs="Arial" w:eastAsia="Arial" w:hAnsi="Arial"/>
                <w:sz w:val="18"/>
                <w:szCs w:val="18"/>
                <w:color w:val="auto"/>
              </w:rPr>
              <w:t>8/1/2022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115,000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6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gridSpan w:val="2"/>
            <w:shd w:val="clear" w:color="auto" w:fill="CFF0FC"/>
          </w:tcPr>
          <w:p>
            <w:pPr>
              <w:jc w:val="right"/>
              <w:ind w:right="179"/>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355,833</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(3,218</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gridSpan w:val="3"/>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520" w:right="320" w:hanging="512"/>
        <w:spacing w:after="0" w:line="277"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exceed the Company’s investment in individual portfolio companies as a result of arrangements with other lenders in the syndicate.</w:t>
      </w:r>
    </w:p>
    <w:p>
      <w:pPr>
        <w:spacing w:after="0" w:line="170"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For the three and nine months ended September 30, 2018, the Company recognized $2.0 million and $8.0 million of net change in unrealized depreciation, respectively, on interest rate swaps in the consolidated statement of operations related to the swap transactions. For the three and nine months ended September 30, 2017 the Company recognized $1.7 million of unrealized depreciation and $0.6 million of unrealized appreciation, respectively, on interest rate swaps in the consolidated statement of operations related to the swap transactions.</w:t>
      </w:r>
    </w:p>
    <w:p>
      <w:pPr>
        <w:spacing w:after="0" w:line="187" w:lineRule="exact"/>
        <w:rPr>
          <w:sz w:val="20"/>
          <w:szCs w:val="20"/>
          <w:color w:val="auto"/>
        </w:rPr>
      </w:pPr>
    </w:p>
    <w:p>
      <w:pPr>
        <w:ind w:right="520" w:firstLine="259"/>
        <w:spacing w:after="0" w:line="277" w:lineRule="auto"/>
        <w:rPr>
          <w:sz w:val="20"/>
          <w:szCs w:val="20"/>
          <w:color w:val="auto"/>
        </w:rPr>
      </w:pPr>
      <w:r>
        <w:rPr>
          <w:rFonts w:ascii="Arial" w:cs="Arial" w:eastAsia="Arial" w:hAnsi="Arial"/>
          <w:sz w:val="18"/>
          <w:szCs w:val="18"/>
          <w:color w:val="auto"/>
        </w:rPr>
        <w:t>As of September 30, 2018 and December 31, 2017, the swap transactions had a fair value of $(8.9) million and $(1.0) million, respectively, which is netted against restricted cash collateral on the Company’s consolidated balance sheet.</w:t>
      </w:r>
    </w:p>
    <w:p>
      <w:pPr>
        <w:spacing w:after="0" w:line="170" w:lineRule="exact"/>
        <w:rPr>
          <w:sz w:val="20"/>
          <w:szCs w:val="20"/>
          <w:color w:val="auto"/>
        </w:rPr>
      </w:pPr>
    </w:p>
    <w:p>
      <w:pPr>
        <w:ind w:right="80" w:firstLine="259"/>
        <w:spacing w:after="0" w:line="257" w:lineRule="auto"/>
        <w:rPr>
          <w:sz w:val="20"/>
          <w:szCs w:val="20"/>
          <w:color w:val="auto"/>
        </w:rPr>
      </w:pPr>
      <w:r>
        <w:rPr>
          <w:rFonts w:ascii="Arial" w:cs="Arial" w:eastAsia="Arial" w:hAnsi="Arial"/>
          <w:sz w:val="18"/>
          <w:szCs w:val="18"/>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p>
    <w:p>
      <w:pPr>
        <w:spacing w:after="0" w:line="188" w:lineRule="exact"/>
        <w:rPr>
          <w:sz w:val="20"/>
          <w:szCs w:val="20"/>
          <w:color w:val="auto"/>
        </w:rPr>
      </w:pPr>
    </w:p>
    <w:p>
      <w:pPr>
        <w:ind w:right="100" w:firstLine="259"/>
        <w:spacing w:after="0" w:line="259" w:lineRule="auto"/>
        <w:rPr>
          <w:sz w:val="20"/>
          <w:szCs w:val="20"/>
          <w:color w:val="auto"/>
        </w:rPr>
      </w:pPr>
      <w:r>
        <w:rPr>
          <w:rFonts w:ascii="Arial" w:cs="Arial" w:eastAsia="Arial" w:hAnsi="Arial"/>
          <w:sz w:val="18"/>
          <w:szCs w:val="18"/>
          <w:color w:val="auto"/>
        </w:rPr>
        <w:t>As of September 30, 2018, $15.6 million of cash is pledged as collateral under the Company’s derivative instruments and $6.7 million is included in restricted cash as a component of cash and cash equivalents on the Company’s consolidated balance sheet. The Company had $4.1 million of cash collateral posted as of December 31, 2017, of which $3.2 million is included in restricted cash as a component of cash and cash equivalents on the Company’s consolidated balance sheet.</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may enter into other derivative instruments and incur other exposures with the same or other counterparties in the future.</w:t>
      </w: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60"/>
          </w:cols>
          <w:pgMar w:left="240" w:top="557" w:right="1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present fair value measurements of investments as of September 30, 2018 and December 31, 2017:</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760" w:type="dxa"/>
            <w:vAlign w:val="bottom"/>
            <w:gridSpan w:val="8"/>
          </w:tcPr>
          <w:p>
            <w:pPr>
              <w:jc w:val="center"/>
              <w:spacing w:after="0"/>
              <w:rPr>
                <w:sz w:val="20"/>
                <w:szCs w:val="20"/>
                <w:color w:val="auto"/>
              </w:rPr>
            </w:pPr>
            <w:r>
              <w:rPr>
                <w:rFonts w:ascii="Arial" w:cs="Arial" w:eastAsia="Arial" w:hAnsi="Arial"/>
                <w:sz w:val="14"/>
                <w:szCs w:val="14"/>
                <w:b w:val="1"/>
                <w:bCs w:val="1"/>
                <w:color w:val="auto"/>
                <w:w w:val="94"/>
              </w:rPr>
              <w:t>Fair Value Hierarchy at September 30, 2018</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r>
      <w:tr>
        <w:trPr>
          <w:trHeight w:val="156"/>
        </w:trPr>
        <w:tc>
          <w:tcPr>
            <w:tcW w:w="53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Level 2</w:t>
            </w: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17,440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1,837,880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1,855,320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62,962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62,962</w:t>
            </w:r>
          </w:p>
        </w:tc>
        <w:tc>
          <w:tcPr>
            <w:tcW w:w="10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5,208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55,941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61,149</w:t>
            </w:r>
          </w:p>
        </w:tc>
        <w:tc>
          <w:tcPr>
            <w:tcW w:w="100" w:type="dxa"/>
            <w:vAlign w:val="bottom"/>
          </w:tcPr>
          <w:p>
            <w:pPr>
              <w:spacing w:after="0"/>
              <w:rPr>
                <w:sz w:val="19"/>
                <w:szCs w:val="19"/>
                <w:color w:val="auto"/>
              </w:rPr>
            </w:pPr>
          </w:p>
        </w:tc>
      </w:tr>
      <w:tr>
        <w:trPr>
          <w:trHeight w:val="223"/>
        </w:trPr>
        <w:tc>
          <w:tcPr>
            <w:tcW w:w="53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investments at fair value</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5,208</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17,440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1,959,283</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1,981,931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Interest rate swaps</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(8,942)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(8,942)</w:t>
            </w:r>
          </w:p>
        </w:tc>
      </w:tr>
      <w:tr>
        <w:trPr>
          <w:trHeight w:val="223"/>
        </w:trPr>
        <w:tc>
          <w:tcPr>
            <w:tcW w:w="53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1,959,283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1,972,989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1"/>
        </w:trPr>
        <w:tc>
          <w:tcPr>
            <w:tcW w:w="5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60" w:type="dxa"/>
            <w:vAlign w:val="bottom"/>
            <w:gridSpan w:val="8"/>
          </w:tcPr>
          <w:p>
            <w:pPr>
              <w:jc w:val="center"/>
              <w:spacing w:after="0"/>
              <w:rPr>
                <w:sz w:val="20"/>
                <w:szCs w:val="20"/>
                <w:color w:val="auto"/>
              </w:rPr>
            </w:pPr>
            <w:r>
              <w:rPr>
                <w:rFonts w:ascii="Arial" w:cs="Arial" w:eastAsia="Arial" w:hAnsi="Arial"/>
                <w:sz w:val="14"/>
                <w:szCs w:val="14"/>
                <w:b w:val="1"/>
                <w:bCs w:val="1"/>
                <w:color w:val="auto"/>
                <w:w w:val="93"/>
              </w:rPr>
              <w:t>Fair Value Hierarchy at December 31, 2017</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
        </w:trPr>
        <w:tc>
          <w:tcPr>
            <w:tcW w:w="5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r>
      <w:tr>
        <w:trPr>
          <w:trHeight w:val="156"/>
        </w:trPr>
        <w:tc>
          <w:tcPr>
            <w:tcW w:w="53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Level 2</w:t>
            </w: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17,383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1,563,972</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1,581,355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60,900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60,900</w:t>
            </w:r>
          </w:p>
        </w:tc>
        <w:tc>
          <w:tcPr>
            <w:tcW w:w="10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13,146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38,322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51,468</w:t>
            </w:r>
          </w:p>
        </w:tc>
        <w:tc>
          <w:tcPr>
            <w:tcW w:w="100" w:type="dxa"/>
            <w:vAlign w:val="bottom"/>
          </w:tcPr>
          <w:p>
            <w:pPr>
              <w:spacing w:after="0"/>
              <w:rPr>
                <w:sz w:val="19"/>
                <w:szCs w:val="19"/>
                <w:color w:val="auto"/>
              </w:rPr>
            </w:pPr>
          </w:p>
        </w:tc>
      </w:tr>
      <w:tr>
        <w:trPr>
          <w:trHeight w:val="223"/>
        </w:trPr>
        <w:tc>
          <w:tcPr>
            <w:tcW w:w="53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investments at fair value</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13,146</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17,383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1,663,194</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1,693,723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Interest rate swaps</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(962)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(962)</w:t>
            </w:r>
          </w:p>
        </w:tc>
      </w:tr>
      <w:tr>
        <w:trPr>
          <w:trHeight w:val="223"/>
        </w:trPr>
        <w:tc>
          <w:tcPr>
            <w:tcW w:w="53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13,146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16,421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1,663,194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1,692,761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Transfers between levels, if any, are recognized at the beginning of the quarter in which the transfers occur.</w:t>
      </w:r>
    </w:p>
    <w:p>
      <w:pPr>
        <w:spacing w:after="0" w:line="225"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three and nine months ended September 30, 2018:</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4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2018</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2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9"/>
              </w:rPr>
              <w:t>First-lien debt</w:t>
            </w:r>
          </w:p>
        </w:tc>
        <w:tc>
          <w:tcPr>
            <w:tcW w:w="120" w:type="dxa"/>
            <w:vAlign w:val="bottom"/>
          </w:tcPr>
          <w:p>
            <w:pPr>
              <w:spacing w:after="0"/>
              <w:rPr>
                <w:sz w:val="11"/>
                <w:szCs w:val="11"/>
                <w:color w:val="auto"/>
              </w:rPr>
            </w:pPr>
          </w:p>
        </w:tc>
        <w:tc>
          <w:tcPr>
            <w:tcW w:w="900" w:type="dxa"/>
            <w:vAlign w:val="bottom"/>
          </w:tcPr>
          <w:p>
            <w:pPr>
              <w:jc w:val="center"/>
              <w:ind w:right="55"/>
              <w:spacing w:after="0" w:line="133" w:lineRule="exact"/>
              <w:rPr>
                <w:sz w:val="20"/>
                <w:szCs w:val="20"/>
                <w:color w:val="auto"/>
              </w:rPr>
            </w:pPr>
            <w:r>
              <w:rPr>
                <w:rFonts w:ascii="Arial" w:cs="Arial" w:eastAsia="Arial" w:hAnsi="Arial"/>
                <w:sz w:val="14"/>
                <w:szCs w:val="14"/>
                <w:b w:val="1"/>
                <w:bCs w:val="1"/>
                <w:color w:val="auto"/>
                <w:w w:val="90"/>
              </w:rPr>
              <w:t>Second-lien</w:t>
            </w:r>
          </w:p>
        </w:tc>
        <w:tc>
          <w:tcPr>
            <w:tcW w:w="240" w:type="dxa"/>
            <w:vAlign w:val="bottom"/>
          </w:tcPr>
          <w:p>
            <w:pPr>
              <w:spacing w:after="0"/>
              <w:rPr>
                <w:sz w:val="11"/>
                <w:szCs w:val="11"/>
                <w:color w:val="auto"/>
              </w:rPr>
            </w:pPr>
          </w:p>
        </w:tc>
        <w:tc>
          <w:tcPr>
            <w:tcW w:w="11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4"/>
              </w:rPr>
              <w:t>Mezzanine debt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4"/>
              </w:rPr>
              <w:t>Equity and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4"/>
              </w:rPr>
              <w:t>debt</w:t>
            </w:r>
          </w:p>
        </w:tc>
        <w:tc>
          <w:tcPr>
            <w:tcW w:w="2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Pr>
          <w:p>
            <w:pPr>
              <w:spacing w:after="0"/>
              <w:rPr>
                <w:sz w:val="14"/>
                <w:szCs w:val="14"/>
                <w:color w:val="auto"/>
              </w:rPr>
            </w:pPr>
          </w:p>
        </w:tc>
        <w:tc>
          <w:tcPr>
            <w:tcW w:w="900" w:type="dxa"/>
            <w:vAlign w:val="bottom"/>
          </w:tcPr>
          <w:p>
            <w:pPr>
              <w:jc w:val="center"/>
              <w:ind w:right="55"/>
              <w:spacing w:after="0"/>
              <w:rPr>
                <w:sz w:val="20"/>
                <w:szCs w:val="20"/>
                <w:color w:val="auto"/>
              </w:rPr>
            </w:pPr>
            <w:r>
              <w:rPr>
                <w:rFonts w:ascii="Arial" w:cs="Arial" w:eastAsia="Arial" w:hAnsi="Arial"/>
                <w:sz w:val="14"/>
                <w:szCs w:val="14"/>
                <w:b w:val="1"/>
                <w:bCs w:val="1"/>
                <w:color w:val="auto"/>
                <w:w w:val="88"/>
              </w:rPr>
              <w:t>investments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investments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1,816,185</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61,331</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56,016</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1,933,532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133,530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2,500</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138,851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(125,095)</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(125,095)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(2,896)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Net realized losses</w:t>
            </w: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(1,442)</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Transfers within Level 3</w:t>
            </w: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1,837,880</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62,962</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55,941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1,959,283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391"/>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99" w:right="2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40" w:type="dxa"/>
            <w:vAlign w:val="bottom"/>
            <w:gridSpan w:val="9"/>
          </w:tcPr>
          <w:p>
            <w:pPr>
              <w:jc w:val="center"/>
              <w:ind w:right="340"/>
              <w:spacing w:after="0"/>
              <w:rPr>
                <w:sz w:val="20"/>
                <w:szCs w:val="20"/>
                <w:color w:val="auto"/>
              </w:rPr>
            </w:pPr>
            <w:r>
              <w:rPr>
                <w:rFonts w:ascii="Arial" w:cs="Arial" w:eastAsia="Arial" w:hAnsi="Arial"/>
                <w:sz w:val="14"/>
                <w:szCs w:val="14"/>
                <w:b w:val="1"/>
                <w:bCs w:val="1"/>
                <w:color w:val="auto"/>
                <w:w w:val="93"/>
              </w:rPr>
              <w:t>As of and for the Nine Months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2018</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2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9"/>
              </w:rPr>
              <w:t>First-lien debt</w:t>
            </w:r>
          </w:p>
        </w:tc>
        <w:tc>
          <w:tcPr>
            <w:tcW w:w="120" w:type="dxa"/>
            <w:vAlign w:val="bottom"/>
          </w:tcPr>
          <w:p>
            <w:pPr>
              <w:spacing w:after="0"/>
              <w:rPr>
                <w:sz w:val="11"/>
                <w:szCs w:val="11"/>
                <w:color w:val="auto"/>
              </w:rPr>
            </w:pPr>
          </w:p>
        </w:tc>
        <w:tc>
          <w:tcPr>
            <w:tcW w:w="900" w:type="dxa"/>
            <w:vAlign w:val="bottom"/>
          </w:tcPr>
          <w:p>
            <w:pPr>
              <w:jc w:val="center"/>
              <w:ind w:right="55"/>
              <w:spacing w:after="0" w:line="133" w:lineRule="exact"/>
              <w:rPr>
                <w:sz w:val="20"/>
                <w:szCs w:val="20"/>
                <w:color w:val="auto"/>
              </w:rPr>
            </w:pPr>
            <w:r>
              <w:rPr>
                <w:rFonts w:ascii="Arial" w:cs="Arial" w:eastAsia="Arial" w:hAnsi="Arial"/>
                <w:sz w:val="14"/>
                <w:szCs w:val="14"/>
                <w:b w:val="1"/>
                <w:bCs w:val="1"/>
                <w:color w:val="auto"/>
                <w:w w:val="90"/>
              </w:rPr>
              <w:t>Second-lien</w:t>
            </w:r>
          </w:p>
        </w:tc>
        <w:tc>
          <w:tcPr>
            <w:tcW w:w="240" w:type="dxa"/>
            <w:vAlign w:val="bottom"/>
          </w:tcPr>
          <w:p>
            <w:pPr>
              <w:spacing w:after="0"/>
              <w:rPr>
                <w:sz w:val="11"/>
                <w:szCs w:val="11"/>
                <w:color w:val="auto"/>
              </w:rPr>
            </w:pPr>
          </w:p>
        </w:tc>
        <w:tc>
          <w:tcPr>
            <w:tcW w:w="11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4"/>
              </w:rPr>
              <w:t>Mezzanine debt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4"/>
              </w:rPr>
              <w:t>Equity and</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4"/>
              </w:rPr>
              <w:t>debt</w:t>
            </w:r>
          </w:p>
        </w:tc>
        <w:tc>
          <w:tcPr>
            <w:tcW w:w="2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other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Pr>
          <w:p>
            <w:pPr>
              <w:spacing w:after="0"/>
              <w:rPr>
                <w:sz w:val="14"/>
                <w:szCs w:val="14"/>
                <w:color w:val="auto"/>
              </w:rPr>
            </w:pPr>
          </w:p>
        </w:tc>
        <w:tc>
          <w:tcPr>
            <w:tcW w:w="900" w:type="dxa"/>
            <w:vAlign w:val="bottom"/>
          </w:tcPr>
          <w:p>
            <w:pPr>
              <w:jc w:val="center"/>
              <w:ind w:right="55"/>
              <w:spacing w:after="0"/>
              <w:rPr>
                <w:sz w:val="20"/>
                <w:szCs w:val="20"/>
                <w:color w:val="auto"/>
              </w:rPr>
            </w:pPr>
            <w:r>
              <w:rPr>
                <w:rFonts w:ascii="Arial" w:cs="Arial" w:eastAsia="Arial" w:hAnsi="Arial"/>
                <w:sz w:val="14"/>
                <w:szCs w:val="14"/>
                <w:b w:val="1"/>
                <w:bCs w:val="1"/>
                <w:color w:val="auto"/>
                <w:w w:val="88"/>
              </w:rPr>
              <w:t>investments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investments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investments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1,563,972</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60,900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38,322</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1,663,194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677,928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2,500</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9,432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689,860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(414,713)</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(1,379)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(416,092)</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4,442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(10,955)</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(10,452)</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Transfers within Level 3</w:t>
            </w: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(2,211)</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1,837,880</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62,962</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55,941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1,959,283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three and nine months ended September 30, 2017:</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40" w:type="dxa"/>
            <w:vAlign w:val="bottom"/>
            <w:gridSpan w:val="10"/>
          </w:tcPr>
          <w:p>
            <w:pPr>
              <w:jc w:val="center"/>
              <w:ind w:right="240"/>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September 30, 2017</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2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5"/>
              </w:rPr>
              <w:t>First-lien debt</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0"/>
              </w:rPr>
              <w:t>Second-lien</w:t>
            </w:r>
          </w:p>
        </w:tc>
        <w:tc>
          <w:tcPr>
            <w:tcW w:w="140" w:type="dxa"/>
            <w:vAlign w:val="bottom"/>
          </w:tcPr>
          <w:p>
            <w:pPr>
              <w:spacing w:after="0"/>
              <w:rPr>
                <w:sz w:val="11"/>
                <w:szCs w:val="11"/>
                <w:color w:val="auto"/>
              </w:rPr>
            </w:pPr>
          </w:p>
        </w:tc>
        <w:tc>
          <w:tcPr>
            <w:tcW w:w="11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4"/>
              </w:rPr>
              <w:t>Mezzanine debt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4"/>
              </w:rPr>
              <w:t>Equity and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debt</w:t>
            </w:r>
          </w:p>
        </w:tc>
        <w:tc>
          <w:tcPr>
            <w:tcW w:w="1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investments</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investments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investments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1,394,182</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60,909</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88"/>
              </w:rPr>
              <w:t>—</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38,856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1,493,947</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325,568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329,068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(299,777)</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(2,361)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(302,138)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losses</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(593)</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(3,680)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Net realized gains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Transfers within Level 3</w:t>
            </w: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1,427,878</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37,896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1,526,683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gridSpan w:val="10"/>
          </w:tcPr>
          <w:p>
            <w:pPr>
              <w:jc w:val="center"/>
              <w:ind w:right="240"/>
              <w:spacing w:after="0"/>
              <w:rPr>
                <w:sz w:val="20"/>
                <w:szCs w:val="20"/>
                <w:color w:val="auto"/>
              </w:rPr>
            </w:pPr>
            <w:r>
              <w:rPr>
                <w:rFonts w:ascii="Arial" w:cs="Arial" w:eastAsia="Arial" w:hAnsi="Arial"/>
                <w:sz w:val="14"/>
                <w:szCs w:val="14"/>
                <w:b w:val="1"/>
                <w:bCs w:val="1"/>
                <w:color w:val="auto"/>
                <w:w w:val="93"/>
              </w:rPr>
              <w:t>As of and for the Nine Months Ended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September 30, 2017</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2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5"/>
              </w:rPr>
              <w:t>First-lien debt</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0"/>
              </w:rPr>
              <w:t>Second-lien</w:t>
            </w:r>
          </w:p>
        </w:tc>
        <w:tc>
          <w:tcPr>
            <w:tcW w:w="140" w:type="dxa"/>
            <w:vAlign w:val="bottom"/>
          </w:tcPr>
          <w:p>
            <w:pPr>
              <w:spacing w:after="0"/>
              <w:rPr>
                <w:sz w:val="11"/>
                <w:szCs w:val="11"/>
                <w:color w:val="auto"/>
              </w:rPr>
            </w:pPr>
          </w:p>
        </w:tc>
        <w:tc>
          <w:tcPr>
            <w:tcW w:w="11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4"/>
              </w:rPr>
              <w:t>Mezzanine debt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4"/>
              </w:rPr>
              <w:t>Equity and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debt</w:t>
            </w:r>
          </w:p>
        </w:tc>
        <w:tc>
          <w:tcPr>
            <w:tcW w:w="1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investments</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investments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investments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1,454,087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3,350</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88"/>
              </w:rPr>
              <w:t>—</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12,465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1,469,902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724,152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741,154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(703,096)</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(4,833)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(707,929)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5,045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17,181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(2,062)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(21,006)</w:t>
            </w:r>
          </w:p>
        </w:tc>
        <w:tc>
          <w:tcPr>
            <w:tcW w:w="1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3,690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(17,316)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19,290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19,290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Transfers within Level 3</w:t>
            </w: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(67,775)</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59,621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8,154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1,427,878</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37,896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1,526,683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392"/>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779" w:right="219" w:bottom="1440" w:gutter="0" w:footer="0" w:header="0"/>
        </w:sectPr>
      </w:pPr>
    </w:p>
    <w:bookmarkStart w:id="31" w:name="page32"/>
    <w:bookmarkEnd w:id="31"/>
    <w:p>
      <w:pPr>
        <w:ind w:right="40" w:firstLine="259"/>
        <w:spacing w:after="0" w:line="277" w:lineRule="auto"/>
        <w:rPr>
          <w:sz w:val="20"/>
          <w:szCs w:val="20"/>
          <w:color w:val="auto"/>
        </w:rPr>
      </w:pPr>
      <w:r>
        <w:rPr>
          <w:rFonts w:ascii="Arial" w:cs="Arial" w:eastAsia="Arial" w:hAnsi="Arial"/>
          <w:sz w:val="18"/>
          <w:szCs w:val="18"/>
          <w:color w:val="auto"/>
        </w:rPr>
        <w:t>The following tables present information with respect to the net change in unrealized gains or losses on investments for which Level 3 inputs were used in determining fair value that are still held by the Company at September 30, 2018 and 2017:</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9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Net Change in Unrealized</w:t>
            </w:r>
          </w:p>
        </w:tc>
        <w:tc>
          <w:tcPr>
            <w:tcW w:w="18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Net Change in Unrealized</w:t>
            </w:r>
          </w:p>
        </w:tc>
      </w:tr>
      <w:tr>
        <w:trPr>
          <w:trHeight w:val="162"/>
        </w:trPr>
        <w:tc>
          <w:tcPr>
            <w:tcW w:w="4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Gains or (Losses)</w:t>
            </w:r>
          </w:p>
        </w:tc>
        <w:tc>
          <w:tcPr>
            <w:tcW w:w="140" w:type="dxa"/>
            <w:vAlign w:val="bottom"/>
          </w:tcPr>
          <w:p>
            <w:pPr>
              <w:spacing w:after="0"/>
              <w:rPr>
                <w:sz w:val="14"/>
                <w:szCs w:val="14"/>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Gains or (Losses)</w:t>
            </w:r>
          </w:p>
        </w:tc>
      </w:tr>
      <w:tr>
        <w:trPr>
          <w:trHeight w:val="149"/>
        </w:trPr>
        <w:tc>
          <w:tcPr>
            <w:tcW w:w="4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for the Three Months</w:t>
            </w:r>
          </w:p>
        </w:tc>
        <w:tc>
          <w:tcPr>
            <w:tcW w:w="140" w:type="dxa"/>
            <w:vAlign w:val="bottom"/>
          </w:tcPr>
          <w:p>
            <w:pPr>
              <w:spacing w:after="0"/>
              <w:rPr>
                <w:sz w:val="12"/>
                <w:szCs w:val="12"/>
                <w:color w:val="auto"/>
              </w:rPr>
            </w:pPr>
          </w:p>
        </w:tc>
        <w:tc>
          <w:tcPr>
            <w:tcW w:w="16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for the Three Months</w:t>
            </w:r>
          </w:p>
        </w:tc>
      </w:tr>
      <w:tr>
        <w:trPr>
          <w:trHeight w:val="162"/>
        </w:trPr>
        <w:tc>
          <w:tcPr>
            <w:tcW w:w="4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4"/>
                <w:szCs w:val="14"/>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w:t>
            </w:r>
          </w:p>
        </w:tc>
      </w:tr>
      <w:tr>
        <w:trPr>
          <w:trHeight w:val="162"/>
        </w:trPr>
        <w:tc>
          <w:tcPr>
            <w:tcW w:w="4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September 30, 2018 on</w:t>
            </w:r>
          </w:p>
        </w:tc>
        <w:tc>
          <w:tcPr>
            <w:tcW w:w="140" w:type="dxa"/>
            <w:vAlign w:val="bottom"/>
          </w:tcPr>
          <w:p>
            <w:pPr>
              <w:spacing w:after="0"/>
              <w:rPr>
                <w:sz w:val="14"/>
                <w:szCs w:val="14"/>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September 30, 2017 on</w:t>
            </w:r>
          </w:p>
        </w:tc>
      </w:tr>
      <w:tr>
        <w:trPr>
          <w:trHeight w:val="162"/>
        </w:trPr>
        <w:tc>
          <w:tcPr>
            <w:tcW w:w="4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Investments Held at</w:t>
            </w:r>
          </w:p>
        </w:tc>
        <w:tc>
          <w:tcPr>
            <w:tcW w:w="140" w:type="dxa"/>
            <w:vAlign w:val="bottom"/>
          </w:tcPr>
          <w:p>
            <w:pPr>
              <w:spacing w:after="0"/>
              <w:rPr>
                <w:sz w:val="14"/>
                <w:szCs w:val="14"/>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Investments Held at</w:t>
            </w:r>
          </w:p>
        </w:tc>
      </w:tr>
      <w:tr>
        <w:trPr>
          <w:trHeight w:val="171"/>
        </w:trPr>
        <w:tc>
          <w:tcPr>
            <w:tcW w:w="4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 2018</w:t>
            </w:r>
          </w:p>
        </w:tc>
        <w:tc>
          <w:tcPr>
            <w:tcW w:w="140" w:type="dxa"/>
            <w:vAlign w:val="bottom"/>
          </w:tcPr>
          <w:p>
            <w:pPr>
              <w:spacing w:after="0"/>
              <w:rPr>
                <w:sz w:val="14"/>
                <w:szCs w:val="14"/>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 2017</w:t>
            </w: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10,649</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1,631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4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40" w:type="dxa"/>
            <w:vAlign w:val="bottom"/>
          </w:tcPr>
          <w:p>
            <w:pPr>
              <w:spacing w:after="0"/>
              <w:rPr>
                <w:sz w:val="19"/>
                <w:szCs w:val="19"/>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(2,895)</w:t>
            </w:r>
          </w:p>
        </w:tc>
        <w:tc>
          <w:tcPr>
            <w:tcW w:w="140" w:type="dxa"/>
            <w:vAlign w:val="bottom"/>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(2,629)</w:t>
            </w:r>
          </w:p>
        </w:tc>
      </w:tr>
      <w:tr>
        <w:trPr>
          <w:trHeight w:val="223"/>
        </w:trPr>
        <w:tc>
          <w:tcPr>
            <w:tcW w:w="42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9,385</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25" w:right="239" w:bottom="1440" w:gutter="0" w:footer="0" w:header="0"/>
        </w:sectPr>
      </w:pPr>
    </w:p>
    <w:p>
      <w:pPr>
        <w:spacing w:after="0" w:line="74" w:lineRule="exact"/>
        <w:rPr>
          <w:sz w:val="20"/>
          <w:szCs w:val="20"/>
          <w:color w:val="auto"/>
        </w:rPr>
      </w:pPr>
    </w:p>
    <w:p>
      <w:pPr>
        <w:jc w:val="center"/>
        <w:ind w:left="6000"/>
        <w:spacing w:after="0"/>
        <w:rPr>
          <w:sz w:val="20"/>
          <w:szCs w:val="20"/>
          <w:color w:val="auto"/>
        </w:rPr>
      </w:pPr>
      <w:r>
        <w:rPr>
          <w:rFonts w:ascii="Arial" w:cs="Arial" w:eastAsia="Arial" w:hAnsi="Arial"/>
          <w:sz w:val="13"/>
          <w:szCs w:val="13"/>
          <w:b w:val="1"/>
          <w:bCs w:val="1"/>
          <w:color w:val="auto"/>
        </w:rPr>
        <w:t>Net Change in Unrealized</w:t>
      </w:r>
    </w:p>
    <w:p>
      <w:pPr>
        <w:spacing w:after="0" w:line="29" w:lineRule="exact"/>
        <w:rPr>
          <w:sz w:val="20"/>
          <w:szCs w:val="20"/>
          <w:color w:val="auto"/>
        </w:rPr>
      </w:pPr>
    </w:p>
    <w:p>
      <w:pPr>
        <w:jc w:val="center"/>
        <w:ind w:left="6000"/>
        <w:spacing w:after="0"/>
        <w:rPr>
          <w:sz w:val="20"/>
          <w:szCs w:val="20"/>
          <w:color w:val="auto"/>
        </w:rPr>
      </w:pPr>
      <w:r>
        <w:rPr>
          <w:rFonts w:ascii="Arial" w:cs="Arial" w:eastAsia="Arial" w:hAnsi="Arial"/>
          <w:sz w:val="14"/>
          <w:szCs w:val="14"/>
          <w:b w:val="1"/>
          <w:bCs w:val="1"/>
          <w:color w:val="auto"/>
        </w:rPr>
        <w:t>Gains or (Losses)</w:t>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3"/>
          <w:szCs w:val="13"/>
          <w:b w:val="1"/>
          <w:bCs w:val="1"/>
          <w:color w:val="auto"/>
        </w:rPr>
        <w:t>for the Nine Months Ended</w:t>
      </w:r>
    </w:p>
    <w:p>
      <w:pPr>
        <w:spacing w:after="0" w:line="13" w:lineRule="exact"/>
        <w:rPr>
          <w:sz w:val="20"/>
          <w:szCs w:val="20"/>
          <w:color w:val="auto"/>
        </w:rPr>
      </w:pPr>
    </w:p>
    <w:p>
      <w:pPr>
        <w:jc w:val="center"/>
        <w:ind w:left="6000"/>
        <w:spacing w:after="0"/>
        <w:rPr>
          <w:sz w:val="20"/>
          <w:szCs w:val="20"/>
          <w:color w:val="auto"/>
        </w:rPr>
      </w:pPr>
      <w:r>
        <w:rPr>
          <w:rFonts w:ascii="Arial" w:cs="Arial" w:eastAsia="Arial" w:hAnsi="Arial"/>
          <w:sz w:val="14"/>
          <w:szCs w:val="14"/>
          <w:b w:val="1"/>
          <w:bCs w:val="1"/>
          <w:color w:val="auto"/>
        </w:rPr>
        <w:t>September 30, 2018 on</w:t>
      </w:r>
    </w:p>
    <w:p>
      <w:pPr>
        <w:spacing w:after="0" w:line="1" w:lineRule="exact"/>
        <w:rPr>
          <w:sz w:val="20"/>
          <w:szCs w:val="20"/>
          <w:color w:val="auto"/>
        </w:rPr>
      </w:pPr>
    </w:p>
    <w:p>
      <w:pPr>
        <w:jc w:val="center"/>
        <w:ind w:left="6000"/>
        <w:spacing w:after="0"/>
        <w:rPr>
          <w:sz w:val="20"/>
          <w:szCs w:val="20"/>
          <w:color w:val="auto"/>
        </w:rPr>
      </w:pPr>
      <w:r>
        <w:rPr>
          <w:rFonts w:ascii="Arial" w:cs="Arial" w:eastAsia="Arial" w:hAnsi="Arial"/>
          <w:sz w:val="14"/>
          <w:szCs w:val="14"/>
          <w:b w:val="1"/>
          <w:bCs w:val="1"/>
          <w:color w:val="auto"/>
        </w:rPr>
        <w:t>Investments Held at</w:t>
      </w:r>
    </w:p>
    <w:p>
      <w:pPr>
        <w:jc w:val="center"/>
        <w:ind w:left="6000"/>
        <w:spacing w:after="0" w:line="233" w:lineRule="auto"/>
        <w:rPr>
          <w:sz w:val="20"/>
          <w:szCs w:val="20"/>
          <w:color w:val="auto"/>
        </w:rPr>
      </w:pPr>
      <w:r>
        <w:rPr>
          <w:rFonts w:ascii="Arial" w:cs="Arial" w:eastAsia="Arial" w:hAnsi="Arial"/>
          <w:sz w:val="14"/>
          <w:szCs w:val="14"/>
          <w:b w:val="1"/>
          <w:bCs w:val="1"/>
          <w:color w:val="auto"/>
        </w:rPr>
        <w:t>September 30, 2018</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center"/>
        <w:ind w:right="1840"/>
        <w:spacing w:after="0"/>
        <w:rPr>
          <w:sz w:val="20"/>
          <w:szCs w:val="20"/>
          <w:color w:val="auto"/>
        </w:rPr>
      </w:pPr>
      <w:r>
        <w:rPr>
          <w:rFonts w:ascii="Arial" w:cs="Arial" w:eastAsia="Arial" w:hAnsi="Arial"/>
          <w:sz w:val="13"/>
          <w:szCs w:val="13"/>
          <w:b w:val="1"/>
          <w:bCs w:val="1"/>
          <w:color w:val="auto"/>
        </w:rPr>
        <w:t>Net Change in Unrealized</w:t>
      </w:r>
    </w:p>
    <w:p>
      <w:pPr>
        <w:spacing w:after="0" w:line="29" w:lineRule="exact"/>
        <w:rPr>
          <w:sz w:val="20"/>
          <w:szCs w:val="20"/>
          <w:color w:val="auto"/>
        </w:rPr>
      </w:pPr>
    </w:p>
    <w:p>
      <w:pPr>
        <w:jc w:val="center"/>
        <w:ind w:right="1840"/>
        <w:spacing w:after="0"/>
        <w:rPr>
          <w:sz w:val="20"/>
          <w:szCs w:val="20"/>
          <w:color w:val="auto"/>
        </w:rPr>
      </w:pPr>
      <w:r>
        <w:rPr>
          <w:rFonts w:ascii="Arial" w:cs="Arial" w:eastAsia="Arial" w:hAnsi="Arial"/>
          <w:sz w:val="14"/>
          <w:szCs w:val="14"/>
          <w:b w:val="1"/>
          <w:bCs w:val="1"/>
          <w:color w:val="auto"/>
        </w:rPr>
        <w:t>Gains or (Losses)</w:t>
      </w:r>
    </w:p>
    <w:p>
      <w:pPr>
        <w:spacing w:after="0" w:line="1" w:lineRule="exact"/>
        <w:rPr>
          <w:sz w:val="20"/>
          <w:szCs w:val="20"/>
          <w:color w:val="auto"/>
        </w:rPr>
      </w:pPr>
    </w:p>
    <w:p>
      <w:pPr>
        <w:jc w:val="center"/>
        <w:ind w:right="1840"/>
        <w:spacing w:after="0"/>
        <w:rPr>
          <w:sz w:val="20"/>
          <w:szCs w:val="20"/>
          <w:color w:val="auto"/>
        </w:rPr>
      </w:pPr>
      <w:r>
        <w:rPr>
          <w:rFonts w:ascii="Arial" w:cs="Arial" w:eastAsia="Arial" w:hAnsi="Arial"/>
          <w:sz w:val="13"/>
          <w:szCs w:val="13"/>
          <w:b w:val="1"/>
          <w:bCs w:val="1"/>
          <w:color w:val="auto"/>
        </w:rPr>
        <w:t>for the Nine Months Ended</w:t>
      </w:r>
    </w:p>
    <w:p>
      <w:pPr>
        <w:spacing w:after="0" w:line="13" w:lineRule="exact"/>
        <w:rPr>
          <w:sz w:val="20"/>
          <w:szCs w:val="20"/>
          <w:color w:val="auto"/>
        </w:rPr>
      </w:pPr>
    </w:p>
    <w:p>
      <w:pPr>
        <w:jc w:val="center"/>
        <w:ind w:right="1840"/>
        <w:spacing w:after="0"/>
        <w:rPr>
          <w:sz w:val="20"/>
          <w:szCs w:val="20"/>
          <w:color w:val="auto"/>
        </w:rPr>
      </w:pPr>
      <w:r>
        <w:rPr>
          <w:rFonts w:ascii="Arial" w:cs="Arial" w:eastAsia="Arial" w:hAnsi="Arial"/>
          <w:sz w:val="14"/>
          <w:szCs w:val="14"/>
          <w:b w:val="1"/>
          <w:bCs w:val="1"/>
          <w:color w:val="auto"/>
        </w:rPr>
        <w:t>September 30, 2017 on</w:t>
      </w:r>
    </w:p>
    <w:p>
      <w:pPr>
        <w:spacing w:after="0" w:line="1" w:lineRule="exact"/>
        <w:rPr>
          <w:sz w:val="20"/>
          <w:szCs w:val="20"/>
          <w:color w:val="auto"/>
        </w:rPr>
      </w:pPr>
    </w:p>
    <w:p>
      <w:pPr>
        <w:jc w:val="center"/>
        <w:ind w:right="1840"/>
        <w:spacing w:after="0"/>
        <w:rPr>
          <w:sz w:val="20"/>
          <w:szCs w:val="20"/>
          <w:color w:val="auto"/>
        </w:rPr>
      </w:pPr>
      <w:r>
        <w:rPr>
          <w:rFonts w:ascii="Arial" w:cs="Arial" w:eastAsia="Arial" w:hAnsi="Arial"/>
          <w:sz w:val="14"/>
          <w:szCs w:val="14"/>
          <w:b w:val="1"/>
          <w:bCs w:val="1"/>
          <w:color w:val="auto"/>
        </w:rPr>
        <w:t>Investments Held at</w:t>
      </w:r>
    </w:p>
    <w:p>
      <w:pPr>
        <w:jc w:val="center"/>
        <w:ind w:right="1840"/>
        <w:spacing w:after="0" w:line="233" w:lineRule="auto"/>
        <w:rPr>
          <w:sz w:val="20"/>
          <w:szCs w:val="20"/>
          <w:color w:val="auto"/>
        </w:rPr>
      </w:pPr>
      <w:r>
        <w:rPr>
          <w:rFonts w:ascii="Arial" w:cs="Arial" w:eastAsia="Arial" w:hAnsi="Arial"/>
          <w:sz w:val="14"/>
          <w:szCs w:val="14"/>
          <w:b w:val="1"/>
          <w:bCs w:val="1"/>
          <w:color w:val="auto"/>
        </w:rPr>
        <w:t>September 30, 2017</w:t>
      </w:r>
    </w:p>
    <w:p>
      <w:pPr>
        <w:spacing w:after="0" w:line="1" w:lineRule="exact"/>
        <w:rPr>
          <w:sz w:val="20"/>
          <w:szCs w:val="20"/>
          <w:color w:val="auto"/>
        </w:rPr>
      </w:pPr>
    </w:p>
    <w:p>
      <w:pPr>
        <w:sectPr>
          <w:pgSz w:w="11900" w:h="16838" w:orient="portrait"/>
          <w:cols w:equalWidth="0" w:num="2">
            <w:col w:w="7660" w:space="240"/>
            <w:col w:w="3520"/>
          </w:cols>
          <w:pgMar w:left="240" w:top="625" w:right="239" w:bottom="1440" w:gutter="0" w:footer="0" w:header="0"/>
          <w:type w:val="continuous"/>
        </w:sectPr>
      </w:pPr>
    </w:p>
    <w:tbl>
      <w:tblPr>
        <w:tblLayout w:type="fixed"/>
        <w:tblInd w:w="1720" w:type="dxa"/>
        <w:tblCellMar>
          <w:top w:w="0" w:type="dxa"/>
          <w:left w:w="0" w:type="dxa"/>
          <w:bottom w:w="0" w:type="dxa"/>
          <w:right w:w="0" w:type="dxa"/>
        </w:tblCellMar>
      </w:tblPr>
      <w:tr>
        <w:trPr>
          <w:trHeight w:val="223"/>
        </w:trPr>
        <w:tc>
          <w:tcPr>
            <w:tcW w:w="3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06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16,463</w:t>
            </w:r>
          </w:p>
        </w:tc>
        <w:tc>
          <w:tcPr>
            <w:tcW w:w="16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2,062</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(2,062)</w:t>
            </w:r>
          </w:p>
        </w:tc>
      </w:tr>
      <w:tr>
        <w:trPr>
          <w:trHeight w:val="230"/>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7,311</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(6,164)</w:t>
            </w:r>
          </w:p>
        </w:tc>
      </w:tr>
      <w:tr>
        <w:trPr>
          <w:trHeight w:val="223"/>
        </w:trPr>
        <w:tc>
          <w:tcPr>
            <w:tcW w:w="31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25,836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259"/>
        <w:spacing w:after="0" w:line="264" w:lineRule="auto"/>
        <w:rPr>
          <w:sz w:val="20"/>
          <w:szCs w:val="20"/>
          <w:color w:val="auto"/>
        </w:rPr>
      </w:pPr>
      <w:r>
        <w:rPr>
          <w:rFonts w:ascii="Arial" w:cs="Arial" w:eastAsia="Arial" w:hAnsi="Arial"/>
          <w:sz w:val="18"/>
          <w:szCs w:val="18"/>
          <w:color w:val="auto"/>
        </w:rPr>
        <w:t>The following tables present the fair value of Level 3 Investments at fair value and the significant unobservable inputs used in the valuations as of September 30, 2018 and December 31, 2017. The tables are not intended to be all-inclusive, but instead capture the significant unobservable inputs relevant to the Company’s determination of fair values.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September 30, 2018</w:t>
            </w:r>
          </w:p>
        </w:tc>
        <w:tc>
          <w:tcPr>
            <w:tcW w:w="1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4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Valuation</w:t>
            </w:r>
          </w:p>
        </w:tc>
        <w:tc>
          <w:tcPr>
            <w:tcW w:w="186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Unobservable</w:t>
            </w:r>
          </w:p>
        </w:tc>
        <w:tc>
          <w:tcPr>
            <w:tcW w:w="19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Range (Weighted</w:t>
            </w:r>
          </w:p>
        </w:tc>
        <w:tc>
          <w:tcPr>
            <w:tcW w:w="17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Impact to Valuation</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from an</w:t>
            </w: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73"/>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4"/>
                <w:szCs w:val="14"/>
                <w:color w:val="auto"/>
              </w:rPr>
            </w:pPr>
          </w:p>
        </w:tc>
        <w:tc>
          <w:tcPr>
            <w:tcW w:w="1840" w:type="dxa"/>
            <w:vAlign w:val="bottom"/>
            <w:gridSpan w:val="2"/>
          </w:tcPr>
          <w:p>
            <w:pPr>
              <w:ind w:left="540"/>
              <w:spacing w:after="0"/>
              <w:rPr>
                <w:sz w:val="20"/>
                <w:szCs w:val="20"/>
                <w:color w:val="auto"/>
              </w:rPr>
            </w:pPr>
            <w:r>
              <w:rPr>
                <w:rFonts w:ascii="Arial" w:cs="Arial" w:eastAsia="Arial" w:hAnsi="Arial"/>
                <w:sz w:val="14"/>
                <w:szCs w:val="14"/>
                <w:b w:val="1"/>
                <w:bCs w:val="1"/>
                <w:color w:val="auto"/>
              </w:rPr>
              <w:t>Technique</w:t>
            </w:r>
          </w:p>
        </w:tc>
        <w:tc>
          <w:tcPr>
            <w:tcW w:w="1860" w:type="dxa"/>
            <w:vAlign w:val="bottom"/>
            <w:gridSpan w:val="2"/>
          </w:tcPr>
          <w:p>
            <w:pPr>
              <w:ind w:left="700"/>
              <w:spacing w:after="0"/>
              <w:rPr>
                <w:sz w:val="20"/>
                <w:szCs w:val="20"/>
                <w:color w:val="auto"/>
              </w:rPr>
            </w:pPr>
            <w:r>
              <w:rPr>
                <w:rFonts w:ascii="Arial" w:cs="Arial" w:eastAsia="Arial" w:hAnsi="Arial"/>
                <w:sz w:val="14"/>
                <w:szCs w:val="14"/>
                <w:b w:val="1"/>
                <w:bCs w:val="1"/>
                <w:color w:val="auto"/>
              </w:rPr>
              <w:t>Input</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Average)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2"/>
              </w:rPr>
              <w:t>Increase to Input</w:t>
            </w:r>
          </w:p>
        </w:tc>
        <w:tc>
          <w:tcPr>
            <w:tcW w:w="0" w:type="dxa"/>
            <w:vAlign w:val="bottom"/>
          </w:tcPr>
          <w:p>
            <w:pPr>
              <w:spacing w:after="0"/>
              <w:rPr>
                <w:sz w:val="1"/>
                <w:szCs w:val="1"/>
                <w:color w:val="auto"/>
              </w:rPr>
            </w:pPr>
          </w:p>
        </w:tc>
      </w:tr>
      <w:tr>
        <w:trPr>
          <w:trHeight w:val="223"/>
        </w:trPr>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1,837,880</w:t>
            </w:r>
          </w:p>
        </w:tc>
        <w:tc>
          <w:tcPr>
            <w:tcW w:w="2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Income approach </w:t>
            </w:r>
            <w:r>
              <w:rPr>
                <w:rFonts w:ascii="Arial" w:cs="Arial" w:eastAsia="Arial" w:hAnsi="Arial"/>
                <w:sz w:val="15"/>
                <w:szCs w:val="15"/>
                <w:color w:val="auto"/>
              </w:rPr>
              <w:t>(1)</w:t>
            </w:r>
          </w:p>
        </w:tc>
        <w:tc>
          <w:tcPr>
            <w:tcW w:w="10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Market yield</w:t>
            </w:r>
          </w:p>
        </w:tc>
        <w:tc>
          <w:tcPr>
            <w:tcW w:w="100" w:type="dxa"/>
            <w:vAlign w:val="bottom"/>
            <w:tcBorders>
              <w:top w:val="single" w:sz="8" w:color="CFF0FC"/>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5.0% — 14.5% (10.4%)</w:t>
            </w:r>
          </w:p>
        </w:tc>
        <w:tc>
          <w:tcPr>
            <w:tcW w:w="1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62,962</w:t>
            </w:r>
          </w:p>
        </w:tc>
        <w:tc>
          <w:tcPr>
            <w:tcW w:w="2060" w:type="dxa"/>
            <w:vAlign w:val="bottom"/>
            <w:gridSpan w:val="3"/>
          </w:tcPr>
          <w:p>
            <w:pPr>
              <w:ind w:left="220"/>
              <w:spacing w:after="0"/>
              <w:rPr>
                <w:sz w:val="20"/>
                <w:szCs w:val="20"/>
                <w:color w:val="auto"/>
              </w:rPr>
            </w:pPr>
            <w:r>
              <w:rPr>
                <w:rFonts w:ascii="Arial" w:cs="Arial" w:eastAsia="Arial" w:hAnsi="Arial"/>
                <w:sz w:val="18"/>
                <w:szCs w:val="18"/>
                <w:color w:val="auto"/>
              </w:rPr>
              <w:t>Income approach</w:t>
            </w:r>
          </w:p>
        </w:tc>
        <w:tc>
          <w:tcPr>
            <w:tcW w:w="1860" w:type="dxa"/>
            <w:vAlign w:val="bottom"/>
            <w:gridSpan w:val="2"/>
          </w:tcPr>
          <w:p>
            <w:pPr>
              <w:spacing w:after="0"/>
              <w:rPr>
                <w:sz w:val="20"/>
                <w:szCs w:val="20"/>
                <w:color w:val="auto"/>
              </w:rPr>
            </w:pPr>
            <w:r>
              <w:rPr>
                <w:rFonts w:ascii="Arial" w:cs="Arial" w:eastAsia="Arial" w:hAnsi="Arial"/>
                <w:sz w:val="18"/>
                <w:szCs w:val="18"/>
                <w:color w:val="auto"/>
              </w:rPr>
              <w:t>Market yield</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12.1% — 14.5% (12.2%)</w:t>
            </w:r>
          </w:p>
        </w:tc>
        <w:tc>
          <w:tcPr>
            <w:tcW w:w="1740" w:type="dxa"/>
            <w:vAlign w:val="bottom"/>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06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 xml:space="preserve">Income approach </w:t>
            </w:r>
            <w:r>
              <w:rPr>
                <w:rFonts w:ascii="Arial" w:cs="Arial" w:eastAsia="Arial" w:hAnsi="Arial"/>
                <w:sz w:val="15"/>
                <w:szCs w:val="15"/>
                <w:color w:val="auto"/>
              </w:rPr>
              <w:t>(2)</w:t>
            </w:r>
          </w:p>
        </w:tc>
        <w:tc>
          <w:tcPr>
            <w:tcW w:w="1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Market yield</w:t>
            </w:r>
          </w:p>
        </w:tc>
        <w:tc>
          <w:tcPr>
            <w:tcW w:w="196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2"/>
              </w:rPr>
              <w:t>8.0% — 8.0% (8.0%)</w:t>
            </w:r>
          </w:p>
        </w:tc>
        <w:tc>
          <w:tcPr>
            <w:tcW w:w="1740" w:type="dxa"/>
            <w:vAlign w:val="bottom"/>
            <w:shd w:val="clear" w:color="auto" w:fill="CFF0FC"/>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55,941</w:t>
            </w:r>
          </w:p>
        </w:tc>
        <w:tc>
          <w:tcPr>
            <w:tcW w:w="2060" w:type="dxa"/>
            <w:vAlign w:val="bottom"/>
            <w:gridSpan w:val="3"/>
          </w:tcPr>
          <w:p>
            <w:pPr>
              <w:ind w:left="220"/>
              <w:spacing w:after="0"/>
              <w:rPr>
                <w:sz w:val="20"/>
                <w:szCs w:val="20"/>
                <w:color w:val="auto"/>
              </w:rPr>
            </w:pPr>
            <w:r>
              <w:rPr>
                <w:rFonts w:ascii="Arial" w:cs="Arial" w:eastAsia="Arial" w:hAnsi="Arial"/>
                <w:sz w:val="18"/>
                <w:szCs w:val="18"/>
                <w:color w:val="auto"/>
              </w:rPr>
              <w:t xml:space="preserve">Market Multiple </w:t>
            </w:r>
            <w:r>
              <w:rPr>
                <w:rFonts w:ascii="Arial" w:cs="Arial" w:eastAsia="Arial" w:hAnsi="Arial"/>
                <w:sz w:val="15"/>
                <w:szCs w:val="15"/>
                <w:color w:val="auto"/>
              </w:rPr>
              <w:t>(3)</w:t>
            </w:r>
          </w:p>
        </w:tc>
        <w:tc>
          <w:tcPr>
            <w:tcW w:w="1860" w:type="dxa"/>
            <w:vAlign w:val="bottom"/>
            <w:gridSpan w:val="2"/>
          </w:tcPr>
          <w:p>
            <w:pPr>
              <w:spacing w:after="0"/>
              <w:rPr>
                <w:sz w:val="20"/>
                <w:szCs w:val="20"/>
                <w:color w:val="auto"/>
              </w:rPr>
            </w:pPr>
            <w:r>
              <w:rPr>
                <w:rFonts w:ascii="Arial" w:cs="Arial" w:eastAsia="Arial" w:hAnsi="Arial"/>
                <w:sz w:val="18"/>
                <w:szCs w:val="18"/>
                <w:color w:val="auto"/>
              </w:rPr>
              <w:t>Comparable multiple</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4.5x — 13.2x (9.4x)</w:t>
            </w:r>
          </w:p>
        </w:tc>
        <w:tc>
          <w:tcPr>
            <w:tcW w:w="1740" w:type="dxa"/>
            <w:vAlign w:val="bottom"/>
          </w:tcPr>
          <w:p>
            <w:pPr>
              <w:spacing w:after="0"/>
              <w:rPr>
                <w:sz w:val="20"/>
                <w:szCs w:val="20"/>
                <w:color w:val="auto"/>
              </w:rPr>
            </w:pPr>
            <w:r>
              <w:rPr>
                <w:rFonts w:ascii="Arial" w:cs="Arial" w:eastAsia="Arial" w:hAnsi="Arial"/>
                <w:sz w:val="18"/>
                <w:szCs w:val="18"/>
                <w:color w:val="auto"/>
              </w:rPr>
              <w:t>Increase</w:t>
            </w:r>
          </w:p>
        </w:tc>
        <w:tc>
          <w:tcPr>
            <w:tcW w:w="0" w:type="dxa"/>
            <w:vAlign w:val="bottom"/>
          </w:tcPr>
          <w:p>
            <w:pPr>
              <w:spacing w:after="0"/>
              <w:rPr>
                <w:sz w:val="1"/>
                <w:szCs w:val="1"/>
                <w:color w:val="auto"/>
              </w:rPr>
            </w:pPr>
          </w:p>
        </w:tc>
      </w:tr>
      <w:tr>
        <w:trPr>
          <w:trHeight w:val="223"/>
        </w:trPr>
        <w:tc>
          <w:tcPr>
            <w:tcW w:w="28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1,959,283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76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40" w:type="dxa"/>
            <w:vAlign w:val="bottom"/>
            <w:tcBorders>
              <w:top w:val="single" w:sz="8" w:color="auto"/>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Borders>
              <w:top w:val="single" w:sz="8" w:color="auto"/>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500" w:hanging="512"/>
        <w:spacing w:after="0" w:line="308" w:lineRule="auto"/>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$35.4 million of first-lien debt investments which were valued using an enterprise valuation waterfall and $2.2 million of first-lien debt investments which, due to the proximity of the transactions relative to the measurement date, were valued using the cost of the investments.</w:t>
      </w:r>
    </w:p>
    <w:p>
      <w:pPr>
        <w:ind w:left="520" w:right="340" w:hanging="512"/>
        <w:spacing w:after="0" w:line="258"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$2.5 million of mezzanine debt investments which, due to the proximity of the transactions relative to the measurement date, were valued using the cost of the investments</w:t>
      </w:r>
    </w:p>
    <w:p>
      <w:pPr>
        <w:spacing w:after="0" w:line="1" w:lineRule="exact"/>
        <w:rPr>
          <w:rFonts w:ascii="Arial" w:cs="Arial" w:eastAsia="Arial" w:hAnsi="Arial"/>
          <w:sz w:val="18"/>
          <w:szCs w:val="18"/>
          <w:color w:val="auto"/>
        </w:rPr>
      </w:pPr>
    </w:p>
    <w:p>
      <w:pPr>
        <w:ind w:left="520" w:right="60" w:hanging="512"/>
        <w:spacing w:after="0" w:line="290" w:lineRule="auto"/>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Includes $8.3 million of equity investments which were valued using a weighted valuation approach and $2.2 million of equity investments which due to the proximity of the transactions relative to the measurement date were valued using the cost of the investments.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2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Valuation</w:t>
            </w:r>
          </w:p>
        </w:tc>
        <w:tc>
          <w:tcPr>
            <w:tcW w:w="120" w:type="dxa"/>
            <w:vAlign w:val="bottom"/>
          </w:tcPr>
          <w:p>
            <w:pPr>
              <w:spacing w:after="0"/>
              <w:rPr>
                <w:sz w:val="11"/>
                <w:szCs w:val="11"/>
                <w:color w:val="auto"/>
              </w:rPr>
            </w:pPr>
          </w:p>
        </w:tc>
        <w:tc>
          <w:tcPr>
            <w:tcW w:w="18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Unobservable</w:t>
            </w: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Range (Weighted</w:t>
            </w:r>
          </w:p>
        </w:tc>
        <w:tc>
          <w:tcPr>
            <w:tcW w:w="100" w:type="dxa"/>
            <w:vAlign w:val="bottom"/>
          </w:tcPr>
          <w:p>
            <w:pPr>
              <w:spacing w:after="0"/>
              <w:rPr>
                <w:sz w:val="11"/>
                <w:szCs w:val="11"/>
                <w:color w:val="auto"/>
              </w:rPr>
            </w:pPr>
          </w:p>
        </w:tc>
        <w:tc>
          <w:tcPr>
            <w:tcW w:w="1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Impact to Valuation</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from an</w:t>
            </w: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74"/>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4"/>
                <w:szCs w:val="14"/>
                <w:color w:val="auto"/>
              </w:rPr>
            </w:pPr>
          </w:p>
        </w:tc>
        <w:tc>
          <w:tcPr>
            <w:tcW w:w="1720" w:type="dxa"/>
            <w:vAlign w:val="bottom"/>
          </w:tcPr>
          <w:p>
            <w:pPr>
              <w:ind w:left="540"/>
              <w:spacing w:after="0"/>
              <w:rPr>
                <w:sz w:val="20"/>
                <w:szCs w:val="20"/>
                <w:color w:val="auto"/>
              </w:rPr>
            </w:pPr>
            <w:r>
              <w:rPr>
                <w:rFonts w:ascii="Arial" w:cs="Arial" w:eastAsia="Arial" w:hAnsi="Arial"/>
                <w:sz w:val="14"/>
                <w:szCs w:val="14"/>
                <w:b w:val="1"/>
                <w:bCs w:val="1"/>
                <w:color w:val="auto"/>
              </w:rPr>
              <w:t>Technique</w:t>
            </w:r>
          </w:p>
        </w:tc>
        <w:tc>
          <w:tcPr>
            <w:tcW w:w="120" w:type="dxa"/>
            <w:vAlign w:val="bottom"/>
          </w:tcPr>
          <w:p>
            <w:pPr>
              <w:spacing w:after="0"/>
              <w:rPr>
                <w:sz w:val="14"/>
                <w:szCs w:val="14"/>
                <w:color w:val="auto"/>
              </w:rPr>
            </w:pPr>
          </w:p>
        </w:tc>
        <w:tc>
          <w:tcPr>
            <w:tcW w:w="1840" w:type="dxa"/>
            <w:vAlign w:val="bottom"/>
            <w:gridSpan w:val="2"/>
          </w:tcPr>
          <w:p>
            <w:pPr>
              <w:ind w:left="680"/>
              <w:spacing w:after="0"/>
              <w:rPr>
                <w:sz w:val="20"/>
                <w:szCs w:val="20"/>
                <w:color w:val="auto"/>
              </w:rPr>
            </w:pPr>
            <w:r>
              <w:rPr>
                <w:rFonts w:ascii="Arial" w:cs="Arial" w:eastAsia="Arial" w:hAnsi="Arial"/>
                <w:sz w:val="14"/>
                <w:szCs w:val="14"/>
                <w:b w:val="1"/>
                <w:bCs w:val="1"/>
                <w:color w:val="auto"/>
              </w:rPr>
              <w:t>Input</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3"/>
              </w:rPr>
              <w:t>Average)</w:t>
            </w: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4"/>
              </w:rPr>
              <w:t>Increase to Input</w:t>
            </w:r>
          </w:p>
        </w:tc>
        <w:tc>
          <w:tcPr>
            <w:tcW w:w="0" w:type="dxa"/>
            <w:vAlign w:val="bottom"/>
          </w:tcPr>
          <w:p>
            <w:pPr>
              <w:spacing w:after="0"/>
              <w:rPr>
                <w:sz w:val="1"/>
                <w:szCs w:val="1"/>
                <w:color w:val="auto"/>
              </w:rPr>
            </w:pPr>
          </w:p>
        </w:tc>
      </w:tr>
      <w:tr>
        <w:trPr>
          <w:trHeight w:val="223"/>
        </w:trPr>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1,563,972</w:t>
            </w:r>
          </w:p>
        </w:tc>
        <w:tc>
          <w:tcPr>
            <w:tcW w:w="22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Income approach </w:t>
            </w:r>
            <w:r>
              <w:rPr>
                <w:rFonts w:ascii="Arial" w:cs="Arial" w:eastAsia="Arial" w:hAnsi="Arial"/>
                <w:sz w:val="15"/>
                <w:szCs w:val="15"/>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Market yield</w:t>
            </w:r>
          </w:p>
        </w:tc>
        <w:tc>
          <w:tcPr>
            <w:tcW w:w="120" w:type="dxa"/>
            <w:vAlign w:val="bottom"/>
            <w:tcBorders>
              <w:top w:val="single" w:sz="8" w:color="CFF0FC"/>
            </w:tcBorders>
            <w:shd w:val="clear" w:color="auto" w:fill="CFF0FC"/>
          </w:tcPr>
          <w:p>
            <w:pPr>
              <w:spacing w:after="0"/>
              <w:rPr>
                <w:sz w:val="19"/>
                <w:szCs w:val="19"/>
                <w:color w:val="auto"/>
              </w:rPr>
            </w:pPr>
          </w:p>
        </w:tc>
        <w:tc>
          <w:tcPr>
            <w:tcW w:w="18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7.3% — 14.6% (10.2%)</w:t>
            </w:r>
          </w:p>
        </w:tc>
        <w:tc>
          <w:tcPr>
            <w:tcW w:w="10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60,900</w:t>
            </w:r>
          </w:p>
        </w:tc>
        <w:tc>
          <w:tcPr>
            <w:tcW w:w="1940" w:type="dxa"/>
            <w:vAlign w:val="bottom"/>
            <w:gridSpan w:val="2"/>
          </w:tcPr>
          <w:p>
            <w:pPr>
              <w:ind w:left="220"/>
              <w:spacing w:after="0"/>
              <w:rPr>
                <w:sz w:val="20"/>
                <w:szCs w:val="20"/>
                <w:color w:val="auto"/>
              </w:rPr>
            </w:pPr>
            <w:r>
              <w:rPr>
                <w:rFonts w:ascii="Arial" w:cs="Arial" w:eastAsia="Arial" w:hAnsi="Arial"/>
                <w:sz w:val="18"/>
                <w:szCs w:val="18"/>
                <w:color w:val="auto"/>
              </w:rPr>
              <w:t>Income approach</w:t>
            </w:r>
          </w:p>
        </w:tc>
        <w:tc>
          <w:tcPr>
            <w:tcW w:w="1960" w:type="dxa"/>
            <w:vAlign w:val="bottom"/>
            <w:gridSpan w:val="3"/>
          </w:tcPr>
          <w:p>
            <w:pPr>
              <w:ind w:left="120"/>
              <w:spacing w:after="0"/>
              <w:rPr>
                <w:sz w:val="20"/>
                <w:szCs w:val="20"/>
                <w:color w:val="auto"/>
              </w:rPr>
            </w:pPr>
            <w:r>
              <w:rPr>
                <w:rFonts w:ascii="Arial" w:cs="Arial" w:eastAsia="Arial" w:hAnsi="Arial"/>
                <w:sz w:val="18"/>
                <w:szCs w:val="18"/>
                <w:color w:val="auto"/>
              </w:rPr>
              <w:t>Market yield</w:t>
            </w:r>
          </w:p>
        </w:tc>
        <w:tc>
          <w:tcPr>
            <w:tcW w:w="1860" w:type="dxa"/>
            <w:vAlign w:val="bottom"/>
          </w:tcPr>
          <w:p>
            <w:pPr>
              <w:jc w:val="center"/>
              <w:spacing w:after="0"/>
              <w:rPr>
                <w:sz w:val="20"/>
                <w:szCs w:val="20"/>
                <w:color w:val="auto"/>
              </w:rPr>
            </w:pPr>
            <w:r>
              <w:rPr>
                <w:rFonts w:ascii="Arial" w:cs="Arial" w:eastAsia="Arial" w:hAnsi="Arial"/>
                <w:sz w:val="18"/>
                <w:szCs w:val="18"/>
                <w:color w:val="auto"/>
                <w:w w:val="92"/>
              </w:rPr>
              <w:t>12.9% — 14.0% (13.0%)</w:t>
            </w:r>
          </w:p>
        </w:tc>
        <w:tc>
          <w:tcPr>
            <w:tcW w:w="1860" w:type="dxa"/>
            <w:vAlign w:val="bottom"/>
            <w:gridSpan w:val="2"/>
          </w:tcPr>
          <w:p>
            <w:pPr>
              <w:ind w:left="10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Equity and other investments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38,322</w:t>
            </w:r>
          </w:p>
        </w:tc>
        <w:tc>
          <w:tcPr>
            <w:tcW w:w="19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 xml:space="preserve">Market Multiple </w:t>
            </w:r>
            <w:r>
              <w:rPr>
                <w:rFonts w:ascii="Arial" w:cs="Arial" w:eastAsia="Arial" w:hAnsi="Arial"/>
                <w:sz w:val="15"/>
                <w:szCs w:val="15"/>
                <w:color w:val="auto"/>
              </w:rPr>
              <w:t>(2)</w:t>
            </w:r>
          </w:p>
        </w:tc>
        <w:tc>
          <w:tcPr>
            <w:tcW w:w="196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Comparable multiple</w:t>
            </w:r>
          </w:p>
        </w:tc>
        <w:tc>
          <w:tcPr>
            <w:tcW w:w="1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4.6x — 13.2x (11.2x)</w:t>
            </w:r>
          </w:p>
        </w:tc>
        <w:tc>
          <w:tcPr>
            <w:tcW w:w="18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Increase</w:t>
            </w:r>
          </w:p>
        </w:tc>
        <w:tc>
          <w:tcPr>
            <w:tcW w:w="0" w:type="dxa"/>
            <w:vAlign w:val="bottom"/>
          </w:tcPr>
          <w:p>
            <w:pPr>
              <w:spacing w:after="0"/>
              <w:rPr>
                <w:sz w:val="1"/>
                <w:szCs w:val="1"/>
                <w:color w:val="auto"/>
              </w:rPr>
            </w:pPr>
          </w:p>
        </w:tc>
      </w:tr>
      <w:tr>
        <w:trPr>
          <w:trHeight w:val="223"/>
        </w:trPr>
        <w:tc>
          <w:tcPr>
            <w:tcW w:w="2860" w:type="dxa"/>
            <w:vAlign w:val="bottom"/>
          </w:tcPr>
          <w:p>
            <w:pPr>
              <w:ind w:left="26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1,663,194</w:t>
            </w:r>
          </w:p>
        </w:tc>
        <w:tc>
          <w:tcPr>
            <w:tcW w:w="220" w:type="dxa"/>
            <w:vAlign w:val="bottom"/>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$34.6 million of first-lien debt investments which were valued using an asset valuation waterfall.</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$18.6 million of equity investments which were valued using a weighted valuation approach.</w:t>
      </w:r>
    </w:p>
    <w:p>
      <w:pPr>
        <w:spacing w:after="0" w:line="211"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8" w:lineRule="exact"/>
        <w:rPr>
          <w:sz w:val="20"/>
          <w:szCs w:val="20"/>
          <w:color w:val="auto"/>
        </w:rPr>
      </w:pPr>
    </w:p>
    <w:p>
      <w:pPr>
        <w:ind w:right="120" w:firstLine="259"/>
        <w:spacing w:after="0" w:line="273" w:lineRule="auto"/>
        <w:rPr>
          <w:sz w:val="20"/>
          <w:szCs w:val="20"/>
          <w:color w:val="auto"/>
        </w:rPr>
      </w:pPr>
      <w:r>
        <w:rPr>
          <w:rFonts w:ascii="Arial" w:cs="Arial" w:eastAsia="Arial" w:hAnsi="Arial"/>
          <w:sz w:val="17"/>
          <w:szCs w:val="17"/>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ind w:right="100" w:firstLine="259"/>
        <w:spacing w:after="0" w:line="259" w:lineRule="auto"/>
        <w:rPr>
          <w:sz w:val="20"/>
          <w:szCs w:val="20"/>
          <w:color w:val="auto"/>
        </w:rPr>
      </w:pPr>
      <w:r>
        <w:rPr>
          <w:rFonts w:ascii="Arial" w:cs="Arial" w:eastAsia="Arial" w:hAnsi="Arial"/>
          <w:sz w:val="18"/>
          <w:szCs w:val="18"/>
          <w:color w:val="auto"/>
        </w:rPr>
        <w:t>The fair value of the Company’s Revolving Credit Facility, which is categorized as Level 3 within the fair value hierarchy, as of September 30, 2018, approximates its carrying value as the outstanding balance is callable at carrying value. The fair value of the Company’s Convertible Notes (consisting of the 2019 Convertible Notes and the 2022 Convertible Notes) and 2023 Notes, which are categorized as Level 2 within the fair value hierarchy, as of September 30, 2018, was $436.4 million, based on broker quotes received by the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117"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The carrying amounts of the Company’s assets and liabilities, other than investments at fair value and Convertible Notes and 2023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In accordance with the 1940 Act, with certain limitations, as of September 30, 2018 the Company is allowed to borrow amounts such that its asset coverage, as defined in the 1940 Act, is at least 200% after such borrowing. As of September 30, 2018 and December 31, 2017, the Company’s asset coverage was 220.2% and 235.5%,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33" w:name="page34"/>
    <w:bookmarkEnd w:id="33"/>
    <w:p>
      <w:pPr>
        <w:ind w:left="260"/>
        <w:spacing w:after="0"/>
        <w:rPr>
          <w:sz w:val="20"/>
          <w:szCs w:val="20"/>
          <w:color w:val="auto"/>
        </w:rPr>
      </w:pPr>
      <w:r>
        <w:rPr>
          <w:rFonts w:ascii="Arial" w:cs="Arial" w:eastAsia="Arial" w:hAnsi="Arial"/>
          <w:sz w:val="18"/>
          <w:szCs w:val="18"/>
          <w:color w:val="auto"/>
        </w:rPr>
        <w:t>Debt obligations consisted of the following as of September 30, 2018 and December 31, 2017:</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September 30, 2018</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92"/>
              </w:rPr>
              <w:t>Aggregate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4"/>
              </w:rPr>
              <w:t>Principal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8"/>
              <w:spacing w:after="0"/>
              <w:rPr>
                <w:sz w:val="20"/>
                <w:szCs w:val="20"/>
                <w:color w:val="auto"/>
              </w:rPr>
            </w:pPr>
            <w:r>
              <w:rPr>
                <w:rFonts w:ascii="Arial" w:cs="Arial" w:eastAsia="Arial" w:hAnsi="Arial"/>
                <w:sz w:val="14"/>
                <w:szCs w:val="14"/>
                <w:b w:val="1"/>
                <w:bCs w:val="1"/>
                <w:color w:val="auto"/>
                <w:w w:val="95"/>
              </w:rPr>
              <w:t>Committed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77"/>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75"/>
              <w:spacing w:after="0"/>
              <w:rPr>
                <w:sz w:val="20"/>
                <w:szCs w:val="20"/>
                <w:color w:val="auto"/>
              </w:rPr>
            </w:pPr>
            <w:r>
              <w:rPr>
                <w:rFonts w:ascii="Arial" w:cs="Arial" w:eastAsia="Arial" w:hAnsi="Arial"/>
                <w:sz w:val="14"/>
                <w:szCs w:val="14"/>
                <w:b w:val="1"/>
                <w:bCs w:val="1"/>
                <w:color w:val="auto"/>
                <w:w w:val="94"/>
              </w:rPr>
              <w:t xml:space="preserve">Available </w:t>
            </w:r>
            <w:r>
              <w:rPr>
                <w:rFonts w:ascii="Arial" w:cs="Arial" w:eastAsia="Arial" w:hAnsi="Arial"/>
                <w:sz w:val="12"/>
                <w:szCs w:val="12"/>
                <w:b w:val="1"/>
                <w:bCs w:val="1"/>
                <w:color w:val="auto"/>
                <w:w w:val="94"/>
              </w:rPr>
              <w:t>(1)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(2)</w:t>
            </w: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457,323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482,677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448,898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2019</w:t>
            </w:r>
          </w:p>
        </w:tc>
        <w:tc>
          <w:tcPr>
            <w:tcW w:w="494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113,246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2022</w:t>
            </w:r>
          </w:p>
        </w:tc>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Notes</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167,959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89"/>
              </w:rPr>
              <w:t>2023</w:t>
            </w:r>
          </w:p>
        </w:tc>
        <w:tc>
          <w:tcPr>
            <w:tcW w:w="49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Notes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147,298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1,377,500</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894,823</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482,677</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877,401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160" w:hanging="512"/>
        <w:spacing w:after="0" w:line="261"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carrying values of the Company’s Revolving Credit Facility, Convertible Notes, and 2023 Notes are presented net of deferred financing costs of $8.4 million, $4.6 million and $2.7 million, respectively.</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December 31, 2017</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92"/>
              </w:rPr>
              <w:t>Aggregate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4"/>
              </w:rPr>
              <w:t>Principal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9"/>
              <w:spacing w:after="0"/>
              <w:rPr>
                <w:sz w:val="20"/>
                <w:szCs w:val="20"/>
                <w:color w:val="auto"/>
              </w:rPr>
            </w:pPr>
            <w:r>
              <w:rPr>
                <w:rFonts w:ascii="Arial" w:cs="Arial" w:eastAsia="Arial" w:hAnsi="Arial"/>
                <w:sz w:val="14"/>
                <w:szCs w:val="14"/>
                <w:b w:val="1"/>
                <w:bCs w:val="1"/>
                <w:color w:val="auto"/>
                <w:w w:val="95"/>
              </w:rPr>
              <w:t>Committed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78"/>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 xml:space="preserve">Available </w:t>
            </w:r>
            <w:r>
              <w:rPr>
                <w:rFonts w:ascii="Arial" w:cs="Arial" w:eastAsia="Arial" w:hAnsi="Arial"/>
                <w:sz w:val="12"/>
                <w:szCs w:val="12"/>
                <w:b w:val="1"/>
                <w:bCs w:val="1"/>
                <w:color w:val="auto"/>
                <w:w w:val="94"/>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(2)</w:t>
            </w: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486,808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488,192</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479,724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2019 Convertible Notes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112,182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2022 Convertible Notes</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240"/>
              <w:spacing w:after="0"/>
              <w:rPr>
                <w:sz w:val="20"/>
                <w:szCs w:val="20"/>
                <w:color w:val="auto"/>
              </w:rPr>
            </w:pPr>
            <w:r>
              <w:rPr>
                <w:rFonts w:ascii="Arial" w:cs="Arial" w:eastAsia="Arial" w:hAnsi="Arial"/>
                <w:sz w:val="18"/>
                <w:szCs w:val="18"/>
                <w:b w:val="1"/>
                <w:bCs w:val="1"/>
                <w:color w:val="auto"/>
              </w:rPr>
              <w:t>Total Debt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1,205,000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716,808</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488,192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703,428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180" w:hanging="512"/>
        <w:spacing w:after="0" w:line="261"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carrying values of the Company’s Revolving Credit Facility and Convertible Notes are presented net of deferred financing costs of $7.1 million and $4.7 million, respectively.</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three and nine months ended September 30, 2018 and 2017, the components of interest expense were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Nine Months Ended</w:t>
            </w:r>
          </w:p>
        </w:tc>
      </w:tr>
      <w:tr>
        <w:trPr>
          <w:trHeight w:val="149"/>
        </w:trPr>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September 30,</w:t>
            </w: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2"/>
                <w:szCs w:val="12"/>
                <w:color w:val="auto"/>
              </w:rPr>
            </w:pPr>
          </w:p>
        </w:tc>
        <w:tc>
          <w:tcPr>
            <w:tcW w:w="116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September 30,</w:t>
            </w:r>
          </w:p>
        </w:tc>
        <w:tc>
          <w:tcPr>
            <w:tcW w:w="60" w:type="dxa"/>
            <w:vAlign w:val="bottom"/>
          </w:tcPr>
          <w:p>
            <w:pPr>
              <w:spacing w:after="0"/>
              <w:rPr>
                <w:sz w:val="12"/>
                <w:szCs w:val="12"/>
                <w:color w:val="auto"/>
              </w:rPr>
            </w:pPr>
          </w:p>
        </w:tc>
        <w:tc>
          <w:tcPr>
            <w:tcW w:w="112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1"/>
              </w:rPr>
              <w:t>September 30,</w:t>
            </w:r>
          </w:p>
        </w:tc>
      </w:tr>
      <w:tr>
        <w:trPr>
          <w:trHeight w:val="171"/>
        </w:trPr>
        <w:tc>
          <w:tcPr>
            <w:tcW w:w="312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r>
      <w:tr>
        <w:trPr>
          <w:trHeight w:val="223"/>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5,576</w:t>
            </w:r>
          </w:p>
        </w:tc>
        <w:tc>
          <w:tcPr>
            <w:tcW w:w="16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27,435</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16,599</w:t>
            </w:r>
          </w:p>
        </w:tc>
        <w:tc>
          <w:tcPr>
            <w:tcW w:w="180" w:type="dxa"/>
            <w:vAlign w:val="bottom"/>
            <w:shd w:val="clear" w:color="auto" w:fill="CFF0FC"/>
          </w:tcPr>
          <w:p>
            <w:pPr>
              <w:spacing w:after="0"/>
              <w:rPr>
                <w:sz w:val="19"/>
                <w:szCs w:val="19"/>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Commitment fees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1,199</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1,543</w:t>
            </w:r>
          </w:p>
        </w:tc>
        <w:tc>
          <w:tcPr>
            <w:tcW w:w="180" w:type="dxa"/>
            <w:vAlign w:val="bottom"/>
          </w:tcPr>
          <w:p>
            <w:pPr>
              <w:spacing w:after="0"/>
              <w:rPr>
                <w:sz w:val="19"/>
                <w:szCs w:val="19"/>
                <w:color w:val="auto"/>
              </w:rPr>
            </w:pPr>
          </w:p>
        </w:tc>
      </w:tr>
      <w:tr>
        <w:trPr>
          <w:trHeight w:val="230"/>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w w:val="98"/>
              </w:rPr>
              <w:t>Amortization of deferred financing costs</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16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2,945</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2,354</w:t>
            </w:r>
          </w:p>
        </w:tc>
        <w:tc>
          <w:tcPr>
            <w:tcW w:w="180" w:type="dxa"/>
            <w:vAlign w:val="bottom"/>
            <w:shd w:val="clear" w:color="auto" w:fill="CFF0FC"/>
          </w:tcPr>
          <w:p>
            <w:pPr>
              <w:spacing w:after="0"/>
              <w:rPr>
                <w:sz w:val="19"/>
                <w:szCs w:val="19"/>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502</w:t>
            </w:r>
          </w:p>
        </w:tc>
        <w:tc>
          <w:tcPr>
            <w:tcW w:w="180" w:type="dxa"/>
            <w:vAlign w:val="bottom"/>
          </w:tcPr>
          <w:p>
            <w:pPr>
              <w:spacing w:after="0"/>
              <w:rPr>
                <w:sz w:val="19"/>
                <w:szCs w:val="19"/>
                <w:color w:val="auto"/>
              </w:rPr>
            </w:pPr>
          </w:p>
        </w:tc>
      </w:tr>
      <w:tr>
        <w:trPr>
          <w:trHeight w:val="230"/>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Swap settlement </w:t>
            </w:r>
            <w:r>
              <w:rPr>
                <w:rFonts w:ascii="Arial" w:cs="Arial" w:eastAsia="Arial" w:hAnsi="Arial"/>
                <w:sz w:val="15"/>
                <w:szCs w:val="15"/>
                <w:color w:val="auto"/>
              </w:rPr>
              <w:t>(1)</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(1,634)</w:t>
            </w:r>
          </w:p>
        </w:tc>
        <w:tc>
          <w:tcPr>
            <w:tcW w:w="80" w:type="dxa"/>
            <w:vAlign w:val="bottom"/>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(981)</w:t>
            </w:r>
          </w:p>
        </w:tc>
      </w:tr>
      <w:tr>
        <w:trPr>
          <w:trHeight w:val="263"/>
        </w:trPr>
        <w:tc>
          <w:tcPr>
            <w:tcW w:w="3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2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12,006</w:t>
            </w:r>
          </w:p>
        </w:tc>
        <w:tc>
          <w:tcPr>
            <w:tcW w:w="24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5,498</w:t>
            </w:r>
          </w:p>
        </w:tc>
        <w:tc>
          <w:tcPr>
            <w:tcW w:w="160" w:type="dxa"/>
            <w:vAlign w:val="bottom"/>
            <w:tcBorders>
              <w:bottom w:val="single" w:sz="8" w:color="CFF0FC"/>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32,237</w:t>
            </w:r>
          </w:p>
        </w:tc>
        <w:tc>
          <w:tcPr>
            <w:tcW w:w="20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20,017</w:t>
            </w:r>
          </w:p>
        </w:tc>
        <w:tc>
          <w:tcPr>
            <w:tcW w:w="180" w:type="dxa"/>
            <w:vAlign w:val="bottom"/>
            <w:tcBorders>
              <w:bottom w:val="single" w:sz="8" w:color="CFF0FC"/>
            </w:tcBorders>
          </w:tcPr>
          <w:p>
            <w:pPr>
              <w:spacing w:after="0"/>
              <w:rPr>
                <w:sz w:val="22"/>
                <w:szCs w:val="22"/>
                <w:color w:val="auto"/>
              </w:rPr>
            </w:pPr>
          </w:p>
        </w:tc>
      </w:tr>
      <w:tr>
        <w:trPr>
          <w:trHeight w:val="210"/>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Average debt outstanding (in millions)</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968.2</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594.7</w:t>
            </w:r>
          </w:p>
        </w:tc>
        <w:tc>
          <w:tcPr>
            <w:tcW w:w="16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911.8</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628.8</w:t>
            </w:r>
          </w:p>
        </w:tc>
        <w:tc>
          <w:tcPr>
            <w:tcW w:w="180" w:type="dxa"/>
            <w:vAlign w:val="bottom"/>
            <w:shd w:val="clear" w:color="auto" w:fill="CFF0FC"/>
          </w:tcPr>
          <w:p>
            <w:pPr>
              <w:spacing w:after="0"/>
              <w:rPr>
                <w:sz w:val="18"/>
                <w:szCs w:val="18"/>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c>
          <w:tcPr>
            <w:tcW w:w="2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4.02%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3.31%</w:t>
            </w:r>
          </w:p>
        </w:tc>
      </w:tr>
      <w:tr>
        <w:trPr>
          <w:trHeight w:val="230"/>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Average 1-month LIBOR rate</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2.11%</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1.91%</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1.04%</w:t>
            </w:r>
          </w:p>
        </w:tc>
      </w:tr>
    </w:tbl>
    <w:p>
      <w:pPr>
        <w:spacing w:after="0" w:line="242"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the settlement of the interest rate swaps related to the Company’s Convertible Notes, and 2023 Notes.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On August 23, 2012, the Company entered into a senior secured revolving credit agreement with SunTrust Bank, as administrative agent, and J.P. Morgan Chase Bank, N.A., as syndication agent, and certain other lenders (as amended and restated, the “Revolving Credit Facility”).</w:t>
      </w:r>
    </w:p>
    <w:p>
      <w:pPr>
        <w:spacing w:after="0" w:line="170" w:lineRule="exact"/>
        <w:rPr>
          <w:sz w:val="20"/>
          <w:szCs w:val="20"/>
          <w:color w:val="auto"/>
        </w:rPr>
      </w:pPr>
    </w:p>
    <w:p>
      <w:pPr>
        <w:ind w:right="360" w:firstLine="259"/>
        <w:spacing w:after="0" w:line="277" w:lineRule="auto"/>
        <w:rPr>
          <w:sz w:val="20"/>
          <w:szCs w:val="20"/>
          <w:color w:val="auto"/>
        </w:rPr>
      </w:pPr>
      <w:r>
        <w:rPr>
          <w:rFonts w:ascii="Arial" w:cs="Arial" w:eastAsia="Arial" w:hAnsi="Arial"/>
          <w:sz w:val="18"/>
          <w:szCs w:val="18"/>
          <w:color w:val="auto"/>
        </w:rPr>
        <w:t>As of September 30, 2018, aggregate commitments under the facility were $940 million. The facility includes an uncommitted accordion feature that allows the Company, under certain circumstances, to increase the size of the facility to up to $1.25 billion.</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34" w:name="page35"/>
    <w:bookmarkEnd w:id="34"/>
    <w:p>
      <w:pPr>
        <w:ind w:right="220" w:firstLine="259"/>
        <w:spacing w:after="0" w:line="277" w:lineRule="auto"/>
        <w:rPr>
          <w:sz w:val="20"/>
          <w:szCs w:val="20"/>
          <w:color w:val="auto"/>
        </w:rPr>
      </w:pPr>
      <w:r>
        <w:rPr>
          <w:rFonts w:ascii="Arial" w:cs="Arial" w:eastAsia="Arial" w:hAnsi="Arial"/>
          <w:sz w:val="18"/>
          <w:szCs w:val="18"/>
          <w:color w:val="auto"/>
        </w:rPr>
        <w:t>The revolving period, during which period the Company, subject to certain conditions, may make borrowings under the facility, ends February 18, 2022 and the stated maturity date is February 17, 2023.</w:t>
      </w:r>
    </w:p>
    <w:p>
      <w:pPr>
        <w:spacing w:after="0" w:line="170"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color w:val="auto"/>
        </w:rPr>
        <w:t>The Company may borrow amounts in U.S. dollars or certain other permitted currencies. As of September 30, 2018, the Company had outstanding debt denominated in Australian Dollars (AUD) of 48.6 million, Euro (EUR) of 20.9 million, and Canadian Dollars (CAD) of 64.8 million on its Revolving Credit Facility, included in the Outstanding Principal amount in the table above.</w:t>
      </w:r>
    </w:p>
    <w:p>
      <w:pPr>
        <w:spacing w:after="0" w:line="181"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The Revolving Credit Facility also provides for the issuance of letters of credit up to an aggregate amount of $75 million. As of September 30, 2018 and December 31, 2017, the Company had no outstanding letters of credit issued through the Revolving Credit Facility. The amount available for borrowing under the Revolving Credit Facility is reduced by any letters of credit issued through the Revolving Credit Facility.</w:t>
      </w:r>
    </w:p>
    <w:p>
      <w:pPr>
        <w:spacing w:after="0" w:line="181" w:lineRule="exact"/>
        <w:rPr>
          <w:sz w:val="20"/>
          <w:szCs w:val="20"/>
          <w:color w:val="auto"/>
        </w:rPr>
      </w:pPr>
    </w:p>
    <w:p>
      <w:pPr>
        <w:ind w:right="20" w:firstLine="259"/>
        <w:spacing w:after="0" w:line="273" w:lineRule="auto"/>
        <w:rPr>
          <w:sz w:val="20"/>
          <w:szCs w:val="20"/>
          <w:color w:val="auto"/>
        </w:rPr>
      </w:pPr>
      <w:r>
        <w:rPr>
          <w:rFonts w:ascii="Arial" w:cs="Arial" w:eastAsia="Arial" w:hAnsi="Arial"/>
          <w:sz w:val="17"/>
          <w:szCs w:val="17"/>
          <w:color w:val="auto"/>
        </w:rPr>
        <w:t>Amounts drawn under the Revolving Credit Facility, including amounts drawn in respect of letters of credit, bear interest at either LIBOR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The Company may elect either the LIBOR or base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78" w:lineRule="exact"/>
        <w:rPr>
          <w:sz w:val="20"/>
          <w:szCs w:val="20"/>
          <w:color w:val="auto"/>
        </w:rPr>
      </w:pPr>
    </w:p>
    <w:p>
      <w:pPr>
        <w:ind w:right="220" w:firstLine="259"/>
        <w:spacing w:after="0" w:line="259" w:lineRule="auto"/>
        <w:rPr>
          <w:sz w:val="20"/>
          <w:szCs w:val="20"/>
          <w:color w:val="auto"/>
        </w:rPr>
      </w:pPr>
      <w:r>
        <w:rPr>
          <w:rFonts w:ascii="Arial" w:cs="Arial" w:eastAsia="Arial" w:hAnsi="Arial"/>
          <w:sz w:val="18"/>
          <w:szCs w:val="18"/>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87"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62" w:lineRule="exact"/>
        <w:rPr>
          <w:sz w:val="20"/>
          <w:szCs w:val="20"/>
          <w:color w:val="auto"/>
        </w:rPr>
      </w:pPr>
    </w:p>
    <w:p>
      <w:pPr>
        <w:ind w:left="520" w:hanging="255"/>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17" w:lineRule="exact"/>
        <w:rPr>
          <w:rFonts w:ascii="Arial" w:cs="Arial" w:eastAsia="Arial" w:hAnsi="Arial"/>
          <w:sz w:val="18"/>
          <w:szCs w:val="18"/>
          <w:color w:val="auto"/>
        </w:rPr>
      </w:pPr>
    </w:p>
    <w:p>
      <w:pPr>
        <w:ind w:left="520" w:right="40" w:hanging="255"/>
        <w:spacing w:after="0" w:line="264"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liquidity test under which the Company must not maintain cash and liquid investments of less than 10% of the covered debt amount for more than 30 consecutive business days under circumstances where the Company’s adjusted covered debt balance is greater than 90% of the Company’s adjusted borrowing base under the facility; and</w:t>
      </w:r>
    </w:p>
    <w:p>
      <w:pPr>
        <w:spacing w:after="0" w:line="73" w:lineRule="exact"/>
        <w:rPr>
          <w:rFonts w:ascii="Arial" w:cs="Arial" w:eastAsia="Arial" w:hAnsi="Arial"/>
          <w:sz w:val="18"/>
          <w:szCs w:val="18"/>
          <w:color w:val="auto"/>
        </w:rPr>
      </w:pPr>
    </w:p>
    <w:p>
      <w:pPr>
        <w:ind w:left="520" w:hanging="255"/>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February 20, 2018.</w:t>
      </w:r>
    </w:p>
    <w:p>
      <w:pPr>
        <w:spacing w:after="0" w:line="225"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color w:val="auto"/>
        </w:rPr>
        <w:t>Net proceeds received from the Company’s common stock issuance in March 2018 and net proceeds received from the issuance of the additional 2022 Convertible Notes and 2023 Notes were used to pay down borrowings on the Revolving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Convertible Notes</w:t>
      </w:r>
    </w:p>
    <w:p>
      <w:pPr>
        <w:spacing w:after="0" w:line="117" w:lineRule="exact"/>
        <w:rPr>
          <w:sz w:val="20"/>
          <w:szCs w:val="20"/>
          <w:color w:val="auto"/>
        </w:rPr>
      </w:pPr>
    </w:p>
    <w:p>
      <w:pPr>
        <w:ind w:firstLine="259"/>
        <w:spacing w:after="0" w:line="287" w:lineRule="auto"/>
        <w:rPr>
          <w:sz w:val="20"/>
          <w:szCs w:val="20"/>
          <w:color w:val="auto"/>
        </w:rPr>
      </w:pPr>
      <w:r>
        <w:rPr>
          <w:rFonts w:ascii="Arial" w:cs="Arial" w:eastAsia="Arial" w:hAnsi="Arial"/>
          <w:sz w:val="16"/>
          <w:szCs w:val="16"/>
          <w:color w:val="auto"/>
        </w:rPr>
        <w:t>In June 2014, the Company issued in a private offering $115 million aggregate principal amount convertible notes due December 2019 (the “2019 Convertible Notes”). The 2019 Convertible Notes were issued in a private placement only to qualified institutional buyers pursuant to Rule 144A under the Securities Act. The 2019 Convertible Notes are unsecured, and bear interest at a rate of 4.50% per year, payable semiannually. The 2019 Convertible Notes will mature on December 15, 2019. In certain circumstances, the 2019 Convertible Notes will be convertible into cash, shares of the Company’s common stock or a combination of cash and shares of the Company’s common stock, at the Company’s election, at an initial conversion rate of 38.7162 shares of common stock per $1,000 principal amount of 2019 Convertible Notes, which is equivalent to an initial conversion price of approximately $25.83 per share of the Company’s common stock, subject to customary anti-dilution adjustments. As of September 30, 2018, the estimated adjusted conversion price was approximately $25.14 per share of the Company’s common stock. The sale of the 2019 Convertible Notes generated net proceeds of approximately $110.8 million. The Company used the net proceeds of the offering to pay down debt under the Revolving Credit Facility. In connection with the offering of 2019 Convertible Notes, the Company has entered into interest rate swaps to continue to align the interest rates of its liabilities with its investment portfolio, which consists of predominately floating rate loans. As a result of the swaps, the Company’s effective interest rate on the 2019 Convertible Notes is three-month LIBOR plus 2.86%. See Note 5 for further information related to the Company’s interest rate swaps.</w:t>
      </w:r>
    </w:p>
    <w:p>
      <w:pPr>
        <w:spacing w:after="0" w:line="169" w:lineRule="exact"/>
        <w:rPr>
          <w:sz w:val="20"/>
          <w:szCs w:val="20"/>
          <w:color w:val="auto"/>
        </w:rPr>
      </w:pPr>
    </w:p>
    <w:p>
      <w:pPr>
        <w:ind w:right="80" w:firstLine="259"/>
        <w:spacing w:after="0" w:line="257" w:lineRule="auto"/>
        <w:rPr>
          <w:sz w:val="20"/>
          <w:szCs w:val="20"/>
          <w:color w:val="auto"/>
        </w:rPr>
      </w:pPr>
      <w:r>
        <w:rPr>
          <w:rFonts w:ascii="Arial" w:cs="Arial" w:eastAsia="Arial" w:hAnsi="Arial"/>
          <w:sz w:val="18"/>
          <w:szCs w:val="18"/>
          <w:color w:val="auto"/>
        </w:rPr>
        <w:t>Holders may convert their 2019 Convertible Notes at their option at any time prior to June 15, 2019 only under the following circumstances: (1) 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5" w:name="page36"/>
    <w:bookmarkEnd w:id="35"/>
    <w:p>
      <w:pPr>
        <w:ind w:right="40"/>
        <w:spacing w:after="0" w:line="276" w:lineRule="auto"/>
        <w:rPr>
          <w:sz w:val="20"/>
          <w:szCs w:val="20"/>
          <w:color w:val="auto"/>
        </w:rPr>
      </w:pPr>
      <w:r>
        <w:rPr>
          <w:rFonts w:ascii="Arial" w:cs="Arial" w:eastAsia="Arial" w:hAnsi="Arial"/>
          <w:sz w:val="17"/>
          <w:szCs w:val="17"/>
          <w:color w:val="auto"/>
        </w:rPr>
        <w:t>consecutive trading day period (the “measurement period”) in which the trading price (as defined in the indenture governing the 2019 Convertible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Convertible Notes</w:t>
      </w:r>
    </w:p>
    <w:p>
      <w:pPr>
        <w:spacing w:after="0" w:line="117" w:lineRule="exact"/>
        <w:rPr>
          <w:sz w:val="20"/>
          <w:szCs w:val="20"/>
          <w:color w:val="auto"/>
        </w:rPr>
      </w:pPr>
    </w:p>
    <w:p>
      <w:pPr>
        <w:ind w:right="20" w:firstLine="259"/>
        <w:spacing w:after="0" w:line="268" w:lineRule="auto"/>
        <w:rPr>
          <w:sz w:val="20"/>
          <w:szCs w:val="20"/>
          <w:color w:val="auto"/>
        </w:rPr>
      </w:pPr>
      <w:r>
        <w:rPr>
          <w:rFonts w:ascii="Arial" w:cs="Arial" w:eastAsia="Arial" w:hAnsi="Arial"/>
          <w:sz w:val="17"/>
          <w:szCs w:val="17"/>
          <w:color w:val="auto"/>
        </w:rPr>
        <w:t>In February 2017, the Company issued in a private offering $115 million aggregate principal amount convertible notes due August 2022 (the “2022 Convertible Notes” and, together with the 2019 Convertible Notes, the “Convertible Notes”). The 2022 Convertible Notes were issued in a private placement only to qualified institutional buyers pursuant to Rule 144A under the Securities Act. The 2022 Convertible Notes are unsecured, and bear interest at a rate of 4.50% per year, payable semiannually. The 2022 Convertible Notes will mature on August 1, 2022. In certain circumstances, the 2022 Convertible Notes will be convertible into cash, shares of the Company’s common stock or a combination of cash and shares of the Company’s common stock, at the Company’s election, at an initial conversion rate of 46.8516 shares of common stock per $1,000 principal amount of 2022 Convertible Notes, which is equivalent to an initial conversion price of approximately $21.34 per share of the Company’s common stock, subject to customary anti-dilution adjustments. As of September 30, 2018, the estimated adjusted conversion price was approximately $20.96 per share of the Company’s common stock. The sale of the 2022 Convertible Notes generated net proceeds of approximately $111.2 million. The Company used the net proceeds of the offering to pay down debt under the Revolving Credit Facility. In connection with the offering of 2022 Convertible Notes, the Company has entered into an interest rate swap to continue to align the interest rates of its liabilities with its investment portfolio, which consists of predominately floating rate loans. As a result of the swap, the Company’s effective interest rate on the original issuance of 2022 Convertible Notes is three-month LIBOR plus 2.37%. See Note 5 for further information related to the Company’s interest rate swaps.</w:t>
      </w:r>
    </w:p>
    <w:p>
      <w:pPr>
        <w:spacing w:after="0" w:line="188" w:lineRule="exact"/>
        <w:rPr>
          <w:sz w:val="20"/>
          <w:szCs w:val="20"/>
          <w:color w:val="auto"/>
        </w:rPr>
      </w:pPr>
    </w:p>
    <w:p>
      <w:pPr>
        <w:ind w:right="20" w:firstLine="259"/>
        <w:spacing w:after="0" w:line="273" w:lineRule="auto"/>
        <w:rPr>
          <w:sz w:val="20"/>
          <w:szCs w:val="20"/>
          <w:color w:val="auto"/>
        </w:rPr>
      </w:pPr>
      <w:r>
        <w:rPr>
          <w:rFonts w:ascii="Arial" w:cs="Arial" w:eastAsia="Arial" w:hAnsi="Arial"/>
          <w:sz w:val="17"/>
          <w:szCs w:val="17"/>
          <w:color w:val="auto"/>
        </w:rPr>
        <w:t>In June 2018, the Company issued an additional $57.5 million aggregate principal amount of 2022 Convertible Notes. The additional Convertible Notes were issued with identical terms, and are fungible with and are part of a single series with the previously outstanding $115 million aggregate principal amount of the Company’s existing 2022 Convertible Notes issued in February 2017. In connection with the reopening of the 2022 Convertible Notes, the Company has entered into interest rate swaps to continue to align the interest rates of its liabilities with its investment portfolio, which consists of predominantly floating rate loans. As a result of the additional swaps, the Company’s effective interest rate on the additional 2022 Convertible Notes is approximately three-month LIBOR plus 1.60%. See Note 5 for further information related to the Company’s interest rate swaps.</w:t>
      </w:r>
    </w:p>
    <w:p>
      <w:pPr>
        <w:spacing w:after="0" w:line="178" w:lineRule="exact"/>
        <w:rPr>
          <w:sz w:val="20"/>
          <w:szCs w:val="20"/>
          <w:color w:val="auto"/>
        </w:rPr>
      </w:pPr>
    </w:p>
    <w:p>
      <w:pPr>
        <w:ind w:firstLine="259"/>
        <w:spacing w:after="0" w:line="289" w:lineRule="auto"/>
        <w:rPr>
          <w:sz w:val="20"/>
          <w:szCs w:val="20"/>
          <w:color w:val="auto"/>
        </w:rPr>
      </w:pPr>
      <w:r>
        <w:rPr>
          <w:rFonts w:ascii="Arial" w:cs="Arial" w:eastAsia="Arial" w:hAnsi="Arial"/>
          <w:sz w:val="16"/>
          <w:szCs w:val="16"/>
          <w:color w:val="auto"/>
        </w:rPr>
        <w:t>Holders may convert their 2022 Convertible Notes at their option at any time prior to February 1, 2022 only under the following circumstances: (1) during any calendar quarter commencing after the calendar quarter ending on June 30, 2017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indenture governing the 2022 Convertible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February 1, 2022 until the close of business on the scheduled trading day immediately preceding the maturity date, holders may convert their notes at any time, regardless of the occurrence or nonoccurrence of any of the foregoing circumstances.</w:t>
      </w:r>
    </w:p>
    <w:p>
      <w:pPr>
        <w:spacing w:after="0" w:line="167" w:lineRule="exact"/>
        <w:rPr>
          <w:sz w:val="20"/>
          <w:szCs w:val="20"/>
          <w:color w:val="auto"/>
        </w:rPr>
      </w:pPr>
    </w:p>
    <w:p>
      <w:pPr>
        <w:ind w:right="40" w:firstLine="259"/>
        <w:spacing w:after="0" w:line="276" w:lineRule="auto"/>
        <w:rPr>
          <w:sz w:val="20"/>
          <w:szCs w:val="20"/>
          <w:color w:val="auto"/>
        </w:rPr>
      </w:pPr>
      <w:r>
        <w:rPr>
          <w:rFonts w:ascii="Arial" w:cs="Arial" w:eastAsia="Arial" w:hAnsi="Arial"/>
          <w:sz w:val="17"/>
          <w:szCs w:val="17"/>
          <w:color w:val="auto"/>
        </w:rPr>
        <w:t>The Convertible Notes are the Company’s unsecured obligations and rank senior in right of payment to the Company’s future indebtedness that is expressly subordinated in right of payment to the Convertible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6" w:name="page37"/>
    <w:bookmarkEnd w:id="36"/>
    <w:p>
      <w:pPr>
        <w:ind w:left="260"/>
        <w:spacing w:after="0"/>
        <w:rPr>
          <w:sz w:val="20"/>
          <w:szCs w:val="20"/>
          <w:color w:val="auto"/>
        </w:rPr>
      </w:pPr>
      <w:r>
        <w:rPr>
          <w:rFonts w:ascii="Arial" w:cs="Arial" w:eastAsia="Arial" w:hAnsi="Arial"/>
          <w:sz w:val="16"/>
          <w:szCs w:val="16"/>
          <w:color w:val="auto"/>
        </w:rPr>
        <w:t>For the three and nine months ended September 30, 2018 and 2017, the components of interest expense related to the Convertible Notes were as follows:</w:t>
      </w:r>
    </w:p>
    <w:p>
      <w:pPr>
        <w:spacing w:after="0" w:line="321"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060" w:type="dxa"/>
            <w:vAlign w:val="bottom"/>
            <w:gridSpan w:val="6"/>
          </w:tcPr>
          <w:p>
            <w:pPr>
              <w:ind w:left="260"/>
              <w:spacing w:after="0"/>
              <w:rPr>
                <w:sz w:val="20"/>
                <w:szCs w:val="20"/>
                <w:color w:val="auto"/>
              </w:rPr>
            </w:pPr>
            <w:r>
              <w:rPr>
                <w:rFonts w:ascii="Arial" w:cs="Arial" w:eastAsia="Arial" w:hAnsi="Arial"/>
                <w:sz w:val="14"/>
                <w:szCs w:val="14"/>
                <w:b w:val="1"/>
                <w:bCs w:val="1"/>
                <w:color w:val="auto"/>
              </w:rPr>
              <w:t>Nine Months Ended</w:t>
            </w:r>
          </w:p>
        </w:tc>
      </w:tr>
      <w:tr>
        <w:trPr>
          <w:trHeight w:val="149"/>
        </w:trPr>
        <w:tc>
          <w:tcPr>
            <w:tcW w:w="3280" w:type="dxa"/>
            <w:vAlign w:val="bottom"/>
          </w:tcPr>
          <w:p>
            <w:pPr>
              <w:spacing w:after="0"/>
              <w:rPr>
                <w:sz w:val="12"/>
                <w:szCs w:val="12"/>
                <w:color w:val="auto"/>
              </w:rPr>
            </w:pPr>
          </w:p>
        </w:tc>
        <w:tc>
          <w:tcPr>
            <w:tcW w:w="12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September 30,</w:t>
            </w:r>
          </w:p>
        </w:tc>
        <w:tc>
          <w:tcPr>
            <w:tcW w:w="12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September 30,</w:t>
            </w:r>
          </w:p>
        </w:tc>
        <w:tc>
          <w:tcPr>
            <w:tcW w:w="12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2"/>
                <w:szCs w:val="12"/>
                <w:color w:val="auto"/>
              </w:rPr>
            </w:pPr>
          </w:p>
        </w:tc>
        <w:tc>
          <w:tcPr>
            <w:tcW w:w="10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3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2,587</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83"/>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7,331</w:t>
            </w:r>
          </w:p>
        </w:tc>
        <w:tc>
          <w:tcPr>
            <w:tcW w:w="80" w:type="dxa"/>
            <w:vAlign w:val="bottom"/>
            <w:shd w:val="clear" w:color="auto" w:fill="CFF0FC"/>
          </w:tcPr>
          <w:p>
            <w:pPr>
              <w:spacing w:after="0"/>
              <w:rPr>
                <w:sz w:val="19"/>
                <w:szCs w:val="19"/>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502</w:t>
            </w:r>
          </w:p>
        </w:tc>
        <w:tc>
          <w:tcPr>
            <w:tcW w:w="80" w:type="dxa"/>
            <w:vAlign w:val="bottom"/>
          </w:tcPr>
          <w:p>
            <w:pPr>
              <w:spacing w:after="0"/>
              <w:rPr>
                <w:sz w:val="19"/>
                <w:szCs w:val="19"/>
                <w:color w:val="auto"/>
              </w:rPr>
            </w:pPr>
          </w:p>
        </w:tc>
      </w:tr>
      <w:tr>
        <w:trPr>
          <w:trHeight w:val="230"/>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w:t>
            </w:r>
          </w:p>
        </w:tc>
        <w:tc>
          <w:tcPr>
            <w:tcW w:w="80" w:type="dxa"/>
            <w:vAlign w:val="bottom"/>
            <w:shd w:val="clear" w:color="auto" w:fill="CFF0FC"/>
          </w:tcPr>
          <w:p>
            <w:pPr>
              <w:spacing w:after="0"/>
              <w:rPr>
                <w:sz w:val="19"/>
                <w:szCs w:val="19"/>
                <w:color w:val="auto"/>
              </w:rPr>
            </w:pPr>
          </w:p>
        </w:tc>
      </w:tr>
      <w:tr>
        <w:trPr>
          <w:trHeight w:val="223"/>
        </w:trPr>
        <w:tc>
          <w:tcPr>
            <w:tcW w:w="3280" w:type="dxa"/>
            <w:vAlign w:val="bottom"/>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3,885</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3,129</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3"/>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8,872</w:t>
            </w:r>
          </w:p>
        </w:tc>
        <w:tc>
          <w:tcPr>
            <w:tcW w:w="80" w:type="dxa"/>
            <w:vAlign w:val="bottom"/>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20" w:firstLine="259"/>
        <w:spacing w:after="0" w:line="273" w:lineRule="auto"/>
        <w:rPr>
          <w:sz w:val="20"/>
          <w:szCs w:val="20"/>
          <w:color w:val="auto"/>
        </w:rPr>
      </w:pPr>
      <w:r>
        <w:rPr>
          <w:rFonts w:ascii="Arial" w:cs="Arial" w:eastAsia="Arial" w:hAnsi="Arial"/>
          <w:sz w:val="17"/>
          <w:szCs w:val="17"/>
          <w:color w:val="auto"/>
        </w:rPr>
        <w:t>Total interest expense in the table above does not include the effect of the interest rate swaps related to the Convertible Notes. During the three and nine months ended September 30, 2018, the Company received $3.2 million and $8.5 million, respectively, and paid $3.5 million and $8.8 million, respectively, related to the settlements of its interest rate swaps related to the Convertible Notes. During the three and nine months ended September 30, 2017, the Company received $3.9 million and $6.5 million, respectively, and paid $2.2 million and $5.5 million, respectively, related to the settlements of its interest rate swaps related to the Convertible Notes. These net amounts are included in interest expense in the Company’s consolidated statements of operations. Please see Note 5 for further information about the Company’s interest rate swaps.</w:t>
      </w:r>
    </w:p>
    <w:p>
      <w:pPr>
        <w:spacing w:after="0" w:line="178"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As of September 30, 2018, the principal amount of the Convertible Notes exceeded the value of the underlying shares multiplied by the per share closing price of the Company’s common stock.</w:t>
      </w:r>
    </w:p>
    <w:p>
      <w:pPr>
        <w:spacing w:after="0" w:line="170" w:lineRule="exact"/>
        <w:rPr>
          <w:sz w:val="20"/>
          <w:szCs w:val="20"/>
          <w:color w:val="auto"/>
        </w:rPr>
      </w:pPr>
    </w:p>
    <w:p>
      <w:pPr>
        <w:ind w:right="400" w:firstLine="259"/>
        <w:spacing w:after="0" w:line="277" w:lineRule="auto"/>
        <w:rPr>
          <w:sz w:val="20"/>
          <w:szCs w:val="20"/>
          <w:color w:val="auto"/>
        </w:rPr>
      </w:pPr>
      <w:r>
        <w:rPr>
          <w:rFonts w:ascii="Arial" w:cs="Arial" w:eastAsia="Arial" w:hAnsi="Arial"/>
          <w:sz w:val="18"/>
          <w:szCs w:val="18"/>
          <w:color w:val="auto"/>
        </w:rPr>
        <w:t>As of September 30, 2018 and December 31, 2017, the components of the carrying value of the Convertible Notes and the stated interest rate were as follows: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 2018</w:t>
            </w:r>
          </w:p>
        </w:tc>
        <w:tc>
          <w:tcPr>
            <w:tcW w:w="1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tcPr>
          <w:p>
            <w:pPr>
              <w:jc w:val="center"/>
              <w:ind w:right="258"/>
              <w:spacing w:after="0" w:line="147" w:lineRule="exact"/>
              <w:rPr>
                <w:sz w:val="20"/>
                <w:szCs w:val="20"/>
                <w:color w:val="auto"/>
              </w:rPr>
            </w:pPr>
            <w:r>
              <w:rPr>
                <w:rFonts w:ascii="Arial" w:cs="Arial" w:eastAsia="Arial" w:hAnsi="Arial"/>
                <w:sz w:val="14"/>
                <w:szCs w:val="14"/>
                <w:b w:val="1"/>
                <w:bCs w:val="1"/>
                <w:color w:val="auto"/>
                <w:w w:val="96"/>
              </w:rPr>
              <w:t>2019</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tcPr>
          <w:p>
            <w:pPr>
              <w:jc w:val="center"/>
              <w:ind w:right="397"/>
              <w:spacing w:after="0" w:line="147" w:lineRule="exact"/>
              <w:rPr>
                <w:sz w:val="20"/>
                <w:szCs w:val="20"/>
                <w:color w:val="auto"/>
              </w:rPr>
            </w:pPr>
            <w:r>
              <w:rPr>
                <w:rFonts w:ascii="Arial" w:cs="Arial" w:eastAsia="Arial" w:hAnsi="Arial"/>
                <w:sz w:val="14"/>
                <w:szCs w:val="14"/>
                <w:b w:val="1"/>
                <w:bCs w:val="1"/>
                <w:color w:val="auto"/>
                <w:w w:val="89"/>
              </w:rPr>
              <w:t>2022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Notes</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Notes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10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172,500</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(933)</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(3,656)</w:t>
            </w:r>
          </w:p>
        </w:tc>
        <w:tc>
          <w:tcPr>
            <w:tcW w:w="0" w:type="dxa"/>
            <w:vAlign w:val="bottom"/>
          </w:tcPr>
          <w:p>
            <w:pPr>
              <w:spacing w:after="0"/>
              <w:rPr>
                <w:sz w:val="1"/>
                <w:szCs w:val="1"/>
                <w:color w:val="auto"/>
              </w:rPr>
            </w:pPr>
          </w:p>
        </w:tc>
      </w:tr>
      <w:tr>
        <w:trPr>
          <w:trHeight w:val="243"/>
        </w:trPr>
        <w:tc>
          <w:tcPr>
            <w:tcW w:w="3900" w:type="dxa"/>
            <w:vAlign w:val="bottom"/>
            <w:gridSpan w:val="2"/>
          </w:tcPr>
          <w:p>
            <w:pPr>
              <w:spacing w:after="0"/>
              <w:rPr>
                <w:sz w:val="20"/>
                <w:szCs w:val="20"/>
                <w:color w:val="auto"/>
              </w:rPr>
            </w:pPr>
            <w:r>
              <w:rPr>
                <w:rFonts w:ascii="Arial" w:cs="Arial" w:eastAsia="Arial" w:hAnsi="Arial"/>
                <w:sz w:val="18"/>
                <w:szCs w:val="18"/>
                <w:color w:val="auto"/>
              </w:rPr>
              <w:t>Carrying value of debt</w:t>
            </w:r>
          </w:p>
        </w:tc>
        <w:tc>
          <w:tcPr>
            <w:tcW w:w="104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113,246</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167,959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Stated interest rate</w:t>
            </w: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000000"/>
          </w:tcPr>
          <w:p>
            <w:pPr>
              <w:spacing w:after="0" w:line="20" w:lineRule="exact"/>
              <w:rPr>
                <w:sz w:val="1"/>
                <w:szCs w:val="1"/>
                <w:color w:val="auto"/>
              </w:rPr>
            </w:pPr>
          </w:p>
        </w:tc>
        <w:tc>
          <w:tcPr>
            <w:tcW w:w="1520" w:type="dxa"/>
            <w:vAlign w:val="bottom"/>
            <w:tcBorders>
              <w:top w:val="single" w:sz="8" w:color="CFF0FC"/>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000000"/>
          </w:tcPr>
          <w:p>
            <w:pPr>
              <w:spacing w:after="0" w:line="20" w:lineRule="exact"/>
              <w:rPr>
                <w:sz w:val="1"/>
                <w:szCs w:val="1"/>
                <w:color w:val="auto"/>
              </w:rPr>
            </w:pPr>
          </w:p>
        </w:tc>
        <w:tc>
          <w:tcPr>
            <w:tcW w:w="1360" w:type="dxa"/>
            <w:vAlign w:val="bottom"/>
            <w:tcBorders>
              <w:top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vMerge w:val="continue"/>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2017</w:t>
            </w:r>
          </w:p>
        </w:tc>
        <w:tc>
          <w:tcPr>
            <w:tcW w:w="13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tcPr>
          <w:p>
            <w:pPr>
              <w:jc w:val="center"/>
              <w:ind w:right="258"/>
              <w:spacing w:after="0" w:line="147" w:lineRule="exact"/>
              <w:rPr>
                <w:sz w:val="20"/>
                <w:szCs w:val="20"/>
                <w:color w:val="auto"/>
              </w:rPr>
            </w:pPr>
            <w:r>
              <w:rPr>
                <w:rFonts w:ascii="Arial" w:cs="Arial" w:eastAsia="Arial" w:hAnsi="Arial"/>
                <w:sz w:val="14"/>
                <w:szCs w:val="14"/>
                <w:b w:val="1"/>
                <w:bCs w:val="1"/>
                <w:color w:val="auto"/>
                <w:w w:val="96"/>
              </w:rPr>
              <w:t>2019</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tcPr>
          <w:p>
            <w:pPr>
              <w:jc w:val="center"/>
              <w:ind w:right="397"/>
              <w:spacing w:after="0" w:line="147" w:lineRule="exact"/>
              <w:rPr>
                <w:sz w:val="20"/>
                <w:szCs w:val="20"/>
                <w:color w:val="auto"/>
              </w:rPr>
            </w:pPr>
            <w:r>
              <w:rPr>
                <w:rFonts w:ascii="Arial" w:cs="Arial" w:eastAsia="Arial" w:hAnsi="Arial"/>
                <w:sz w:val="14"/>
                <w:szCs w:val="14"/>
                <w:b w:val="1"/>
                <w:bCs w:val="1"/>
                <w:color w:val="auto"/>
                <w:w w:val="89"/>
              </w:rPr>
              <w:t>2022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Notes</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Notes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10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(1,308)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(1,510)</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(3,176)</w:t>
            </w:r>
          </w:p>
        </w:tc>
        <w:tc>
          <w:tcPr>
            <w:tcW w:w="0" w:type="dxa"/>
            <w:vAlign w:val="bottom"/>
          </w:tcPr>
          <w:p>
            <w:pPr>
              <w:spacing w:after="0"/>
              <w:rPr>
                <w:sz w:val="1"/>
                <w:szCs w:val="1"/>
                <w:color w:val="auto"/>
              </w:rPr>
            </w:pPr>
          </w:p>
        </w:tc>
      </w:tr>
      <w:tr>
        <w:trPr>
          <w:trHeight w:val="243"/>
        </w:trPr>
        <w:tc>
          <w:tcPr>
            <w:tcW w:w="3900" w:type="dxa"/>
            <w:vAlign w:val="bottom"/>
            <w:gridSpan w:val="2"/>
          </w:tcPr>
          <w:p>
            <w:pPr>
              <w:spacing w:after="0"/>
              <w:rPr>
                <w:sz w:val="20"/>
                <w:szCs w:val="20"/>
                <w:color w:val="auto"/>
              </w:rPr>
            </w:pPr>
            <w:r>
              <w:rPr>
                <w:rFonts w:ascii="Arial" w:cs="Arial" w:eastAsia="Arial" w:hAnsi="Arial"/>
                <w:sz w:val="18"/>
                <w:szCs w:val="18"/>
                <w:color w:val="auto"/>
              </w:rPr>
              <w:t>Carrying value of debt</w:t>
            </w:r>
          </w:p>
        </w:tc>
        <w:tc>
          <w:tcPr>
            <w:tcW w:w="104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112,182</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111,522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Stated interest rate</w:t>
            </w: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000000"/>
          </w:tcPr>
          <w:p>
            <w:pPr>
              <w:spacing w:after="0" w:line="20" w:lineRule="exact"/>
              <w:rPr>
                <w:sz w:val="1"/>
                <w:szCs w:val="1"/>
                <w:color w:val="auto"/>
              </w:rPr>
            </w:pPr>
          </w:p>
        </w:tc>
        <w:tc>
          <w:tcPr>
            <w:tcW w:w="1520" w:type="dxa"/>
            <w:vAlign w:val="bottom"/>
            <w:tcBorders>
              <w:top w:val="single" w:sz="8" w:color="CFF0FC"/>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000000"/>
          </w:tcPr>
          <w:p>
            <w:pPr>
              <w:spacing w:after="0" w:line="20" w:lineRule="exact"/>
              <w:rPr>
                <w:sz w:val="1"/>
                <w:szCs w:val="1"/>
                <w:color w:val="auto"/>
              </w:rPr>
            </w:pPr>
          </w:p>
        </w:tc>
        <w:tc>
          <w:tcPr>
            <w:tcW w:w="1360" w:type="dxa"/>
            <w:vAlign w:val="bottom"/>
            <w:tcBorders>
              <w:top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vMerge w:val="continue"/>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color w:val="auto"/>
        </w:rPr>
        <w:t>The stated interest rate in the table above does not include the effect of the interest rate swaps. The Company’s swap-adjusted interest rate on the Convertible Notes is three month LIBOR plus 2.86% for the 2019 Convertible Notes, and three month LIBOR plus 2.11% (on a weighted average basis) for the 2022 Convertible Notes. Please see Note 5 for further information about the Company’s interest rate swaps.</w:t>
      </w:r>
    </w:p>
    <w:p>
      <w:pPr>
        <w:spacing w:after="0" w:line="181"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The indentures governing the Convertible Notes contain certain covenants, including covenants requiring the Company to comply with the applicable asset coverage ratio requirement under the 1940 Act and to provide financial information to the holders of the Convertible Notes under certain circumstances. These covenants are subject to important limitations and exceptions that are described in the indentures governing the Convertible Notes. As of September 30, 2018, the Company was in compliance with the terms of each of the indentures governing the Convertible Notes.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7" w:name="page38"/>
    <w:bookmarkEnd w:id="37"/>
    <w:p>
      <w:pPr>
        <w:ind w:right="60" w:firstLine="259"/>
        <w:spacing w:after="0" w:line="289" w:lineRule="auto"/>
        <w:rPr>
          <w:sz w:val="20"/>
          <w:szCs w:val="20"/>
          <w:color w:val="auto"/>
        </w:rPr>
      </w:pPr>
      <w:r>
        <w:rPr>
          <w:rFonts w:ascii="Arial" w:cs="Arial" w:eastAsia="Arial" w:hAnsi="Arial"/>
          <w:sz w:val="16"/>
          <w:szCs w:val="16"/>
          <w:color w:val="auto"/>
        </w:rPr>
        <w:t>The Convertible Notes are accounted for in accordance with Accounting Standards Codification (“ASC”) 470-20. Upon conversion of any of the Convertible Notes, the Company intends to pay the outstanding principal amount in cash and, to the extent that the conversion value exceeds the principal amount, the Company has the option to pay in cash or shares of the Company’s common stock (or a combination of cash and shares) in respect of the excess amount, subject to the requirements of the indentures governing the Convertible Notes. The Company has determined that the embedded conversion options in each series of Convertible Notes are not required to be separately accounted for as a derivative under U.S. GAAP. In accounting for the Convertible Notes, the Company estimated at the time of issuance separate debt and equity components of each series of Convertible Notes. An original issue discount equal to the equity components of each series of Convertible Notes was recorded in “additional paid-in capital” in the accompanying consolidated balance sheet. Additionally, the issuance costs associated with the Convertible Notes were allocated to the debt and equity components in proportion to the allocation of the proceeds and accounted for as deferred financing costs and equity issuance costs,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Notes</w:t>
      </w:r>
    </w:p>
    <w:p>
      <w:pPr>
        <w:spacing w:after="0" w:line="11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In January 2018, the Company issued $150.0 million aggregate principal amount of unsecured notes that mature on January 22, 2023 (the “2023 Notes”). The principal amount of the 2023 Notes is payable at maturity. The 2023 Notes bear interest at a rate of 4.50% per year, payable semi-annually commencing on July 22, 2018, and may be redeemed in whole or in part at the Company’s option at any time at par plus a “make whole” premium. Total proceeds from the issuance of the 2023 Notes, net of underwriting discounts and offering costs, were $146.9 million. The Company used the net proceeds of the 2023 Notes to repay outstanding indebtedness under the Revolving Credit Facility.</w:t>
      </w:r>
    </w:p>
    <w:p>
      <w:pPr>
        <w:spacing w:after="0" w:line="188" w:lineRule="exact"/>
        <w:rPr>
          <w:sz w:val="20"/>
          <w:szCs w:val="20"/>
          <w:color w:val="auto"/>
        </w:rPr>
      </w:pPr>
    </w:p>
    <w:p>
      <w:pPr>
        <w:ind w:right="140" w:firstLine="259"/>
        <w:spacing w:after="0" w:line="286" w:lineRule="auto"/>
        <w:rPr>
          <w:sz w:val="20"/>
          <w:szCs w:val="20"/>
          <w:color w:val="auto"/>
        </w:rPr>
      </w:pPr>
      <w:r>
        <w:rPr>
          <w:rFonts w:ascii="Arial" w:cs="Arial" w:eastAsia="Arial" w:hAnsi="Arial"/>
          <w:sz w:val="17"/>
          <w:szCs w:val="17"/>
          <w:color w:val="auto"/>
        </w:rPr>
        <w:t>In connection with the 2023 Notes offering, the Company entered into an interest rate swap to continue to align the interest rates of its liabilities with the Company’s investment portfolio, which consists of predominately floating rate loans. As a result of the swap, the Company’s effective interest rate on the 2023 Notes is three-month LIBOR plus 1.99%. Please see Note 5 for further information about the Company’s interest rate swaps.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three and nine months ended September 30, 2018, the components of interest expense related to the 2023 Notes were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September 30, 2018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2018</w:t>
            </w:r>
          </w:p>
        </w:tc>
      </w:tr>
      <w:tr>
        <w:trPr>
          <w:trHeight w:val="223"/>
        </w:trPr>
        <w:tc>
          <w:tcPr>
            <w:tcW w:w="20" w:type="dxa"/>
            <w:vAlign w:val="bottom"/>
          </w:tcPr>
          <w:p>
            <w:pPr>
              <w:spacing w:after="0"/>
              <w:rPr>
                <w:sz w:val="19"/>
                <w:szCs w:val="19"/>
                <w:color w:val="auto"/>
              </w:rPr>
            </w:pPr>
          </w:p>
        </w:tc>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1,688</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1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400" w:type="dxa"/>
            <w:vAlign w:val="bottom"/>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5,099</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right="60" w:firstLine="259"/>
        <w:spacing w:after="0" w:line="279" w:lineRule="auto"/>
        <w:rPr>
          <w:sz w:val="20"/>
          <w:szCs w:val="20"/>
          <w:color w:val="auto"/>
        </w:rPr>
      </w:pPr>
      <w:r>
        <w:rPr>
          <w:rFonts w:ascii="Arial" w:cs="Arial" w:eastAsia="Arial" w:hAnsi="Arial"/>
          <w:sz w:val="17"/>
          <w:szCs w:val="17"/>
          <w:color w:val="auto"/>
        </w:rPr>
        <w:t>Total interest expense in the table above does not include the effect of the interest rate swaps related to the 2023 Notes. During the three and nine months ended September 30, 2018, the Company received $1.7 million and $4.6 million, respectively, and paid $1.6 million and $4.3 million, respectively, related to the settlements of its interest rate swaps related to the Notes. These net amounts are included in interest expense in the Company’s consolidated statements of operations. Please see Note 5 for further information about the Company’s interest rate swaps.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September 30, 2018, the components of the carrying value of the 2023 Notes and the stated interest rate were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2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2023 Notes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184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2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(2,662)</w:t>
            </w:r>
          </w:p>
        </w:tc>
        <w:tc>
          <w:tcPr>
            <w:tcW w:w="0" w:type="dxa"/>
            <w:vAlign w:val="bottom"/>
          </w:tcPr>
          <w:p>
            <w:pPr>
              <w:spacing w:after="0"/>
              <w:rPr>
                <w:sz w:val="1"/>
                <w:szCs w:val="1"/>
                <w:color w:val="auto"/>
              </w:rPr>
            </w:pPr>
          </w:p>
        </w:tc>
      </w:tr>
      <w:tr>
        <w:trPr>
          <w:trHeight w:val="243"/>
        </w:trPr>
        <w:tc>
          <w:tcPr>
            <w:tcW w:w="4700" w:type="dxa"/>
            <w:vAlign w:val="bottom"/>
            <w:gridSpan w:val="2"/>
          </w:tcPr>
          <w:p>
            <w:pPr>
              <w:spacing w:after="0"/>
              <w:rPr>
                <w:sz w:val="20"/>
                <w:szCs w:val="20"/>
                <w:color w:val="auto"/>
              </w:rPr>
            </w:pPr>
            <w:r>
              <w:rPr>
                <w:rFonts w:ascii="Arial" w:cs="Arial" w:eastAsia="Arial" w:hAnsi="Arial"/>
                <w:sz w:val="18"/>
                <w:szCs w:val="18"/>
                <w:color w:val="auto"/>
              </w:rPr>
              <w:t>Carrying value of debt</w:t>
            </w:r>
          </w:p>
        </w:tc>
        <w:tc>
          <w:tcPr>
            <w:tcW w:w="184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147,298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Stated interest rate</w:t>
            </w:r>
          </w:p>
        </w:tc>
        <w:tc>
          <w:tcPr>
            <w:tcW w:w="18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000000"/>
          </w:tcPr>
          <w:p>
            <w:pPr>
              <w:spacing w:after="0" w:line="20" w:lineRule="exact"/>
              <w:rPr>
                <w:sz w:val="1"/>
                <w:szCs w:val="1"/>
                <w:color w:val="auto"/>
              </w:rPr>
            </w:pPr>
          </w:p>
        </w:tc>
        <w:tc>
          <w:tcPr>
            <w:tcW w:w="1940" w:type="dxa"/>
            <w:vAlign w:val="bottom"/>
            <w:tcBorders>
              <w:top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vMerge w:val="continue"/>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300" w:firstLine="259"/>
        <w:spacing w:after="0" w:line="277" w:lineRule="auto"/>
        <w:rPr>
          <w:sz w:val="20"/>
          <w:szCs w:val="20"/>
          <w:color w:val="auto"/>
        </w:rPr>
      </w:pPr>
      <w:r>
        <w:rPr>
          <w:rFonts w:ascii="Arial" w:cs="Arial" w:eastAsia="Arial" w:hAnsi="Arial"/>
          <w:sz w:val="18"/>
          <w:szCs w:val="18"/>
          <w:color w:val="auto"/>
        </w:rPr>
        <w:t>The stated interest rate in the table above does not include the effect of the interest rate swaps. The Company’s swap-adjusted interest rate on the 2023 Notes is three month LIBOR plus 1.99%.</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September 30, 2018 and December 31, 2017, the Company was in compliance with the terms of its debt obligations.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As of September 30, 2018 and December 31, 2017, the Company had the following commitments to fund investments in current portfolio companies: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2017</w:t>
            </w: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AppStar Financial, LLC - Revolver</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Bazaarvoice, Inc. - Revolver</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3,000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Caris Life Sciences, Inc. - Delayed Draw</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ClearCompany, LLC - Delayed Draw</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3,000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Ferrellgas, L.P. - Revolver</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Frontline Technologies Group, LLC - Delayed Draw</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9,377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9,377</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G Treasury SS, LLC - Delayed Draw</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G Treasury SS, LLC - Revolver</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2,000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Government Brands, LLC - Revolver</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Helix Health, Ltd. - Revolver</w:t>
            </w:r>
          </w:p>
        </w:tc>
        <w:tc>
          <w:tcPr>
            <w:tcW w:w="120" w:type="dxa"/>
            <w:vAlign w:val="bottom"/>
          </w:tcPr>
          <w:p>
            <w:pPr>
              <w:spacing w:after="0"/>
              <w:rPr>
                <w:sz w:val="19"/>
                <w:szCs w:val="19"/>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4,443</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Illuminate Education, Inc. - Revolver</w:t>
            </w:r>
          </w:p>
        </w:tc>
        <w:tc>
          <w:tcPr>
            <w:tcW w:w="12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Industrial Physics, LLC - Revolver</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3,650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Integration Appliance, Inc. - Revolver</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IRGSE Holding Corp. - Revolver</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Leaf US Holdings, Inc. - Revolver</w:t>
            </w:r>
          </w:p>
        </w:tc>
        <w:tc>
          <w:tcPr>
            <w:tcW w:w="12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Lithium Technologies, LLC - Revolver</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3,659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3,659</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Marketo, Inc. - Revolver</w:t>
            </w:r>
          </w:p>
        </w:tc>
        <w:tc>
          <w:tcPr>
            <w:tcW w:w="12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Motus, LLC - Revolver</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5,619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Northern Oil and Gas, Inc. - Delayed Draw</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16,250</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PageUp People Limited - Delayed Draw</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2,171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PayLease, LLC - Revolver</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PaySimple, Inc. - Revolver</w:t>
            </w:r>
          </w:p>
        </w:tc>
        <w:tc>
          <w:tcPr>
            <w:tcW w:w="120" w:type="dxa"/>
            <w:vAlign w:val="bottom"/>
          </w:tcPr>
          <w:p>
            <w:pPr>
              <w:spacing w:after="0"/>
              <w:rPr>
                <w:sz w:val="19"/>
                <w:szCs w:val="19"/>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Rex Energy Corporation DIP - Delayed Draw</w:t>
            </w:r>
          </w:p>
        </w:tc>
        <w:tc>
          <w:tcPr>
            <w:tcW w:w="12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11,050</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Riskonnect, Inc. - Revolver</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5,000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ScentAir Technologies, Inc. - Revolver</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Sovos Compliance, LLC - Delayed Draw</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3,030</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Sovos Compliance, LLC - Revolver</w:t>
            </w: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1,657</w:t>
            </w:r>
          </w:p>
        </w:tc>
        <w:tc>
          <w:tcPr>
            <w:tcW w:w="120" w:type="dxa"/>
            <w:vAlign w:val="bottom"/>
            <w:shd w:val="clear" w:color="auto" w:fill="CFF0FC"/>
          </w:tcPr>
          <w:p>
            <w:pPr>
              <w:spacing w:after="0"/>
              <w:rPr>
                <w:sz w:val="19"/>
                <w:szCs w:val="19"/>
                <w:color w:val="auto"/>
              </w:rPr>
            </w:pPr>
          </w:p>
        </w:tc>
      </w:tr>
      <w:tr>
        <w:trPr>
          <w:trHeight w:val="223"/>
        </w:trPr>
        <w:tc>
          <w:tcPr>
            <w:tcW w:w="7860" w:type="dxa"/>
            <w:vAlign w:val="bottom"/>
          </w:tcPr>
          <w:p>
            <w:pPr>
              <w:ind w:left="260"/>
              <w:spacing w:after="0"/>
              <w:rPr>
                <w:sz w:val="20"/>
                <w:szCs w:val="20"/>
                <w:color w:val="auto"/>
              </w:rPr>
            </w:pPr>
            <w:r>
              <w:rPr>
                <w:rFonts w:ascii="Arial" w:cs="Arial" w:eastAsia="Arial" w:hAnsi="Arial"/>
                <w:sz w:val="18"/>
                <w:szCs w:val="18"/>
                <w:b w:val="1"/>
                <w:bCs w:val="1"/>
                <w:color w:val="auto"/>
              </w:rPr>
              <w:t>Total Portfolio Company Commitments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97,418</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79,759</w:t>
            </w:r>
          </w:p>
        </w:tc>
        <w:tc>
          <w:tcPr>
            <w:tcW w:w="12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right="380" w:firstLine="259"/>
        <w:spacing w:after="0" w:line="277" w:lineRule="auto"/>
        <w:rPr>
          <w:sz w:val="20"/>
          <w:szCs w:val="20"/>
          <w:color w:val="auto"/>
        </w:rPr>
      </w:pPr>
      <w:r>
        <w:rPr>
          <w:rFonts w:ascii="Arial" w:cs="Arial" w:eastAsia="Arial" w:hAnsi="Arial"/>
          <w:sz w:val="18"/>
          <w:szCs w:val="18"/>
          <w:color w:val="auto"/>
        </w:rPr>
        <w:t>As of September 30, 2018 and December 31, 2017, the Company did not have any unfunded commitments to fund investments to new borrowers that were not current portfolio companies as of such date.</w:t>
      </w:r>
    </w:p>
    <w:p>
      <w:pPr>
        <w:spacing w:after="0" w:line="170" w:lineRule="exact"/>
        <w:rPr>
          <w:sz w:val="20"/>
          <w:szCs w:val="20"/>
          <w:color w:val="auto"/>
        </w:rPr>
      </w:pPr>
    </w:p>
    <w:p>
      <w:pPr>
        <w:ind w:right="360" w:firstLine="259"/>
        <w:spacing w:after="0" w:line="277"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September 30, 2018 and December 31, 2017, management is not aware of any pending or threatened litigation.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121" w:lineRule="exact"/>
        <w:rPr>
          <w:sz w:val="20"/>
          <w:szCs w:val="20"/>
          <w:color w:val="auto"/>
        </w:rPr>
      </w:pPr>
    </w:p>
    <w:p>
      <w:pPr>
        <w:ind w:right="160" w:firstLine="259"/>
        <w:spacing w:after="0" w:line="286" w:lineRule="auto"/>
        <w:rPr>
          <w:sz w:val="20"/>
          <w:szCs w:val="20"/>
          <w:color w:val="auto"/>
        </w:rPr>
      </w:pPr>
      <w:r>
        <w:rPr>
          <w:rFonts w:ascii="Arial" w:cs="Arial" w:eastAsia="Arial" w:hAnsi="Arial"/>
          <w:sz w:val="17"/>
          <w:szCs w:val="17"/>
          <w:color w:val="auto"/>
        </w:rPr>
        <w:t>In March 2018, the Company issued a total of 3,750,000 shares of common stock at $17.45 per share. Net of underwriting fees and offering costs, the Company received total cash proceeds of $63.0 million. Subsequent to the offering the Company issued an additional 522,224 shares in April 2018 pursuant to the overallotment option granted to underwriters and received, net of underwriting fees, total cash proceeds of $8.8 million.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9" w:name="page40"/>
    <w:bookmarkEnd w:id="39"/>
    <w:p>
      <w:pPr>
        <w:ind w:right="40" w:firstLine="259"/>
        <w:spacing w:after="0" w:line="270" w:lineRule="auto"/>
        <w:rPr>
          <w:sz w:val="20"/>
          <w:szCs w:val="20"/>
          <w:color w:val="auto"/>
        </w:rPr>
      </w:pPr>
      <w:r>
        <w:rPr>
          <w:rFonts w:ascii="Arial" w:cs="Arial" w:eastAsia="Arial" w:hAnsi="Arial"/>
          <w:sz w:val="17"/>
          <w:szCs w:val="17"/>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 (i) the most recently computed net asset value per share or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2"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Pursuant to the Company’s dividend reinvestment plan, the following tables summarize the shares issued to stockholders who have not opted out of the Company’s dividend reinvestment plan during the nine months ended September 30, 2018 and 2017. All shares issued to stockholders in the tables below are newly issued shares.</w:t>
      </w:r>
    </w:p>
    <w:p>
      <w:pPr>
        <w:spacing w:after="0" w:line="254"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20" w:type="dxa"/>
            <w:vAlign w:val="bottom"/>
            <w:gridSpan w:val="4"/>
          </w:tcPr>
          <w:p>
            <w:pPr>
              <w:ind w:left="1560"/>
              <w:spacing w:after="0"/>
              <w:rPr>
                <w:sz w:val="20"/>
                <w:szCs w:val="20"/>
                <w:color w:val="auto"/>
              </w:rPr>
            </w:pPr>
            <w:r>
              <w:rPr>
                <w:rFonts w:ascii="Arial" w:cs="Arial" w:eastAsia="Arial" w:hAnsi="Arial"/>
                <w:sz w:val="14"/>
                <w:szCs w:val="14"/>
                <w:b w:val="1"/>
                <w:bCs w:val="1"/>
                <w:color w:val="auto"/>
              </w:rPr>
              <w:t>Nine Months Ended</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4"/>
          </w:tcPr>
          <w:p>
            <w:pPr>
              <w:ind w:left="1580"/>
              <w:spacing w:after="0"/>
              <w:rPr>
                <w:sz w:val="20"/>
                <w:szCs w:val="20"/>
                <w:color w:val="auto"/>
              </w:rPr>
            </w:pPr>
            <w:r>
              <w:rPr>
                <w:rFonts w:ascii="Arial" w:cs="Arial" w:eastAsia="Arial" w:hAnsi="Arial"/>
                <w:sz w:val="14"/>
                <w:szCs w:val="14"/>
                <w:b w:val="1"/>
                <w:bCs w:val="1"/>
                <w:color w:val="auto"/>
              </w:rPr>
              <w:t>September 30, 2018</w:t>
            </w:r>
          </w:p>
        </w:tc>
        <w:tc>
          <w:tcPr>
            <w:tcW w:w="1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8"/>
              </w:rPr>
              <w:t>Date</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40" w:type="dxa"/>
            <w:vAlign w:val="bottom"/>
            <w:gridSpan w:val="2"/>
          </w:tcPr>
          <w:p>
            <w:pPr>
              <w:spacing w:after="0"/>
              <w:rPr>
                <w:sz w:val="20"/>
                <w:szCs w:val="20"/>
                <w:color w:val="auto"/>
              </w:rPr>
            </w:pPr>
            <w:r>
              <w:rPr>
                <w:rFonts w:ascii="Arial" w:cs="Arial" w:eastAsia="Arial" w:hAnsi="Arial"/>
                <w:sz w:val="14"/>
                <w:szCs w:val="14"/>
                <w:b w:val="1"/>
                <w:bCs w:val="1"/>
                <w:color w:val="auto"/>
              </w:rPr>
              <w:t>Date Declared</w:t>
            </w:r>
          </w:p>
        </w:tc>
        <w:tc>
          <w:tcPr>
            <w:tcW w:w="30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 xml:space="preserve">Dividend </w:t>
            </w:r>
            <w:r>
              <w:rPr>
                <w:rFonts w:ascii="Arial" w:cs="Arial" w:eastAsia="Arial" w:hAnsi="Arial"/>
                <w:sz w:val="12"/>
                <w:szCs w:val="12"/>
                <w:b w:val="1"/>
                <w:bCs w:val="1"/>
                <w:color w:val="auto"/>
                <w:w w:val="92"/>
              </w:rPr>
              <w:t>(1)</w:t>
            </w:r>
          </w:p>
        </w:tc>
        <w:tc>
          <w:tcPr>
            <w:tcW w:w="2100" w:type="dxa"/>
            <w:vAlign w:val="bottom"/>
            <w:gridSpan w:val="2"/>
          </w:tcPr>
          <w:p>
            <w:pPr>
              <w:ind w:left="600"/>
              <w:spacing w:after="0"/>
              <w:rPr>
                <w:sz w:val="20"/>
                <w:szCs w:val="20"/>
                <w:color w:val="auto"/>
              </w:rPr>
            </w:pPr>
            <w:r>
              <w:rPr>
                <w:rFonts w:ascii="Arial" w:cs="Arial" w:eastAsia="Arial" w:hAnsi="Arial"/>
                <w:sz w:val="14"/>
                <w:szCs w:val="14"/>
                <w:b w:val="1"/>
                <w:bCs w:val="1"/>
                <w:color w:val="auto"/>
              </w:rPr>
              <w:t>Record Date</w:t>
            </w: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Shares Issued</w:t>
            </w:r>
          </w:p>
        </w:tc>
        <w:tc>
          <w:tcPr>
            <w:tcW w:w="156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November 7, 2017</w:t>
            </w:r>
          </w:p>
        </w:tc>
        <w:tc>
          <w:tcPr>
            <w:tcW w:w="3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Base</w:t>
            </w:r>
          </w:p>
        </w:tc>
        <w:tc>
          <w:tcPr>
            <w:tcW w:w="100" w:type="dxa"/>
            <w:vAlign w:val="bottom"/>
            <w:tcBorders>
              <w:top w:val="single" w:sz="8" w:color="CFF0FC"/>
            </w:tcBorders>
            <w:shd w:val="clear" w:color="auto" w:fill="CFF0FC"/>
          </w:tcPr>
          <w:p>
            <w:pPr>
              <w:spacing w:after="0"/>
              <w:rPr>
                <w:sz w:val="19"/>
                <w:szCs w:val="19"/>
                <w:color w:val="auto"/>
              </w:rPr>
            </w:pPr>
          </w:p>
        </w:tc>
        <w:tc>
          <w:tcPr>
            <w:tcW w:w="2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December 15, 2017</w:t>
            </w:r>
          </w:p>
        </w:tc>
        <w:tc>
          <w:tcPr>
            <w:tcW w:w="100" w:type="dxa"/>
            <w:vAlign w:val="bottom"/>
            <w:tcBorders>
              <w:top w:val="single" w:sz="8" w:color="CFF0FC"/>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January 12, 2018</w:t>
            </w:r>
          </w:p>
        </w:tc>
        <w:tc>
          <w:tcPr>
            <w:tcW w:w="10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153,295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February 21, 2018</w:t>
            </w:r>
          </w:p>
        </w:tc>
        <w:tc>
          <w:tcPr>
            <w:tcW w:w="1420" w:type="dxa"/>
            <w:vAlign w:val="bottom"/>
            <w:gridSpan w:val="3"/>
          </w:tcPr>
          <w:p>
            <w:pPr>
              <w:jc w:val="center"/>
              <w:ind w:left="90"/>
              <w:spacing w:after="0"/>
              <w:rPr>
                <w:sz w:val="20"/>
                <w:szCs w:val="20"/>
                <w:color w:val="auto"/>
              </w:rPr>
            </w:pPr>
            <w:r>
              <w:rPr>
                <w:rFonts w:ascii="Arial" w:cs="Arial" w:eastAsia="Arial" w:hAnsi="Arial"/>
                <w:sz w:val="18"/>
                <w:szCs w:val="18"/>
                <w:color w:val="auto"/>
                <w:w w:val="90"/>
              </w:rPr>
              <w:t>Supplemental</w:t>
            </w:r>
          </w:p>
        </w:tc>
        <w:tc>
          <w:tcPr>
            <w:tcW w:w="210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28, 2018</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March 30, 2018</w:t>
            </w:r>
          </w:p>
        </w:tc>
        <w:tc>
          <w:tcPr>
            <w:tcW w:w="1480" w:type="dxa"/>
            <w:vAlign w:val="bottom"/>
          </w:tcPr>
          <w:p>
            <w:pPr>
              <w:jc w:val="right"/>
              <w:spacing w:after="0"/>
              <w:rPr>
                <w:sz w:val="20"/>
                <w:szCs w:val="20"/>
                <w:color w:val="auto"/>
              </w:rPr>
            </w:pPr>
            <w:r>
              <w:rPr>
                <w:rFonts w:ascii="Arial" w:cs="Arial" w:eastAsia="Arial" w:hAnsi="Arial"/>
                <w:sz w:val="18"/>
                <w:szCs w:val="18"/>
                <w:color w:val="auto"/>
              </w:rPr>
              <w:t>16,455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February 21, 2018</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7"/>
              </w:rPr>
              <w:t>Base</w:t>
            </w:r>
          </w:p>
        </w:tc>
        <w:tc>
          <w:tcPr>
            <w:tcW w:w="2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March 15, 2018</w:t>
            </w:r>
          </w:p>
        </w:tc>
        <w:tc>
          <w:tcPr>
            <w:tcW w:w="1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April 13, 2018</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198,296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May 3, 2018</w:t>
            </w:r>
          </w:p>
        </w:tc>
        <w:tc>
          <w:tcPr>
            <w:tcW w:w="1420" w:type="dxa"/>
            <w:vAlign w:val="bottom"/>
            <w:gridSpan w:val="3"/>
          </w:tcPr>
          <w:p>
            <w:pPr>
              <w:jc w:val="center"/>
              <w:ind w:left="90"/>
              <w:spacing w:after="0"/>
              <w:rPr>
                <w:sz w:val="20"/>
                <w:szCs w:val="20"/>
                <w:color w:val="auto"/>
              </w:rPr>
            </w:pPr>
            <w:r>
              <w:rPr>
                <w:rFonts w:ascii="Arial" w:cs="Arial" w:eastAsia="Arial" w:hAnsi="Arial"/>
                <w:sz w:val="18"/>
                <w:szCs w:val="18"/>
                <w:color w:val="auto"/>
                <w:w w:val="90"/>
              </w:rPr>
              <w:t>Supplemental</w:t>
            </w:r>
          </w:p>
        </w:tc>
        <w:tc>
          <w:tcPr>
            <w:tcW w:w="2100" w:type="dxa"/>
            <w:vAlign w:val="bottom"/>
            <w:gridSpan w:val="2"/>
          </w:tcPr>
          <w:p>
            <w:pPr>
              <w:jc w:val="right"/>
              <w:ind w:right="120"/>
              <w:spacing w:after="0"/>
              <w:rPr>
                <w:sz w:val="20"/>
                <w:szCs w:val="20"/>
                <w:color w:val="auto"/>
              </w:rPr>
            </w:pPr>
            <w:r>
              <w:rPr>
                <w:rFonts w:ascii="Arial" w:cs="Arial" w:eastAsia="Arial" w:hAnsi="Arial"/>
                <w:sz w:val="18"/>
                <w:szCs w:val="18"/>
                <w:color w:val="auto"/>
              </w:rPr>
              <w:t>May 31, 2018</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June 29, 2018</w:t>
            </w:r>
          </w:p>
        </w:tc>
        <w:tc>
          <w:tcPr>
            <w:tcW w:w="1480" w:type="dxa"/>
            <w:vAlign w:val="bottom"/>
          </w:tcPr>
          <w:p>
            <w:pPr>
              <w:jc w:val="right"/>
              <w:spacing w:after="0"/>
              <w:rPr>
                <w:sz w:val="20"/>
                <w:szCs w:val="20"/>
                <w:color w:val="auto"/>
              </w:rPr>
            </w:pPr>
            <w:r>
              <w:rPr>
                <w:rFonts w:ascii="Arial" w:cs="Arial" w:eastAsia="Arial" w:hAnsi="Arial"/>
                <w:sz w:val="18"/>
                <w:szCs w:val="18"/>
                <w:color w:val="auto"/>
              </w:rPr>
              <w:t>33,055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May 3, 2018</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7"/>
              </w:rPr>
              <w:t>Base</w:t>
            </w:r>
          </w:p>
        </w:tc>
        <w:tc>
          <w:tcPr>
            <w:tcW w:w="2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June 15, 2018</w:t>
            </w:r>
          </w:p>
        </w:tc>
        <w:tc>
          <w:tcPr>
            <w:tcW w:w="1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July 13, 2018</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206,556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August 1, 2018</w:t>
            </w:r>
          </w:p>
        </w:tc>
        <w:tc>
          <w:tcPr>
            <w:tcW w:w="1420" w:type="dxa"/>
            <w:vAlign w:val="bottom"/>
            <w:tcBorders>
              <w:bottom w:val="single" w:sz="8" w:color="CFF0FC"/>
            </w:tcBorders>
            <w:gridSpan w:val="3"/>
          </w:tcPr>
          <w:p>
            <w:pPr>
              <w:jc w:val="center"/>
              <w:ind w:left="90"/>
              <w:spacing w:after="0"/>
              <w:rPr>
                <w:sz w:val="20"/>
                <w:szCs w:val="20"/>
                <w:color w:val="auto"/>
              </w:rPr>
            </w:pPr>
            <w:r>
              <w:rPr>
                <w:rFonts w:ascii="Arial" w:cs="Arial" w:eastAsia="Arial" w:hAnsi="Arial"/>
                <w:sz w:val="18"/>
                <w:szCs w:val="18"/>
                <w:color w:val="auto"/>
                <w:w w:val="90"/>
              </w:rPr>
              <w:t>Supplemental</w:t>
            </w:r>
          </w:p>
        </w:tc>
        <w:tc>
          <w:tcPr>
            <w:tcW w:w="210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August 31, 2018</w:t>
            </w:r>
          </w:p>
        </w:tc>
        <w:tc>
          <w:tcPr>
            <w:tcW w:w="192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September 28, 2018</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41,169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3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648,826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gridSpan w:val="4"/>
            <w:vMerge w:val="restart"/>
          </w:tcPr>
          <w:p>
            <w:pPr>
              <w:ind w:left="1560"/>
              <w:spacing w:after="0"/>
              <w:rPr>
                <w:sz w:val="20"/>
                <w:szCs w:val="20"/>
                <w:color w:val="auto"/>
              </w:rPr>
            </w:pPr>
            <w:r>
              <w:rPr>
                <w:rFonts w:ascii="Arial" w:cs="Arial" w:eastAsia="Arial" w:hAnsi="Arial"/>
                <w:sz w:val="14"/>
                <w:szCs w:val="14"/>
                <w:b w:val="1"/>
                <w:bCs w:val="1"/>
                <w:color w:val="auto"/>
              </w:rPr>
              <w:t>Nine Months Ended</w:t>
            </w: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4"/>
            <w:vMerge w:val="continue"/>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4"/>
          </w:tcPr>
          <w:p>
            <w:pPr>
              <w:ind w:left="1580"/>
              <w:spacing w:after="0"/>
              <w:rPr>
                <w:sz w:val="20"/>
                <w:szCs w:val="20"/>
                <w:color w:val="auto"/>
              </w:rPr>
            </w:pPr>
            <w:r>
              <w:rPr>
                <w:rFonts w:ascii="Arial" w:cs="Arial" w:eastAsia="Arial" w:hAnsi="Arial"/>
                <w:sz w:val="14"/>
                <w:szCs w:val="14"/>
                <w:b w:val="1"/>
                <w:bCs w:val="1"/>
                <w:color w:val="auto"/>
              </w:rPr>
              <w:t>September 30, 2017</w:t>
            </w:r>
          </w:p>
        </w:tc>
        <w:tc>
          <w:tcPr>
            <w:tcW w:w="1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8"/>
              </w:rPr>
              <w:t>Date</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40" w:type="dxa"/>
            <w:vAlign w:val="bottom"/>
            <w:gridSpan w:val="2"/>
          </w:tcPr>
          <w:p>
            <w:pPr>
              <w:spacing w:after="0"/>
              <w:rPr>
                <w:sz w:val="20"/>
                <w:szCs w:val="20"/>
                <w:color w:val="auto"/>
              </w:rPr>
            </w:pPr>
            <w:r>
              <w:rPr>
                <w:rFonts w:ascii="Arial" w:cs="Arial" w:eastAsia="Arial" w:hAnsi="Arial"/>
                <w:sz w:val="14"/>
                <w:szCs w:val="14"/>
                <w:b w:val="1"/>
                <w:bCs w:val="1"/>
                <w:color w:val="auto"/>
              </w:rPr>
              <w:t>Date Declared</w:t>
            </w:r>
          </w:p>
        </w:tc>
        <w:tc>
          <w:tcPr>
            <w:tcW w:w="30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 xml:space="preserve">Dividend </w:t>
            </w:r>
            <w:r>
              <w:rPr>
                <w:rFonts w:ascii="Arial" w:cs="Arial" w:eastAsia="Arial" w:hAnsi="Arial"/>
                <w:sz w:val="12"/>
                <w:szCs w:val="12"/>
                <w:b w:val="1"/>
                <w:bCs w:val="1"/>
                <w:color w:val="auto"/>
                <w:w w:val="92"/>
              </w:rPr>
              <w:t>(1)</w:t>
            </w:r>
          </w:p>
        </w:tc>
        <w:tc>
          <w:tcPr>
            <w:tcW w:w="2100" w:type="dxa"/>
            <w:vAlign w:val="bottom"/>
            <w:gridSpan w:val="2"/>
          </w:tcPr>
          <w:p>
            <w:pPr>
              <w:ind w:left="600"/>
              <w:spacing w:after="0"/>
              <w:rPr>
                <w:sz w:val="20"/>
                <w:szCs w:val="20"/>
                <w:color w:val="auto"/>
              </w:rPr>
            </w:pPr>
            <w:r>
              <w:rPr>
                <w:rFonts w:ascii="Arial" w:cs="Arial" w:eastAsia="Arial" w:hAnsi="Arial"/>
                <w:sz w:val="14"/>
                <w:szCs w:val="14"/>
                <w:b w:val="1"/>
                <w:bCs w:val="1"/>
                <w:color w:val="auto"/>
              </w:rPr>
              <w:t>Record Date</w:t>
            </w: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Shares Issued</w:t>
            </w:r>
          </w:p>
        </w:tc>
        <w:tc>
          <w:tcPr>
            <w:tcW w:w="156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November 7, 2016</w:t>
            </w:r>
          </w:p>
        </w:tc>
        <w:tc>
          <w:tcPr>
            <w:tcW w:w="3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Base</w:t>
            </w:r>
          </w:p>
        </w:tc>
        <w:tc>
          <w:tcPr>
            <w:tcW w:w="100" w:type="dxa"/>
            <w:vAlign w:val="bottom"/>
            <w:tcBorders>
              <w:top w:val="single" w:sz="8" w:color="CFF0FC"/>
            </w:tcBorders>
            <w:shd w:val="clear" w:color="auto" w:fill="CFF0FC"/>
          </w:tcPr>
          <w:p>
            <w:pPr>
              <w:spacing w:after="0"/>
              <w:rPr>
                <w:sz w:val="19"/>
                <w:szCs w:val="19"/>
                <w:color w:val="auto"/>
              </w:rPr>
            </w:pPr>
          </w:p>
        </w:tc>
        <w:tc>
          <w:tcPr>
            <w:tcW w:w="2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December 31, 2016</w:t>
            </w:r>
          </w:p>
        </w:tc>
        <w:tc>
          <w:tcPr>
            <w:tcW w:w="100" w:type="dxa"/>
            <w:vAlign w:val="bottom"/>
            <w:tcBorders>
              <w:top w:val="single" w:sz="8" w:color="CFF0FC"/>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February 1, 2017</w:t>
            </w:r>
          </w:p>
        </w:tc>
        <w:tc>
          <w:tcPr>
            <w:tcW w:w="10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122,836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February 22, 2017</w:t>
            </w:r>
          </w:p>
        </w:tc>
        <w:tc>
          <w:tcPr>
            <w:tcW w:w="300" w:type="dxa"/>
            <w:vAlign w:val="bottom"/>
          </w:tcPr>
          <w:p>
            <w:pPr>
              <w:spacing w:after="0"/>
              <w:rPr>
                <w:sz w:val="19"/>
                <w:szCs w:val="19"/>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Base</w:t>
            </w:r>
          </w:p>
        </w:tc>
        <w:tc>
          <w:tcPr>
            <w:tcW w:w="2100" w:type="dxa"/>
            <w:vAlign w:val="bottom"/>
            <w:gridSpan w:val="2"/>
          </w:tcPr>
          <w:p>
            <w:pPr>
              <w:jc w:val="right"/>
              <w:ind w:right="120"/>
              <w:spacing w:after="0"/>
              <w:rPr>
                <w:sz w:val="20"/>
                <w:szCs w:val="20"/>
                <w:color w:val="auto"/>
              </w:rPr>
            </w:pPr>
            <w:r>
              <w:rPr>
                <w:rFonts w:ascii="Arial" w:cs="Arial" w:eastAsia="Arial" w:hAnsi="Arial"/>
                <w:sz w:val="18"/>
                <w:szCs w:val="18"/>
                <w:color w:val="auto"/>
              </w:rPr>
              <w:t xml:space="preserve">April 7, 2017 </w:t>
            </w:r>
            <w:r>
              <w:rPr>
                <w:rFonts w:ascii="Arial" w:cs="Arial" w:eastAsia="Arial" w:hAnsi="Arial"/>
                <w:sz w:val="15"/>
                <w:szCs w:val="15"/>
                <w:color w:val="auto"/>
              </w:rPr>
              <w:t>(2)</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May 1, 2017</w:t>
            </w:r>
          </w:p>
        </w:tc>
        <w:tc>
          <w:tcPr>
            <w:tcW w:w="1480" w:type="dxa"/>
            <w:vAlign w:val="bottom"/>
          </w:tcPr>
          <w:p>
            <w:pPr>
              <w:jc w:val="right"/>
              <w:spacing w:after="0"/>
              <w:rPr>
                <w:sz w:val="20"/>
                <w:szCs w:val="20"/>
                <w:color w:val="auto"/>
              </w:rPr>
            </w:pPr>
            <w:r>
              <w:rPr>
                <w:rFonts w:ascii="Arial" w:cs="Arial" w:eastAsia="Arial" w:hAnsi="Arial"/>
                <w:sz w:val="18"/>
                <w:szCs w:val="18"/>
                <w:color w:val="auto"/>
              </w:rPr>
              <w:t>109,847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May 3, 2017</w:t>
            </w:r>
          </w:p>
        </w:tc>
        <w:tc>
          <w:tcPr>
            <w:tcW w:w="1420" w:type="dxa"/>
            <w:vAlign w:val="bottom"/>
            <w:gridSpan w:val="3"/>
            <w:shd w:val="clear" w:color="auto" w:fill="CFF0FC"/>
          </w:tcPr>
          <w:p>
            <w:pPr>
              <w:jc w:val="center"/>
              <w:ind w:left="90"/>
              <w:spacing w:after="0"/>
              <w:rPr>
                <w:sz w:val="20"/>
                <w:szCs w:val="20"/>
                <w:color w:val="auto"/>
              </w:rPr>
            </w:pPr>
            <w:r>
              <w:rPr>
                <w:rFonts w:ascii="Arial" w:cs="Arial" w:eastAsia="Arial" w:hAnsi="Arial"/>
                <w:sz w:val="18"/>
                <w:szCs w:val="18"/>
                <w:color w:val="auto"/>
                <w:w w:val="90"/>
              </w:rPr>
              <w:t>Supplemental</w:t>
            </w:r>
          </w:p>
        </w:tc>
        <w:tc>
          <w:tcPr>
            <w:tcW w:w="2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May 31, 2017</w:t>
            </w:r>
          </w:p>
        </w:tc>
        <w:tc>
          <w:tcPr>
            <w:tcW w:w="1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June 30, 2017</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May 3, 2017</w:t>
            </w:r>
          </w:p>
        </w:tc>
        <w:tc>
          <w:tcPr>
            <w:tcW w:w="300" w:type="dxa"/>
            <w:vAlign w:val="bottom"/>
          </w:tcPr>
          <w:p>
            <w:pPr>
              <w:spacing w:after="0"/>
              <w:rPr>
                <w:sz w:val="19"/>
                <w:szCs w:val="19"/>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Base</w:t>
            </w:r>
          </w:p>
        </w:tc>
        <w:tc>
          <w:tcPr>
            <w:tcW w:w="2100" w:type="dxa"/>
            <w:vAlign w:val="bottom"/>
            <w:gridSpan w:val="2"/>
          </w:tcPr>
          <w:p>
            <w:pPr>
              <w:jc w:val="right"/>
              <w:ind w:right="120"/>
              <w:spacing w:after="0"/>
              <w:rPr>
                <w:sz w:val="20"/>
                <w:szCs w:val="20"/>
                <w:color w:val="auto"/>
              </w:rPr>
            </w:pPr>
            <w:r>
              <w:rPr>
                <w:rFonts w:ascii="Arial" w:cs="Arial" w:eastAsia="Arial" w:hAnsi="Arial"/>
                <w:sz w:val="18"/>
                <w:szCs w:val="18"/>
                <w:color w:val="auto"/>
              </w:rPr>
              <w:t>June 15, 2017</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July 14, 2017</w:t>
            </w:r>
          </w:p>
        </w:tc>
        <w:tc>
          <w:tcPr>
            <w:tcW w:w="1480" w:type="dxa"/>
            <w:vAlign w:val="bottom"/>
          </w:tcPr>
          <w:p>
            <w:pPr>
              <w:jc w:val="right"/>
              <w:spacing w:after="0"/>
              <w:rPr>
                <w:sz w:val="20"/>
                <w:szCs w:val="20"/>
                <w:color w:val="auto"/>
              </w:rPr>
            </w:pPr>
            <w:r>
              <w:rPr>
                <w:rFonts w:ascii="Arial" w:cs="Arial" w:eastAsia="Arial" w:hAnsi="Arial"/>
                <w:sz w:val="18"/>
                <w:szCs w:val="18"/>
                <w:color w:val="auto"/>
              </w:rPr>
              <w:t>112,166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August 2, 2017</w:t>
            </w:r>
          </w:p>
        </w:tc>
        <w:tc>
          <w:tcPr>
            <w:tcW w:w="1420" w:type="dxa"/>
            <w:vAlign w:val="bottom"/>
            <w:gridSpan w:val="3"/>
            <w:shd w:val="clear" w:color="auto" w:fill="CFF0FC"/>
          </w:tcPr>
          <w:p>
            <w:pPr>
              <w:jc w:val="center"/>
              <w:ind w:left="90"/>
              <w:spacing w:after="0"/>
              <w:rPr>
                <w:sz w:val="20"/>
                <w:szCs w:val="20"/>
                <w:color w:val="auto"/>
              </w:rPr>
            </w:pPr>
            <w:r>
              <w:rPr>
                <w:rFonts w:ascii="Arial" w:cs="Arial" w:eastAsia="Arial" w:hAnsi="Arial"/>
                <w:sz w:val="18"/>
                <w:szCs w:val="18"/>
                <w:color w:val="auto"/>
                <w:w w:val="90"/>
              </w:rPr>
              <w:t>Supplemental</w:t>
            </w:r>
          </w:p>
        </w:tc>
        <w:tc>
          <w:tcPr>
            <w:tcW w:w="2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August 31, 2017</w:t>
            </w:r>
          </w:p>
        </w:tc>
        <w:tc>
          <w:tcPr>
            <w:tcW w:w="1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September 29, 2017</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26,515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383,150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 Note 11 for further information on base and supplemental dividends.</w:t>
      </w:r>
    </w:p>
    <w:p>
      <w:pPr>
        <w:spacing w:after="0" w:line="49" w:lineRule="exact"/>
        <w:rPr>
          <w:rFonts w:ascii="Arial" w:cs="Arial" w:eastAsia="Arial" w:hAnsi="Arial"/>
          <w:sz w:val="18"/>
          <w:szCs w:val="18"/>
          <w:color w:val="auto"/>
        </w:rPr>
      </w:pPr>
    </w:p>
    <w:p>
      <w:pPr>
        <w:ind w:left="520" w:hanging="512"/>
        <w:spacing w:after="0" w:line="259"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Subsequent to the declaration date, the record date for the dividend declared on February 22, 2017 was moved from its original date of March 31, 2017 to a revised date of April 7, 2017 in order to ensure compliance with notification requirements promulgated by the NYSE. The dividend payable associated with this declaration was recognized in the Company’s consolidated balance sheet as of March 31, 2017. There was no change to the dividend amount or payment date.</w:t>
      </w:r>
    </w:p>
    <w:p>
      <w:pPr>
        <w:spacing w:after="0" w:line="227" w:lineRule="exact"/>
        <w:rPr>
          <w:sz w:val="20"/>
          <w:szCs w:val="20"/>
          <w:color w:val="auto"/>
        </w:rPr>
      </w:pPr>
    </w:p>
    <w:p>
      <w:pPr>
        <w:ind w:right="500" w:firstLine="259"/>
        <w:spacing w:after="0" w:line="264" w:lineRule="auto"/>
        <w:rPr>
          <w:sz w:val="20"/>
          <w:szCs w:val="20"/>
          <w:color w:val="auto"/>
        </w:rPr>
      </w:pPr>
      <w:r>
        <w:rPr>
          <w:rFonts w:ascii="Arial" w:cs="Arial" w:eastAsia="Arial" w:hAnsi="Arial"/>
          <w:sz w:val="18"/>
          <w:szCs w:val="18"/>
          <w:color w:val="auto"/>
        </w:rPr>
        <w:t>On November 3, 2014, the Company’s Board approved a stock repurchase plan (the “Company 10b5-1 Plan”) to acquire up to $50 million in the aggregate of the Company’s common stock at prices just below the Company’s net asset value per share over a specified period, in accordance with the guidelines specified in Rule 10b-18 and Rule 10b5-1 of the Exchange Act.</w:t>
      </w:r>
    </w:p>
    <w:p>
      <w:pPr>
        <w:spacing w:after="0" w:line="181" w:lineRule="exact"/>
        <w:rPr>
          <w:sz w:val="20"/>
          <w:szCs w:val="20"/>
          <w:color w:val="auto"/>
        </w:rPr>
      </w:pPr>
    </w:p>
    <w:p>
      <w:pPr>
        <w:ind w:right="160" w:firstLine="259"/>
        <w:spacing w:after="0" w:line="272" w:lineRule="auto"/>
        <w:rPr>
          <w:sz w:val="20"/>
          <w:szCs w:val="20"/>
          <w:color w:val="auto"/>
        </w:rPr>
      </w:pPr>
      <w:r>
        <w:rPr>
          <w:rFonts w:ascii="Arial" w:cs="Arial" w:eastAsia="Arial" w:hAnsi="Arial"/>
          <w:sz w:val="17"/>
          <w:szCs w:val="17"/>
          <w:color w:val="auto"/>
        </w:rPr>
        <w:t>The Company 10b5-1 Plan is designed to allow the Company to repurchase its common stock at times when it otherwise might be prevented from doing so under insider trading laws. The Company 10b5-1 Plan requires Goldman Sachs &amp; Co. LLC, as agent, to repurchase shares of common stock on the Company’s behalf when the market price per share is below the most recently reported net asset value per share (including any updates, corrections or adjustments publicly announced by the Company to any previously announced net asset value per share). Under the Company 10b5-1 Plan, the agent will increase the volume of purchases made as the price of the Company’s common stock declines, subject to volume restrictions. The timing and amount of any stock repurchases depend on the terms and conditions of the Company 10b5-1 Plan, the market price of the common stock and trading volumes, and no assurance can be given that any particular amount of common stock will be repurchased.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0" w:name="page41"/>
    <w:bookmarkEnd w:id="40"/>
    <w:p>
      <w:pPr>
        <w:ind w:right="300" w:firstLine="259"/>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On August 1, 2018, the Board authorized the extension of the termination date of the Company 10b5-1 Plan to February 28, 2019. Unless extended or terminated by the Board, the Company 10b5-1 Plan will be in effect through the earlier of February 28, 2019 or such time as the current approved repurchase amount of up to $50 million has been fully utilized, subject to certain conditions.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During the three and nine months ended September 30, 2018 and 2017, no shares were repurchased under the Company 10b5-1 Plan.</w:t>
      </w:r>
    </w:p>
    <w:p>
      <w:pPr>
        <w:spacing w:after="0" w:line="370" w:lineRule="exact"/>
        <w:rPr>
          <w:sz w:val="20"/>
          <w:szCs w:val="20"/>
          <w:color w:val="auto"/>
        </w:rPr>
      </w:pPr>
    </w:p>
    <w:p>
      <w:pPr>
        <w:ind w:left="280" w:hanging="272"/>
        <w:spacing w:after="0"/>
        <w:tabs>
          <w:tab w:leader="none" w:pos="2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common share:</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5"/>
          </w:tcPr>
          <w:p>
            <w:pPr>
              <w:ind w:left="340"/>
              <w:spacing w:after="0"/>
              <w:rPr>
                <w:sz w:val="20"/>
                <w:szCs w:val="20"/>
                <w:color w:val="auto"/>
              </w:rPr>
            </w:pPr>
            <w:r>
              <w:rPr>
                <w:rFonts w:ascii="Arial" w:cs="Arial" w:eastAsia="Arial" w:hAnsi="Arial"/>
                <w:sz w:val="14"/>
                <w:szCs w:val="14"/>
                <w:b w:val="1"/>
                <w:bCs w:val="1"/>
                <w:color w:val="auto"/>
              </w:rPr>
              <w:t>Nine Months Ended</w:t>
            </w:r>
          </w:p>
        </w:tc>
      </w:tr>
      <w:tr>
        <w:trPr>
          <w:trHeight w:val="133"/>
        </w:trPr>
        <w:tc>
          <w:tcPr>
            <w:tcW w:w="3400" w:type="dxa"/>
            <w:vAlign w:val="bottom"/>
          </w:tcPr>
          <w:p>
            <w:pPr>
              <w:spacing w:after="0"/>
              <w:rPr>
                <w:sz w:val="11"/>
                <w:szCs w:val="11"/>
                <w:color w:val="auto"/>
              </w:rPr>
            </w:pPr>
          </w:p>
        </w:tc>
        <w:tc>
          <w:tcPr>
            <w:tcW w:w="1060" w:type="dxa"/>
            <w:vAlign w:val="bottom"/>
            <w:tcBorders>
              <w:top w:val="single" w:sz="8" w:color="auto"/>
            </w:tcBorders>
            <w:gridSpan w:val="3"/>
          </w:tcPr>
          <w:p>
            <w:pPr>
              <w:ind w:left="60"/>
              <w:spacing w:after="0" w:line="133" w:lineRule="exact"/>
              <w:rPr>
                <w:sz w:val="20"/>
                <w:szCs w:val="20"/>
                <w:color w:val="auto"/>
              </w:rPr>
            </w:pPr>
            <w:r>
              <w:rPr>
                <w:rFonts w:ascii="Arial" w:cs="Arial" w:eastAsia="Arial" w:hAnsi="Arial"/>
                <w:sz w:val="14"/>
                <w:szCs w:val="14"/>
                <w:b w:val="1"/>
                <w:bCs w:val="1"/>
                <w:color w:val="auto"/>
              </w:rPr>
              <w:t>September 30,</w:t>
            </w:r>
          </w:p>
        </w:tc>
        <w:tc>
          <w:tcPr>
            <w:tcW w:w="110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1"/>
                <w:szCs w:val="11"/>
                <w:color w:val="auto"/>
              </w:rPr>
            </w:pPr>
          </w:p>
        </w:tc>
        <w:tc>
          <w:tcPr>
            <w:tcW w:w="1080" w:type="dxa"/>
            <w:vAlign w:val="bottom"/>
            <w:tcBorders>
              <w:top w:val="single" w:sz="8" w:color="auto"/>
            </w:tcBorders>
            <w:gridSpan w:val="3"/>
          </w:tcPr>
          <w:p>
            <w:pPr>
              <w:ind w:left="60"/>
              <w:spacing w:after="0" w:line="133" w:lineRule="exact"/>
              <w:rPr>
                <w:sz w:val="20"/>
                <w:szCs w:val="20"/>
                <w:color w:val="auto"/>
              </w:rPr>
            </w:pPr>
            <w:r>
              <w:rPr>
                <w:rFonts w:ascii="Arial" w:cs="Arial" w:eastAsia="Arial" w:hAnsi="Arial"/>
                <w:sz w:val="14"/>
                <w:szCs w:val="14"/>
                <w:b w:val="1"/>
                <w:bCs w:val="1"/>
                <w:color w:val="auto"/>
              </w:rPr>
              <w:t>September 30,</w:t>
            </w:r>
          </w:p>
        </w:tc>
        <w:tc>
          <w:tcPr>
            <w:tcW w:w="110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1"/>
                <w:szCs w:val="11"/>
                <w:color w:val="auto"/>
              </w:rPr>
            </w:pPr>
          </w:p>
        </w:tc>
      </w:tr>
      <w:tr>
        <w:trPr>
          <w:trHeight w:val="171"/>
        </w:trPr>
        <w:tc>
          <w:tcPr>
            <w:tcW w:w="34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r>
      <w:tr>
        <w:trPr>
          <w:trHeight w:val="209"/>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Increase in net assets resulting from</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operations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37,380</w:t>
            </w: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24,759</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104,785</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84,863</w:t>
            </w:r>
          </w:p>
        </w:tc>
        <w:tc>
          <w:tcPr>
            <w:tcW w:w="80" w:type="dxa"/>
            <w:vAlign w:val="bottom"/>
            <w:shd w:val="clear" w:color="auto" w:fill="CFF0FC"/>
          </w:tcPr>
          <w:p>
            <w:pPr>
              <w:spacing w:after="0"/>
              <w:rPr>
                <w:sz w:val="20"/>
                <w:szCs w:val="20"/>
                <w:color w:val="auto"/>
              </w:rPr>
            </w:pPr>
          </w:p>
        </w:tc>
      </w:tr>
      <w:tr>
        <w:trPr>
          <w:trHeight w:val="215"/>
        </w:trPr>
        <w:tc>
          <w:tcPr>
            <w:tcW w:w="3400" w:type="dxa"/>
            <w:vAlign w:val="bottom"/>
          </w:tcPr>
          <w:p>
            <w:pPr>
              <w:spacing w:after="0"/>
              <w:rPr>
                <w:sz w:val="20"/>
                <w:szCs w:val="20"/>
                <w:color w:val="auto"/>
              </w:rPr>
            </w:pPr>
            <w:r>
              <w:rPr>
                <w:rFonts w:ascii="Arial" w:cs="Arial" w:eastAsia="Arial" w:hAnsi="Arial"/>
                <w:sz w:val="18"/>
                <w:szCs w:val="18"/>
                <w:color w:val="auto"/>
                <w:w w:val="97"/>
              </w:rPr>
              <w:t>Weighted average shares of common stock</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400" w:type="dxa"/>
            <w:vAlign w:val="bottom"/>
          </w:tcPr>
          <w:p>
            <w:pPr>
              <w:ind w:left="140"/>
              <w:spacing w:after="0"/>
              <w:rPr>
                <w:sz w:val="20"/>
                <w:szCs w:val="20"/>
                <w:color w:val="auto"/>
              </w:rPr>
            </w:pPr>
            <w:r>
              <w:rPr>
                <w:rFonts w:ascii="Arial" w:cs="Arial" w:eastAsia="Arial" w:hAnsi="Arial"/>
                <w:sz w:val="18"/>
                <w:szCs w:val="18"/>
                <w:color w:val="auto"/>
              </w:rPr>
              <w:t>outstanding—basic and diluted</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65,101,482</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60,057,567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63,582,506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59,923,323</w:t>
            </w:r>
          </w:p>
        </w:tc>
        <w:tc>
          <w:tcPr>
            <w:tcW w:w="80" w:type="dxa"/>
            <w:vAlign w:val="bottom"/>
          </w:tcPr>
          <w:p>
            <w:pPr>
              <w:spacing w:after="0"/>
              <w:rPr>
                <w:sz w:val="20"/>
                <w:szCs w:val="20"/>
                <w:color w:val="auto"/>
              </w:rPr>
            </w:pPr>
          </w:p>
        </w:tc>
      </w:tr>
      <w:tr>
        <w:trPr>
          <w:trHeight w:val="215"/>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Earnings per common share—basic and</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0.57</w:t>
            </w: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80" w:type="dxa"/>
            <w:vAlign w:val="bottom"/>
            <w:shd w:val="clear" w:color="auto" w:fill="CFF0FC"/>
          </w:tcPr>
          <w:p>
            <w:pPr>
              <w:spacing w:after="0"/>
              <w:rPr>
                <w:sz w:val="20"/>
                <w:szCs w:val="20"/>
                <w:color w:val="auto"/>
              </w:rPr>
            </w:pPr>
          </w:p>
        </w:tc>
      </w:tr>
    </w:tbl>
    <w:p>
      <w:pPr>
        <w:spacing w:after="0" w:line="242"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For the purpose of calculating diluted earnings per common share, the average closing price of the Company’s common stock for the three and nine months ended September 30, 2018 was less than the conversion price for the Convertible Notes outstanding as of September 30, 2018. Therefore, for all periods presented in the consolidated financial statements, the underlying shares for the intrinsic value of the embedded options in the Convertible Notes have no impact on the computation of diluted earnings per common share.</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Dividends</w:t>
      </w:r>
    </w:p>
    <w:p>
      <w:pPr>
        <w:spacing w:after="0" w:line="121"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The Company has historically paid a dividend to stockholders on a quarterly basis. Following the completion of the quarter ended March 31, 2017, the Company introduced a dividend framework that provides for a quarterly base dividend and a variable supplemental dividend, subject to satisfaction of certain measurement tests and the approval of the Board.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summarize dividends declared during the nine months ended September 30, 2018 and 2017:</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320" w:type="dxa"/>
            <w:vAlign w:val="bottom"/>
            <w:gridSpan w:val="3"/>
          </w:tcPr>
          <w:p>
            <w:pPr>
              <w:jc w:val="right"/>
              <w:ind w:right="633"/>
              <w:spacing w:after="0"/>
              <w:rPr>
                <w:sz w:val="20"/>
                <w:szCs w:val="20"/>
                <w:color w:val="auto"/>
              </w:rPr>
            </w:pPr>
            <w:r>
              <w:rPr>
                <w:rFonts w:ascii="Arial" w:cs="Arial" w:eastAsia="Arial" w:hAnsi="Arial"/>
                <w:sz w:val="14"/>
                <w:szCs w:val="14"/>
                <w:b w:val="1"/>
                <w:bCs w:val="1"/>
                <w:color w:val="auto"/>
              </w:rPr>
              <w:t>Nine Months Ended</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0" w:type="dxa"/>
            <w:vAlign w:val="bottom"/>
          </w:tcPr>
          <w:p>
            <w:pPr>
              <w:spacing w:after="0"/>
              <w:rPr>
                <w:sz w:val="14"/>
                <w:szCs w:val="14"/>
                <w:color w:val="auto"/>
              </w:rPr>
            </w:pPr>
          </w:p>
        </w:tc>
        <w:tc>
          <w:tcPr>
            <w:tcW w:w="294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3"/>
          </w:tcPr>
          <w:p>
            <w:pPr>
              <w:jc w:val="right"/>
              <w:ind w:right="653"/>
              <w:spacing w:after="0"/>
              <w:rPr>
                <w:sz w:val="20"/>
                <w:szCs w:val="20"/>
                <w:color w:val="auto"/>
              </w:rPr>
            </w:pPr>
            <w:r>
              <w:rPr>
                <w:rFonts w:ascii="Arial" w:cs="Arial" w:eastAsia="Arial" w:hAnsi="Arial"/>
                <w:sz w:val="14"/>
                <w:szCs w:val="14"/>
                <w:b w:val="1"/>
                <w:bCs w:val="1"/>
                <w:color w:val="auto"/>
              </w:rPr>
              <w:t>September 30, 2018</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2940" w:type="dxa"/>
            <w:vAlign w:val="bottom"/>
            <w:vMerge w:val="continue"/>
          </w:tcPr>
          <w:p>
            <w:pPr>
              <w:spacing w:after="0"/>
              <w:rPr>
                <w:sz w:val="13"/>
                <w:szCs w:val="13"/>
                <w:color w:val="auto"/>
              </w:rPr>
            </w:pPr>
          </w:p>
        </w:tc>
        <w:tc>
          <w:tcPr>
            <w:tcW w:w="1220" w:type="dxa"/>
            <w:vAlign w:val="bottom"/>
            <w:gridSpan w:val="2"/>
          </w:tcPr>
          <w:p>
            <w:pPr>
              <w:jc w:val="center"/>
              <w:ind w:right="60"/>
              <w:spacing w:after="0" w:line="155" w:lineRule="exact"/>
              <w:rPr>
                <w:sz w:val="20"/>
                <w:szCs w:val="20"/>
                <w:color w:val="auto"/>
              </w:rPr>
            </w:pPr>
            <w:r>
              <w:rPr>
                <w:rFonts w:ascii="Arial" w:cs="Arial" w:eastAsia="Arial" w:hAnsi="Arial"/>
                <w:sz w:val="14"/>
                <w:szCs w:val="14"/>
                <w:b w:val="1"/>
                <w:bCs w:val="1"/>
                <w:color w:val="auto"/>
                <w:w w:val="94"/>
              </w:rPr>
              <w:t>Dividend</w:t>
            </w:r>
          </w:p>
        </w:tc>
        <w:tc>
          <w:tcPr>
            <w:tcW w:w="1980" w:type="dxa"/>
            <w:vAlign w:val="bottom"/>
            <w:gridSpan w:val="2"/>
          </w:tcPr>
          <w:p>
            <w:pPr>
              <w:ind w:left="560"/>
              <w:spacing w:after="0" w:line="155" w:lineRule="exact"/>
              <w:rPr>
                <w:sz w:val="20"/>
                <w:szCs w:val="20"/>
                <w:color w:val="auto"/>
              </w:rPr>
            </w:pPr>
            <w:r>
              <w:rPr>
                <w:rFonts w:ascii="Arial" w:cs="Arial" w:eastAsia="Arial" w:hAnsi="Arial"/>
                <w:sz w:val="14"/>
                <w:szCs w:val="14"/>
                <w:b w:val="1"/>
                <w:bCs w:val="1"/>
                <w:color w:val="auto"/>
              </w:rPr>
              <w:t>Record Date</w:t>
            </w:r>
          </w:p>
        </w:tc>
        <w:tc>
          <w:tcPr>
            <w:tcW w:w="13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Payment Date</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ind w:right="32"/>
              <w:spacing w:after="0" w:line="155" w:lineRule="exact"/>
              <w:rPr>
                <w:sz w:val="20"/>
                <w:szCs w:val="20"/>
                <w:color w:val="auto"/>
              </w:rPr>
            </w:pPr>
            <w:r>
              <w:rPr>
                <w:rFonts w:ascii="Arial" w:cs="Arial" w:eastAsia="Arial" w:hAnsi="Arial"/>
                <w:sz w:val="14"/>
                <w:szCs w:val="14"/>
                <w:b w:val="1"/>
                <w:bCs w:val="1"/>
                <w:color w:val="auto"/>
                <w:w w:val="92"/>
              </w:rPr>
              <w:t>Dividend per Share</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2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21, 2018</w:t>
            </w:r>
          </w:p>
        </w:tc>
        <w:tc>
          <w:tcPr>
            <w:tcW w:w="11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Supplemental</w:t>
            </w:r>
          </w:p>
        </w:tc>
        <w:tc>
          <w:tcPr>
            <w:tcW w:w="60" w:type="dxa"/>
            <w:vAlign w:val="bottom"/>
            <w:tcBorders>
              <w:top w:val="single" w:sz="8" w:color="CFF0FC"/>
            </w:tcBorders>
            <w:shd w:val="clear" w:color="auto" w:fill="CFF0FC"/>
          </w:tcPr>
          <w:p>
            <w:pPr>
              <w:spacing w:after="0"/>
              <w:rPr>
                <w:sz w:val="19"/>
                <w:szCs w:val="19"/>
                <w:color w:val="auto"/>
              </w:rPr>
            </w:pPr>
          </w:p>
        </w:tc>
        <w:tc>
          <w:tcPr>
            <w:tcW w:w="1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February 28, 2018</w:t>
            </w:r>
          </w:p>
        </w:tc>
        <w:tc>
          <w:tcPr>
            <w:tcW w:w="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30,</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2018</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80" w:type="dxa"/>
            <w:vAlign w:val="bottom"/>
            <w:tcBorders>
              <w:top w:val="single" w:sz="8" w:color="CFF0FC"/>
            </w:tcBorders>
            <w:shd w:val="clear" w:color="auto" w:fill="CFF0FC"/>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February 21, 2018</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color w:val="auto"/>
                <w:w w:val="82"/>
              </w:rPr>
              <w:t>Base</w:t>
            </w:r>
          </w:p>
        </w:tc>
        <w:tc>
          <w:tcPr>
            <w:tcW w:w="1980" w:type="dxa"/>
            <w:vAlign w:val="bottom"/>
            <w:gridSpan w:val="2"/>
          </w:tcPr>
          <w:p>
            <w:pPr>
              <w:jc w:val="right"/>
              <w:ind w:right="80"/>
              <w:spacing w:after="0"/>
              <w:rPr>
                <w:sz w:val="20"/>
                <w:szCs w:val="20"/>
                <w:color w:val="auto"/>
              </w:rPr>
            </w:pPr>
            <w:r>
              <w:rPr>
                <w:rFonts w:ascii="Arial" w:cs="Arial" w:eastAsia="Arial" w:hAnsi="Arial"/>
                <w:sz w:val="18"/>
                <w:szCs w:val="18"/>
                <w:color w:val="auto"/>
              </w:rPr>
              <w:t>March 15, 2018</w:t>
            </w:r>
          </w:p>
        </w:tc>
        <w:tc>
          <w:tcPr>
            <w:tcW w:w="1340" w:type="dxa"/>
            <w:vAlign w:val="bottom"/>
          </w:tcPr>
          <w:p>
            <w:pPr>
              <w:jc w:val="right"/>
              <w:spacing w:after="0"/>
              <w:rPr>
                <w:sz w:val="20"/>
                <w:szCs w:val="20"/>
                <w:color w:val="auto"/>
              </w:rPr>
            </w:pPr>
            <w:r>
              <w:rPr>
                <w:rFonts w:ascii="Arial" w:cs="Arial" w:eastAsia="Arial" w:hAnsi="Arial"/>
                <w:sz w:val="18"/>
                <w:szCs w:val="18"/>
                <w:color w:val="auto"/>
              </w:rPr>
              <w:t>April 13,</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2018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May 3, 2018</w:t>
            </w:r>
          </w:p>
        </w:tc>
        <w:tc>
          <w:tcPr>
            <w:tcW w:w="122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89"/>
              </w:rPr>
              <w:t>Supplemental</w:t>
            </w:r>
          </w:p>
        </w:tc>
        <w:tc>
          <w:tcPr>
            <w:tcW w:w="1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May 31, 2018</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June 29,</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2018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FF0FC"/>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May 3, 2018</w:t>
            </w:r>
          </w:p>
        </w:tc>
        <w:tc>
          <w:tcPr>
            <w:tcW w:w="1220" w:type="dxa"/>
            <w:vAlign w:val="bottom"/>
            <w:gridSpan w:val="2"/>
          </w:tcPr>
          <w:p>
            <w:pPr>
              <w:jc w:val="center"/>
              <w:ind w:right="80"/>
              <w:spacing w:after="0"/>
              <w:rPr>
                <w:sz w:val="20"/>
                <w:szCs w:val="20"/>
                <w:color w:val="auto"/>
              </w:rPr>
            </w:pPr>
            <w:r>
              <w:rPr>
                <w:rFonts w:ascii="Arial" w:cs="Arial" w:eastAsia="Arial" w:hAnsi="Arial"/>
                <w:sz w:val="18"/>
                <w:szCs w:val="18"/>
                <w:color w:val="auto"/>
                <w:w w:val="82"/>
              </w:rPr>
              <w:t>Base</w:t>
            </w:r>
          </w:p>
        </w:tc>
        <w:tc>
          <w:tcPr>
            <w:tcW w:w="1980" w:type="dxa"/>
            <w:vAlign w:val="bottom"/>
            <w:gridSpan w:val="2"/>
          </w:tcPr>
          <w:p>
            <w:pPr>
              <w:jc w:val="right"/>
              <w:ind w:right="80"/>
              <w:spacing w:after="0"/>
              <w:rPr>
                <w:sz w:val="20"/>
                <w:szCs w:val="20"/>
                <w:color w:val="auto"/>
              </w:rPr>
            </w:pPr>
            <w:r>
              <w:rPr>
                <w:rFonts w:ascii="Arial" w:cs="Arial" w:eastAsia="Arial" w:hAnsi="Arial"/>
                <w:sz w:val="18"/>
                <w:szCs w:val="18"/>
                <w:color w:val="auto"/>
              </w:rPr>
              <w:t>June 15, 2018</w:t>
            </w:r>
          </w:p>
        </w:tc>
        <w:tc>
          <w:tcPr>
            <w:tcW w:w="1340" w:type="dxa"/>
            <w:vAlign w:val="bottom"/>
          </w:tcPr>
          <w:p>
            <w:pPr>
              <w:jc w:val="right"/>
              <w:spacing w:after="0"/>
              <w:rPr>
                <w:sz w:val="20"/>
                <w:szCs w:val="20"/>
                <w:color w:val="auto"/>
              </w:rPr>
            </w:pPr>
            <w:r>
              <w:rPr>
                <w:rFonts w:ascii="Arial" w:cs="Arial" w:eastAsia="Arial" w:hAnsi="Arial"/>
                <w:sz w:val="18"/>
                <w:szCs w:val="18"/>
                <w:color w:val="auto"/>
              </w:rPr>
              <w:t>July 13,</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2018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August 1, 2018</w:t>
            </w:r>
          </w:p>
        </w:tc>
        <w:tc>
          <w:tcPr>
            <w:tcW w:w="122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89"/>
              </w:rPr>
              <w:t>Supplemental</w:t>
            </w:r>
          </w:p>
        </w:tc>
        <w:tc>
          <w:tcPr>
            <w:tcW w:w="1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August 31, 2018</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September 28,</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2018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FF0FC"/>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2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August 1, 2018</w:t>
            </w:r>
          </w:p>
        </w:tc>
        <w:tc>
          <w:tcPr>
            <w:tcW w:w="1220" w:type="dxa"/>
            <w:vAlign w:val="bottom"/>
            <w:tcBorders>
              <w:bottom w:val="single" w:sz="8" w:color="CFF0FC"/>
            </w:tcBorders>
            <w:gridSpan w:val="2"/>
          </w:tcPr>
          <w:p>
            <w:pPr>
              <w:jc w:val="center"/>
              <w:ind w:right="80"/>
              <w:spacing w:after="0"/>
              <w:rPr>
                <w:sz w:val="20"/>
                <w:szCs w:val="20"/>
                <w:color w:val="auto"/>
              </w:rPr>
            </w:pPr>
            <w:r>
              <w:rPr>
                <w:rFonts w:ascii="Arial" w:cs="Arial" w:eastAsia="Arial" w:hAnsi="Arial"/>
                <w:sz w:val="18"/>
                <w:szCs w:val="18"/>
                <w:color w:val="auto"/>
                <w:w w:val="82"/>
              </w:rPr>
              <w:t>Base</w:t>
            </w:r>
          </w:p>
        </w:tc>
        <w:tc>
          <w:tcPr>
            <w:tcW w:w="198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September 14, 2018</w:t>
            </w: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October 15,</w:t>
            </w:r>
          </w:p>
        </w:tc>
        <w:tc>
          <w:tcPr>
            <w:tcW w:w="3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89"/>
              </w:rPr>
              <w:t>2018</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80" w:type="dxa"/>
            <w:vAlign w:val="bottom"/>
            <w:tcBorders>
              <w:bottom w:val="single" w:sz="8" w:color="CFF0FC"/>
            </w:tcBorders>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29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Dividends Declared</w:t>
            </w:r>
          </w:p>
        </w:tc>
        <w:tc>
          <w:tcPr>
            <w:tcW w:w="116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9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80" w:type="dxa"/>
            <w:vAlign w:val="bottom"/>
            <w:tcBorders>
              <w:bottom w:val="single" w:sz="8" w:color="CFF0FC"/>
            </w:tcBorders>
            <w:shd w:val="clear" w:color="auto" w:fill="CFF0FC"/>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vMerge w:val="restart"/>
          </w:tcPr>
          <w:p>
            <w:pPr>
              <w:jc w:val="right"/>
              <w:ind w:right="1195"/>
              <w:spacing w:after="0"/>
              <w:rPr>
                <w:sz w:val="20"/>
                <w:szCs w:val="20"/>
                <w:color w:val="auto"/>
              </w:rPr>
            </w:pPr>
            <w:r>
              <w:rPr>
                <w:rFonts w:ascii="Arial" w:cs="Arial" w:eastAsia="Arial" w:hAnsi="Arial"/>
                <w:sz w:val="18"/>
                <w:szCs w:val="18"/>
                <w:color w:val="auto"/>
              </w:rPr>
              <w:t>41</w:t>
            </w: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0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41" w:name="page42"/>
    <w:bookmarkEnd w:id="41"/>
    <w:tbl>
      <w:tblPr>
        <w:tblLayout w:type="fixed"/>
        <w:tblInd w:w="102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60" w:type="dxa"/>
            <w:vAlign w:val="bottom"/>
            <w:gridSpan w:val="3"/>
          </w:tcPr>
          <w:p>
            <w:pPr>
              <w:jc w:val="right"/>
              <w:ind w:right="613"/>
              <w:spacing w:after="0"/>
              <w:rPr>
                <w:sz w:val="20"/>
                <w:szCs w:val="20"/>
                <w:color w:val="auto"/>
              </w:rPr>
            </w:pPr>
            <w:r>
              <w:rPr>
                <w:rFonts w:ascii="Arial" w:cs="Arial" w:eastAsia="Arial" w:hAnsi="Arial"/>
                <w:sz w:val="14"/>
                <w:szCs w:val="14"/>
                <w:b w:val="1"/>
                <w:bCs w:val="1"/>
                <w:color w:val="auto"/>
              </w:rPr>
              <w:t>Nine Months Ended</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4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3"/>
          </w:tcPr>
          <w:p>
            <w:pPr>
              <w:jc w:val="right"/>
              <w:ind w:right="633"/>
              <w:spacing w:after="0"/>
              <w:rPr>
                <w:sz w:val="20"/>
                <w:szCs w:val="20"/>
                <w:color w:val="auto"/>
              </w:rPr>
            </w:pPr>
            <w:r>
              <w:rPr>
                <w:rFonts w:ascii="Arial" w:cs="Arial" w:eastAsia="Arial" w:hAnsi="Arial"/>
                <w:sz w:val="14"/>
                <w:szCs w:val="14"/>
                <w:b w:val="1"/>
                <w:bCs w:val="1"/>
                <w:color w:val="auto"/>
              </w:rPr>
              <w:t>September 30, 2017</w:t>
            </w: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40" w:type="dxa"/>
            <w:vAlign w:val="bottom"/>
            <w:vMerge w:val="continue"/>
          </w:tcPr>
          <w:p>
            <w:pPr>
              <w:spacing w:after="0"/>
              <w:rPr>
                <w:sz w:val="13"/>
                <w:szCs w:val="13"/>
                <w:color w:val="auto"/>
              </w:rPr>
            </w:pPr>
          </w:p>
        </w:tc>
        <w:tc>
          <w:tcPr>
            <w:tcW w:w="124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w w:val="94"/>
              </w:rPr>
              <w:t>Dividend</w:t>
            </w:r>
          </w:p>
        </w:tc>
        <w:tc>
          <w:tcPr>
            <w:tcW w:w="1960" w:type="dxa"/>
            <w:vAlign w:val="bottom"/>
            <w:gridSpan w:val="2"/>
          </w:tcPr>
          <w:p>
            <w:pPr>
              <w:ind w:left="560"/>
              <w:spacing w:after="0" w:line="155" w:lineRule="exact"/>
              <w:rPr>
                <w:sz w:val="20"/>
                <w:szCs w:val="20"/>
                <w:color w:val="auto"/>
              </w:rPr>
            </w:pPr>
            <w:r>
              <w:rPr>
                <w:rFonts w:ascii="Arial" w:cs="Arial" w:eastAsia="Arial" w:hAnsi="Arial"/>
                <w:sz w:val="14"/>
                <w:szCs w:val="14"/>
                <w:b w:val="1"/>
                <w:bCs w:val="1"/>
                <w:color w:val="auto"/>
              </w:rPr>
              <w:t>Record Date</w:t>
            </w:r>
          </w:p>
        </w:tc>
        <w:tc>
          <w:tcPr>
            <w:tcW w:w="13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Payment Date</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jc w:val="right"/>
              <w:ind w:right="33"/>
              <w:spacing w:after="0" w:line="155" w:lineRule="exact"/>
              <w:rPr>
                <w:sz w:val="20"/>
                <w:szCs w:val="20"/>
                <w:color w:val="auto"/>
              </w:rPr>
            </w:pPr>
            <w:r>
              <w:rPr>
                <w:rFonts w:ascii="Arial" w:cs="Arial" w:eastAsia="Arial" w:hAnsi="Arial"/>
                <w:sz w:val="14"/>
                <w:szCs w:val="14"/>
                <w:b w:val="1"/>
                <w:bCs w:val="1"/>
                <w:color w:val="auto"/>
                <w:w w:val="92"/>
              </w:rPr>
              <w:t>Dividend per Share</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22, 2017</w:t>
            </w:r>
          </w:p>
        </w:tc>
        <w:tc>
          <w:tcPr>
            <w:tcW w:w="11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2"/>
              </w:rPr>
              <w:t>Base</w:t>
            </w:r>
          </w:p>
        </w:tc>
        <w:tc>
          <w:tcPr>
            <w:tcW w:w="80" w:type="dxa"/>
            <w:vAlign w:val="bottom"/>
            <w:tcBorders>
              <w:top w:val="single" w:sz="8" w:color="CFF0FC"/>
            </w:tcBorders>
            <w:shd w:val="clear" w:color="auto" w:fill="CFF0FC"/>
          </w:tcPr>
          <w:p>
            <w:pPr>
              <w:spacing w:after="0"/>
              <w:rPr>
                <w:sz w:val="19"/>
                <w:szCs w:val="19"/>
                <w:color w:val="auto"/>
              </w:rPr>
            </w:pPr>
          </w:p>
        </w:tc>
        <w:tc>
          <w:tcPr>
            <w:tcW w:w="1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xml:space="preserve">April 7, 2017 </w:t>
            </w:r>
            <w:r>
              <w:rPr>
                <w:rFonts w:ascii="Arial" w:cs="Arial" w:eastAsia="Arial" w:hAnsi="Arial"/>
                <w:sz w:val="15"/>
                <w:szCs w:val="15"/>
                <w:color w:val="auto"/>
              </w:rPr>
              <w:t>(1)</w:t>
            </w:r>
          </w:p>
        </w:tc>
        <w:tc>
          <w:tcPr>
            <w:tcW w:w="6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April 28,</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2017</w:t>
            </w: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May 3, 2017</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Supplemental</w:t>
            </w:r>
          </w:p>
        </w:tc>
        <w:tc>
          <w:tcPr>
            <w:tcW w:w="1960" w:type="dxa"/>
            <w:vAlign w:val="bottom"/>
            <w:gridSpan w:val="2"/>
          </w:tcPr>
          <w:p>
            <w:pPr>
              <w:jc w:val="right"/>
              <w:ind w:right="80"/>
              <w:spacing w:after="0"/>
              <w:rPr>
                <w:sz w:val="20"/>
                <w:szCs w:val="20"/>
                <w:color w:val="auto"/>
              </w:rPr>
            </w:pPr>
            <w:r>
              <w:rPr>
                <w:rFonts w:ascii="Arial" w:cs="Arial" w:eastAsia="Arial" w:hAnsi="Arial"/>
                <w:sz w:val="18"/>
                <w:szCs w:val="18"/>
                <w:color w:val="auto"/>
              </w:rPr>
              <w:t>May 31, 2017</w:t>
            </w:r>
          </w:p>
        </w:tc>
        <w:tc>
          <w:tcPr>
            <w:tcW w:w="1300" w:type="dxa"/>
            <w:vAlign w:val="bottom"/>
          </w:tcPr>
          <w:p>
            <w:pPr>
              <w:jc w:val="right"/>
              <w:spacing w:after="0"/>
              <w:rPr>
                <w:sz w:val="20"/>
                <w:szCs w:val="20"/>
                <w:color w:val="auto"/>
              </w:rPr>
            </w:pPr>
            <w:r>
              <w:rPr>
                <w:rFonts w:ascii="Arial" w:cs="Arial" w:eastAsia="Arial" w:hAnsi="Arial"/>
                <w:sz w:val="18"/>
                <w:szCs w:val="18"/>
                <w:color w:val="auto"/>
              </w:rPr>
              <w:t>June 30,</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2017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May 3, 2017</w:t>
            </w:r>
          </w:p>
        </w:tc>
        <w:tc>
          <w:tcPr>
            <w:tcW w:w="124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82"/>
              </w:rPr>
              <w:t>Base</w:t>
            </w:r>
          </w:p>
        </w:tc>
        <w:tc>
          <w:tcPr>
            <w:tcW w:w="1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June 15, 2017</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July 14,</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2017</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August 2, 2017</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Supplemental</w:t>
            </w:r>
          </w:p>
        </w:tc>
        <w:tc>
          <w:tcPr>
            <w:tcW w:w="1960" w:type="dxa"/>
            <w:vAlign w:val="bottom"/>
            <w:gridSpan w:val="2"/>
          </w:tcPr>
          <w:p>
            <w:pPr>
              <w:jc w:val="right"/>
              <w:ind w:right="80"/>
              <w:spacing w:after="0"/>
              <w:rPr>
                <w:sz w:val="20"/>
                <w:szCs w:val="20"/>
                <w:color w:val="auto"/>
              </w:rPr>
            </w:pPr>
            <w:r>
              <w:rPr>
                <w:rFonts w:ascii="Arial" w:cs="Arial" w:eastAsia="Arial" w:hAnsi="Arial"/>
                <w:sz w:val="18"/>
                <w:szCs w:val="18"/>
                <w:color w:val="auto"/>
              </w:rPr>
              <w:t>August 31, 2017</w:t>
            </w:r>
          </w:p>
        </w:tc>
        <w:tc>
          <w:tcPr>
            <w:tcW w:w="1300" w:type="dxa"/>
            <w:vAlign w:val="bottom"/>
          </w:tcPr>
          <w:p>
            <w:pPr>
              <w:jc w:val="right"/>
              <w:spacing w:after="0"/>
              <w:rPr>
                <w:sz w:val="20"/>
                <w:szCs w:val="20"/>
                <w:color w:val="auto"/>
              </w:rPr>
            </w:pPr>
            <w:r>
              <w:rPr>
                <w:rFonts w:ascii="Arial" w:cs="Arial" w:eastAsia="Arial" w:hAnsi="Arial"/>
                <w:sz w:val="18"/>
                <w:szCs w:val="18"/>
                <w:color w:val="auto"/>
              </w:rPr>
              <w:t>September 29,</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2017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August 2, 2017</w:t>
            </w:r>
          </w:p>
        </w:tc>
        <w:tc>
          <w:tcPr>
            <w:tcW w:w="124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82"/>
              </w:rPr>
              <w:t>Base</w:t>
            </w:r>
          </w:p>
        </w:tc>
        <w:tc>
          <w:tcPr>
            <w:tcW w:w="1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September 15, 2017</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October 13,</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2017</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40" w:type="dxa"/>
            <w:vAlign w:val="bottom"/>
          </w:tcPr>
          <w:p>
            <w:pPr>
              <w:ind w:left="240"/>
              <w:spacing w:after="0"/>
              <w:rPr>
                <w:sz w:val="20"/>
                <w:szCs w:val="20"/>
                <w:color w:val="auto"/>
              </w:rPr>
            </w:pPr>
            <w:r>
              <w:rPr>
                <w:rFonts w:ascii="Arial" w:cs="Arial" w:eastAsia="Arial" w:hAnsi="Arial"/>
                <w:sz w:val="18"/>
                <w:szCs w:val="18"/>
                <w:b w:val="1"/>
                <w:bCs w:val="1"/>
                <w:color w:val="auto"/>
              </w:rPr>
              <w:t>Total Dividends Declared</w:t>
            </w: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hanging="512"/>
        <w:spacing w:after="0" w:line="259"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Subsequent to the declaration date, the record date for the dividend declared on February 22, 2017 was moved from its original date of March 31, 2017 to a revised date of April 7, 2017 in order to ensure compliance with notification requirements promulgated by the NYSE. The dividend payable associated with this declaration was recognized in the Company’s consolidated balance sheet as of March 31, 2017. There was no change to the dividend amount or payment date.</w:t>
      </w:r>
    </w:p>
    <w:p>
      <w:pPr>
        <w:spacing w:after="0" w:line="227"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color w:val="auto"/>
        </w:rPr>
        <w:t>The dividends declared during the three and nine months ended September 30, 2018 and 2017 were derived from net investment income, determined on a tax basis.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Financial Highlights</w:t>
      </w:r>
    </w:p>
    <w:p>
      <w:pPr>
        <w:spacing w:after="0" w:line="121" w:lineRule="exact"/>
        <w:rPr>
          <w:sz w:val="20"/>
          <w:szCs w:val="20"/>
          <w:color w:val="auto"/>
        </w:rPr>
      </w:pPr>
    </w:p>
    <w:p>
      <w:pPr>
        <w:ind w:right="460" w:firstLine="259"/>
        <w:spacing w:after="0" w:line="308" w:lineRule="auto"/>
        <w:rPr>
          <w:sz w:val="20"/>
          <w:szCs w:val="20"/>
          <w:color w:val="auto"/>
        </w:rPr>
      </w:pPr>
      <w:r>
        <w:rPr>
          <w:rFonts w:ascii="Arial" w:cs="Arial" w:eastAsia="Arial" w:hAnsi="Arial"/>
          <w:sz w:val="17"/>
          <w:szCs w:val="17"/>
          <w:color w:val="auto"/>
        </w:rPr>
        <w:t>The following per share data and ratios have been derived from information provided in the consolidated financial statements. The following are the financial highlights for one share of common stock outstanding during the nine months ended September 30, 2018 and 2017.</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September 30, 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15"/>
                <w:szCs w:val="15"/>
                <w:b w:val="1"/>
                <w:bCs w:val="1"/>
                <w:color w:val="auto"/>
              </w:rPr>
              <w:t>(7)</w:t>
            </w:r>
          </w:p>
        </w:tc>
        <w:tc>
          <w:tcPr>
            <w:tcW w:w="9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1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16.09</w:t>
            </w:r>
          </w:p>
        </w:tc>
        <w:tc>
          <w:tcPr>
            <w:tcW w:w="260" w:type="dxa"/>
            <w:vAlign w:val="bottom"/>
          </w:tcPr>
          <w:p>
            <w:pPr>
              <w:spacing w:after="0"/>
              <w:rPr>
                <w:sz w:val="19"/>
                <w:szCs w:val="19"/>
                <w:color w:val="auto"/>
              </w:rPr>
            </w:pP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15.95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(1)</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1.57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Net realized and unrealized</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gain (loss) </w:t>
            </w:r>
            <w:r>
              <w:rPr>
                <w:rFonts w:ascii="Arial" w:cs="Arial" w:eastAsia="Arial" w:hAnsi="Arial"/>
                <w:sz w:val="15"/>
                <w:szCs w:val="15"/>
                <w:color w:val="auto"/>
              </w:rPr>
              <w:t>(1)</w:t>
            </w: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Total from operations</w:t>
            </w:r>
          </w:p>
        </w:tc>
        <w:tc>
          <w:tcPr>
            <w:tcW w:w="9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net of</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offering costs </w:t>
            </w:r>
            <w:r>
              <w:rPr>
                <w:rFonts w:ascii="Arial" w:cs="Arial" w:eastAsia="Arial" w:hAnsi="Arial"/>
                <w:sz w:val="15"/>
                <w:szCs w:val="15"/>
                <w:color w:val="auto"/>
              </w:rPr>
              <w:t>(2)</w:t>
            </w: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Dividends declared from net</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Pr>
          <w:p>
            <w:pPr>
              <w:ind w:left="120"/>
              <w:spacing w:after="0"/>
              <w:rPr>
                <w:sz w:val="20"/>
                <w:szCs w:val="20"/>
                <w:color w:val="auto"/>
              </w:rPr>
            </w:pPr>
            <w:r>
              <w:rPr>
                <w:rFonts w:ascii="Arial" w:cs="Arial" w:eastAsia="Arial" w:hAnsi="Arial"/>
                <w:sz w:val="18"/>
                <w:szCs w:val="18"/>
                <w:color w:val="auto"/>
              </w:rPr>
              <w:t xml:space="preserve">investment income </w:t>
            </w:r>
            <w:r>
              <w:rPr>
                <w:rFonts w:ascii="Arial" w:cs="Arial" w:eastAsia="Arial" w:hAnsi="Arial"/>
                <w:sz w:val="15"/>
                <w:szCs w:val="15"/>
                <w:color w:val="auto"/>
              </w:rPr>
              <w:t>(2)</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gridSpan w:val="2"/>
          </w:tcPr>
          <w:p>
            <w:pPr>
              <w:jc w:val="right"/>
              <w:ind w:right="20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increase in net</w:t>
            </w:r>
          </w:p>
        </w:tc>
        <w:tc>
          <w:tcPr>
            <w:tcW w:w="9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assets</w:t>
            </w:r>
          </w:p>
        </w:tc>
        <w:tc>
          <w:tcPr>
            <w:tcW w:w="96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Net Asset Value, End of Period</w:t>
            </w:r>
          </w:p>
        </w:tc>
        <w:tc>
          <w:tcPr>
            <w:tcW w:w="96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16.47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16.09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Per share market value at end of</w:t>
            </w:r>
          </w:p>
        </w:tc>
        <w:tc>
          <w:tcPr>
            <w:tcW w:w="9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period</w:t>
            </w:r>
          </w:p>
        </w:tc>
        <w:tc>
          <w:tcPr>
            <w:tcW w:w="11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20.39</w:t>
            </w:r>
          </w:p>
        </w:tc>
        <w:tc>
          <w:tcPr>
            <w:tcW w:w="26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20.96</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 xml:space="preserve">Total return based on market value </w:t>
            </w:r>
            <w:r>
              <w:rPr>
                <w:rFonts w:ascii="Arial" w:cs="Arial" w:eastAsia="Arial" w:hAnsi="Arial"/>
                <w:sz w:val="15"/>
                <w:szCs w:val="15"/>
                <w:color w:val="auto"/>
              </w:rPr>
              <w:t>(3)</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9.75%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2"/>
          </w:tcPr>
          <w:p>
            <w:pPr>
              <w:jc w:val="right"/>
              <w:ind w:right="20"/>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Total return based on net asset</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value </w:t>
            </w:r>
            <w:r>
              <w:rPr>
                <w:rFonts w:ascii="Arial" w:cs="Arial" w:eastAsia="Arial" w:hAnsi="Arial"/>
                <w:sz w:val="15"/>
                <w:szCs w:val="15"/>
                <w:color w:val="auto"/>
              </w:rPr>
              <w:t>(4)</w:t>
            </w: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10.69%</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Shares Outstanding, End of Period</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65,168,251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60,099,355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Ratios / Supplemental Data </w:t>
            </w:r>
            <w:r>
              <w:rPr>
                <w:rFonts w:ascii="Arial" w:cs="Arial" w:eastAsia="Arial" w:hAnsi="Arial"/>
                <w:sz w:val="15"/>
                <w:szCs w:val="15"/>
                <w:b w:val="1"/>
                <w:bCs w:val="1"/>
                <w:color w:val="auto"/>
              </w:rPr>
              <w:t>(5)</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Ratio of net expenses to average</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Pr>
          <w:p>
            <w:pPr>
              <w:ind w:left="120"/>
              <w:spacing w:after="0"/>
              <w:rPr>
                <w:sz w:val="20"/>
                <w:szCs w:val="20"/>
                <w:color w:val="auto"/>
              </w:rPr>
            </w:pPr>
            <w:r>
              <w:rPr>
                <w:rFonts w:ascii="Arial" w:cs="Arial" w:eastAsia="Arial" w:hAnsi="Arial"/>
                <w:sz w:val="18"/>
                <w:szCs w:val="18"/>
                <w:color w:val="auto"/>
              </w:rPr>
              <w:t xml:space="preserve">net assets </w:t>
            </w:r>
            <w:r>
              <w:rPr>
                <w:rFonts w:ascii="Arial" w:cs="Arial" w:eastAsia="Arial" w:hAnsi="Arial"/>
                <w:sz w:val="15"/>
                <w:szCs w:val="15"/>
                <w:color w:val="auto"/>
              </w:rPr>
              <w:t>(6)</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11.82%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gridSpan w:val="2"/>
          </w:tcPr>
          <w:p>
            <w:pPr>
              <w:jc w:val="right"/>
              <w:ind w:right="2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Ratio of net investment income</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 average net assets</w:t>
            </w: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12.46%</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Portfolio turnover</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30.56%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2"/>
          </w:tcPr>
          <w:p>
            <w:pPr>
              <w:jc w:val="right"/>
              <w:ind w:right="20"/>
              <w:spacing w:after="0"/>
              <w:rPr>
                <w:sz w:val="20"/>
                <w:szCs w:val="20"/>
                <w:color w:val="auto"/>
              </w:rPr>
            </w:pPr>
            <w:r>
              <w:rPr>
                <w:rFonts w:ascii="Arial" w:cs="Arial" w:eastAsia="Arial" w:hAnsi="Arial"/>
                <w:sz w:val="18"/>
                <w:szCs w:val="18"/>
                <w:color w:val="auto"/>
              </w:rPr>
              <w:t>61.07%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Net assets, end of period</w:t>
            </w:r>
          </w:p>
        </w:tc>
        <w:tc>
          <w:tcPr>
            <w:tcW w:w="11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1,073,181</w:t>
            </w:r>
          </w:p>
        </w:tc>
        <w:tc>
          <w:tcPr>
            <w:tcW w:w="2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966,743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520" w:right="200" w:hanging="512"/>
        <w:spacing w:after="0" w:line="261"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Total return based on market value is calculated as the change in market value per share during the period plus declared dividends per share, divided by the beginning market value per share.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14" w:right="259" w:bottom="1440" w:gutter="0" w:footer="0" w:header="0"/>
        </w:sectPr>
      </w:pPr>
    </w:p>
    <w:bookmarkStart w:id="42" w:name="page43"/>
    <w:bookmarkEnd w:id="42"/>
    <w:p>
      <w:pPr>
        <w:ind w:left="520" w:right="560" w:hanging="512"/>
        <w:spacing w:after="0" w:line="258"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Total return based on net asset value is calculated as the change in net asset value per share during the period plus declared dividends per share, divided by the beginning net asset value per share.</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ratios reflect an annualized amount.</w:t>
      </w:r>
    </w:p>
    <w:p>
      <w:pPr>
        <w:spacing w:after="0" w:line="9" w:lineRule="exact"/>
        <w:rPr>
          <w:rFonts w:ascii="Arial" w:cs="Arial" w:eastAsia="Arial" w:hAnsi="Arial"/>
          <w:sz w:val="18"/>
          <w:szCs w:val="18"/>
          <w:color w:val="auto"/>
        </w:rPr>
      </w:pPr>
    </w:p>
    <w:p>
      <w:pPr>
        <w:ind w:left="520" w:hanging="512"/>
        <w:spacing w:after="0" w:line="250"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ratio of net expenses to average net assets in the table above reflects the Adviser’s waivers of its right to receive a portion of the Management Fee and Incentive Fees with respect to the Company’s ownership of TCAP shares. Excluding the effects of waivers, the ratio of net expenses to average net assets would have been 11.84% for the nine months ended September 30, 2018. The Adviser did not waive any Management Fees or Incentive Fees for the nine months ended September 30, 2017.</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Table may not sum due to rounding.</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jc w:val="both"/>
        <w:ind w:firstLine="259"/>
        <w:spacing w:after="0" w:line="312" w:lineRule="auto"/>
        <w:rPr>
          <w:sz w:val="20"/>
          <w:szCs w:val="20"/>
          <w:color w:val="auto"/>
        </w:rPr>
      </w:pPr>
      <w:r>
        <w:rPr>
          <w:rFonts w:ascii="Arial" w:cs="Arial" w:eastAsia="Arial" w:hAnsi="Arial"/>
          <w:sz w:val="16"/>
          <w:szCs w:val="16"/>
          <w:color w:val="auto"/>
        </w:rPr>
        <w:t>The Company’s management has evaluated subsequent events through the date of issuance of the consolidated financial statements included herein. There have been no subsequent events that occurred during such period that would require disclosure in this Form 10-Q or would be required to be recognized in the consolidated financial statements as of and for the three and nine months ended September 30, 2018, except as disclosed below.</w:t>
      </w:r>
    </w:p>
    <w:p>
      <w:pPr>
        <w:spacing w:after="0" w:line="39" w:lineRule="exact"/>
        <w:rPr>
          <w:sz w:val="20"/>
          <w:szCs w:val="20"/>
          <w:color w:val="auto"/>
        </w:rPr>
      </w:pPr>
    </w:p>
    <w:p>
      <w:pPr>
        <w:ind w:right="140" w:firstLine="259"/>
        <w:spacing w:after="0" w:line="257" w:lineRule="auto"/>
        <w:rPr>
          <w:sz w:val="20"/>
          <w:szCs w:val="20"/>
          <w:color w:val="auto"/>
        </w:rPr>
      </w:pPr>
      <w:r>
        <w:rPr>
          <w:rFonts w:ascii="Arial" w:cs="Arial" w:eastAsia="Arial" w:hAnsi="Arial"/>
          <w:sz w:val="18"/>
          <w:szCs w:val="18"/>
          <w:color w:val="auto"/>
        </w:rPr>
        <w:t>On October 8, 2018, the Company’s stockholders approved the application of the minimum asset coverage ratio of 150% to the Company, as set forth in Section 61(a)(2) of the 1940 Act, as amended by the Small Business Credit Availability Act (the “SBCAA”). As a result and subject to certain additional disclosure requirements, the Company’s minimum asset coverage ratio was reduced from 200% to 150% for purposes of the 1940 Act leverage limitation as of October 9, 2018. In other words, pursuant to Section 61(a) of the 1940 Act, as amended by the SBCAA, the Company is permitted to potentially increase our debt-to-equity ratio from a maximum of 1:1 to a maximum of 2:1.</w:t>
      </w:r>
    </w:p>
    <w:p>
      <w:pPr>
        <w:spacing w:after="0" w:line="80" w:lineRule="exact"/>
        <w:rPr>
          <w:sz w:val="20"/>
          <w:szCs w:val="20"/>
          <w:color w:val="auto"/>
        </w:rPr>
      </w:pPr>
    </w:p>
    <w:p>
      <w:pPr>
        <w:jc w:val="both"/>
        <w:ind w:right="120" w:firstLine="259"/>
        <w:spacing w:after="0" w:line="257" w:lineRule="auto"/>
        <w:rPr>
          <w:sz w:val="20"/>
          <w:szCs w:val="20"/>
          <w:color w:val="auto"/>
        </w:rPr>
      </w:pPr>
      <w:r>
        <w:rPr>
          <w:rFonts w:ascii="Arial" w:cs="Arial" w:eastAsia="Arial" w:hAnsi="Arial"/>
          <w:sz w:val="18"/>
          <w:szCs w:val="18"/>
          <w:color w:val="auto"/>
        </w:rPr>
        <w:t>The Adviser intends to waive a portion of the Management Fee payable under the Investment Advisory Agreement by reducing the Management Fee on assets financed using leverage over 200% asset coverage (in other words, over 1.0x debt to equity). Pursuant to the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November 5 2018, the Company amended the Revolving Credit Facility to, among other things:</w:t>
      </w:r>
    </w:p>
    <w:p>
      <w:pPr>
        <w:spacing w:after="0" w:line="117" w:lineRule="exact"/>
        <w:rPr>
          <w:sz w:val="20"/>
          <w:szCs w:val="20"/>
          <w:color w:val="auto"/>
        </w:rPr>
      </w:pPr>
    </w:p>
    <w:p>
      <w:pPr>
        <w:ind w:left="760" w:hanging="374"/>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 the asset coverage ratio financial covenant from a 2 to 1 test to a 1.5 to 1 test;</w:t>
      </w:r>
    </w:p>
    <w:p>
      <w:pPr>
        <w:spacing w:after="0" w:line="225" w:lineRule="exact"/>
        <w:rPr>
          <w:rFonts w:ascii="Arial" w:cs="Arial" w:eastAsia="Arial" w:hAnsi="Arial"/>
          <w:sz w:val="18"/>
          <w:szCs w:val="18"/>
          <w:color w:val="auto"/>
        </w:rPr>
      </w:pPr>
    </w:p>
    <w:p>
      <w:pPr>
        <w:ind w:left="760" w:right="240" w:hanging="374"/>
        <w:spacing w:after="0" w:line="277"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reset the date for the stockholders’ equity covenant to determine net proceeds of the sale of equity interests from after February 20, 2018 to after November 5, 2018; and</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 two new additional financial covenants that require the Company to:</w:t>
      </w:r>
    </w:p>
    <w:p>
      <w:pPr>
        <w:spacing w:after="0" w:line="225" w:lineRule="exact"/>
        <w:rPr>
          <w:sz w:val="20"/>
          <w:szCs w:val="20"/>
          <w:color w:val="auto"/>
        </w:rPr>
      </w:pPr>
    </w:p>
    <w:p>
      <w:pPr>
        <w:ind w:left="1520" w:right="60" w:hanging="378"/>
        <w:spacing w:after="0" w:line="253" w:lineRule="auto"/>
        <w:tabs>
          <w:tab w:leader="none" w:pos="1520" w:val="left"/>
        </w:tabs>
        <w:numPr>
          <w:ilvl w:val="0"/>
          <w:numId w:val="35"/>
        </w:numPr>
        <w:rPr>
          <w:rFonts w:ascii="Courier New" w:cs="Courier New" w:eastAsia="Courier New" w:hAnsi="Courier New"/>
          <w:sz w:val="18"/>
          <w:szCs w:val="18"/>
          <w:color w:val="auto"/>
        </w:rPr>
      </w:pPr>
      <w:r>
        <w:rPr>
          <w:rFonts w:ascii="Arial" w:cs="Arial" w:eastAsia="Arial" w:hAnsi="Arial"/>
          <w:sz w:val="18"/>
          <w:szCs w:val="18"/>
          <w:color w:val="auto"/>
        </w:rPr>
        <w:t>maintain a 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 and</w:t>
      </w:r>
    </w:p>
    <w:p>
      <w:pPr>
        <w:spacing w:after="0" w:line="190" w:lineRule="exact"/>
        <w:rPr>
          <w:rFonts w:ascii="Courier New" w:cs="Courier New" w:eastAsia="Courier New" w:hAnsi="Courier New"/>
          <w:sz w:val="18"/>
          <w:szCs w:val="18"/>
          <w:color w:val="auto"/>
        </w:rPr>
      </w:pPr>
    </w:p>
    <w:p>
      <w:pPr>
        <w:jc w:val="both"/>
        <w:ind w:left="1520" w:right="140" w:hanging="378"/>
        <w:spacing w:after="0" w:line="254" w:lineRule="auto"/>
        <w:tabs>
          <w:tab w:leader="none" w:pos="1520" w:val="left"/>
        </w:tabs>
        <w:numPr>
          <w:ilvl w:val="0"/>
          <w:numId w:val="35"/>
        </w:numPr>
        <w:rPr>
          <w:rFonts w:ascii="Courier New" w:cs="Courier New" w:eastAsia="Courier New" w:hAnsi="Courier New"/>
          <w:sz w:val="18"/>
          <w:szCs w:val="18"/>
          <w:color w:val="auto"/>
        </w:rPr>
      </w:pPr>
      <w:r>
        <w:rPr>
          <w:rFonts w:ascii="Arial" w:cs="Arial" w:eastAsia="Arial" w:hAnsi="Arial"/>
          <w:sz w:val="18"/>
          <w:szCs w:val="18"/>
          <w:color w:val="auto"/>
        </w:rPr>
        <w:t>maintain minimum consolidated assets of the Company and the subsidiary guarantors (including certain limitations on the contribution of equity in financing subsidiaries), less total secured debt of the Company and the subsidiary guarantors, of at least $350 million at the last day of any fiscal quarter.</w:t>
      </w:r>
    </w:p>
    <w:p>
      <w:pPr>
        <w:spacing w:after="0" w:line="190" w:lineRule="exact"/>
        <w:rPr>
          <w:sz w:val="20"/>
          <w:szCs w:val="20"/>
          <w:color w:val="auto"/>
        </w:rPr>
      </w:pPr>
    </w:p>
    <w:p>
      <w:pPr>
        <w:ind w:right="280" w:firstLine="285"/>
        <w:spacing w:after="0" w:line="277" w:lineRule="auto"/>
        <w:rPr>
          <w:sz w:val="20"/>
          <w:szCs w:val="20"/>
          <w:color w:val="auto"/>
        </w:rPr>
      </w:pPr>
      <w:r>
        <w:rPr>
          <w:rFonts w:ascii="Arial" w:cs="Arial" w:eastAsia="Arial" w:hAnsi="Arial"/>
          <w:sz w:val="18"/>
          <w:szCs w:val="18"/>
          <w:color w:val="auto"/>
        </w:rPr>
        <w:t>The amendment also established certain additional concentration limits in connection with the calculation of the borrowing base, based on the Obligor Asset Coverage Ratio. Size, pricing and other significant terms in the Revolving Credit Facility remain unchanged.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right="100" w:firstLine="259"/>
        <w:spacing w:after="0" w:line="264"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 Looking Statements” set forth on page 3 of this Quarterly Report on Form 10-Q.</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480" w:firstLine="259"/>
        <w:spacing w:after="0" w:line="259" w:lineRule="auto"/>
        <w:rPr>
          <w:sz w:val="20"/>
          <w:szCs w:val="20"/>
          <w:color w:val="auto"/>
        </w:rPr>
      </w:pPr>
      <w:r>
        <w:rPr>
          <w:rFonts w:ascii="Arial" w:cs="Arial" w:eastAsia="Arial" w:hAnsi="Arial"/>
          <w:sz w:val="18"/>
          <w:szCs w:val="18"/>
          <w:color w:val="auto"/>
        </w:rPr>
        <w:t>TPG Specialty Lending, Inc. is a Delaware corporation formed on July 21, 2010. The Adviser is our external manager. We have three wholly owned subsidiaries, TC Lending, LLC, a Delaware limited liability company, which holds a California finance lender and broker license, TPG SL SPV, LLC, a Delaware limited liability company, in which we hold assets that were previously used to support our asset-backed credit facility, and TSL MR, LLC, a Delaware limited liability company, in which we hold certain investments.</w:t>
      </w:r>
    </w:p>
    <w:p>
      <w:pPr>
        <w:spacing w:after="0" w:line="187"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62" w:lineRule="exact"/>
        <w:rPr>
          <w:sz w:val="20"/>
          <w:szCs w:val="20"/>
          <w:color w:val="auto"/>
        </w:rPr>
      </w:pPr>
    </w:p>
    <w:p>
      <w:pPr>
        <w:ind w:left="520" w:hanging="255"/>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117" w:lineRule="exact"/>
        <w:rPr>
          <w:rFonts w:ascii="Arial" w:cs="Arial" w:eastAsia="Arial" w:hAnsi="Arial"/>
          <w:sz w:val="18"/>
          <w:szCs w:val="18"/>
          <w:color w:val="auto"/>
        </w:rPr>
      </w:pPr>
    </w:p>
    <w:p>
      <w:pPr>
        <w:ind w:left="520" w:right="520" w:hanging="255"/>
        <w:spacing w:after="0" w:line="277"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shares are currently listed on the NYSE under the symbol “TSLX.”</w:t>
      </w:r>
    </w:p>
    <w:p>
      <w:pPr>
        <w:spacing w:after="0" w:line="225"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We have in place a stock repurchase plan, the Company 10b5-1 Plan, to acquire up to $50 million in the aggregate of our common stock at prices below our net asset value per share over a specified period, in accordance with the guidelines specified in Rule 10b-18 and Rule 10b5-1 of the Exchange Act. We put the Company 10b5-1 Plan in place because we believe that if our common stock is trading below our then-current net asset value, it is in the best interest of our stockholders for us to reinvest in our portfolio and increase our leverage ratio through share repurchases.</w:t>
      </w:r>
    </w:p>
    <w:p>
      <w:pPr>
        <w:spacing w:after="0" w:line="171" w:lineRule="exact"/>
        <w:rPr>
          <w:sz w:val="20"/>
          <w:szCs w:val="20"/>
          <w:color w:val="auto"/>
        </w:rPr>
      </w:pPr>
    </w:p>
    <w:p>
      <w:pPr>
        <w:ind w:right="40" w:firstLine="259"/>
        <w:spacing w:after="0" w:line="255" w:lineRule="auto"/>
        <w:rPr>
          <w:sz w:val="20"/>
          <w:szCs w:val="20"/>
          <w:color w:val="auto"/>
        </w:rPr>
      </w:pPr>
      <w:r>
        <w:rPr>
          <w:rFonts w:ascii="Arial" w:cs="Arial" w:eastAsia="Arial" w:hAnsi="Arial"/>
          <w:sz w:val="18"/>
          <w:szCs w:val="18"/>
          <w:color w:val="auto"/>
        </w:rPr>
        <w:t>The Company 10b5-1 Plan is designed to allow us to repurchase our common stock at times when we otherwise might be prevented from doing so under insider trading laws. The Company 10b5-1 Plan requires Goldman Sachs &amp; Co. LLC,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right="40" w:firstLine="259"/>
        <w:spacing w:after="0" w:line="273" w:lineRule="auto"/>
        <w:rPr>
          <w:sz w:val="20"/>
          <w:szCs w:val="20"/>
          <w:color w:val="auto"/>
        </w:rPr>
      </w:pPr>
      <w:r>
        <w:rPr>
          <w:rFonts w:ascii="Arial" w:cs="Arial" w:eastAsia="Arial" w:hAnsi="Arial"/>
          <w:sz w:val="17"/>
          <w:szCs w:val="17"/>
          <w:color w:val="auto"/>
        </w:rPr>
        <w:t>On August 4, 2015, our Board authorized us to enter into a new stock repurchase plan, the Company 10b5-1 Plan, to acquire up to $50 million in the aggregate of our common stock at prices just below our net asset value over an initial six month period, in accordance with the guidelines specified in Rule 10b-18 and Rule 10b5-1 of the Exchange Act, and has continued to authorize extensions of the plan termination date prior to its expiration since that time. On August 1, 2018, the Board authorized the extension of the termination date of the Company 10b5-1 Plan to February 28, 2019. Unless extended or terminated by the Board, the Company 10b5-1 Plan will be in effect through the earlier of February 28, 2019 or such time as the current approved repurchase amount of up to $50 million has been fully utilized, subject to certain conditions.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121" w:lineRule="exact"/>
        <w:rPr>
          <w:sz w:val="20"/>
          <w:szCs w:val="20"/>
          <w:color w:val="auto"/>
        </w:rPr>
      </w:pPr>
    </w:p>
    <w:p>
      <w:pPr>
        <w:ind w:right="260" w:firstLine="259"/>
        <w:spacing w:after="0" w:line="276"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September 30, 2018, we have originated approximately $9.2 billion aggregate principal amount of investments and retained approximately $5.1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4" w:name="page45"/>
    <w:bookmarkEnd w:id="44"/>
    <w:p>
      <w:pPr>
        <w:ind w:right="40" w:firstLine="259"/>
        <w:spacing w:after="0" w:line="259"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September 30, 2018, our core portfolio companies, which excludes certain investments that fall outside of our typical borrower profile and represent 86.3% of our total investments based on fair value, had weighted average annual revenue of $138.7 million and weighted average annual EBITDA of $37.5 million.</w:t>
      </w:r>
    </w:p>
    <w:p>
      <w:pPr>
        <w:spacing w:after="0" w:line="18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The debt in which we invest typically is not rated by any rating agency, but if these instruments were rated, they would likely receive a rating of below investment grade (that is, below BBB- or Baa3), which is often referred to as “junk.”</w:t>
      </w:r>
    </w:p>
    <w:p>
      <w:pPr>
        <w:spacing w:after="0" w:line="170" w:lineRule="exact"/>
        <w:rPr>
          <w:sz w:val="20"/>
          <w:szCs w:val="20"/>
          <w:color w:val="auto"/>
        </w:rPr>
      </w:pPr>
    </w:p>
    <w:p>
      <w:pPr>
        <w:ind w:right="220" w:firstLine="259"/>
        <w:spacing w:after="0" w:line="342"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(including restructurings). As of September 30, 2018, the largest single investment based on fair value represented 4.2% of our total investment portfolio.</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of September 30, 2018, the average investment size in each of our portfolio companies was approximately $40.4 million based on fair value.</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Through our Adviser, we consider potential investments utilizing a four-tiered investment framework and against our existing portfolio as a whole:</w:t>
      </w:r>
    </w:p>
    <w:p>
      <w:pPr>
        <w:spacing w:after="0" w:line="237"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focus on companies with enterprise value between $50 million and $1 billion. When reviewing potential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7" w:lineRule="exact"/>
        <w:rPr>
          <w:sz w:val="20"/>
          <w:szCs w:val="20"/>
          <w:color w:val="auto"/>
        </w:rPr>
      </w:pPr>
    </w:p>
    <w:p>
      <w:pPr>
        <w:ind w:right="220" w:firstLine="259"/>
        <w:spacing w:after="0" w:line="264"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September 30, 2018, the largest industry represented 19.5% of our total investment portfolio based on fair value.</w:t>
      </w:r>
    </w:p>
    <w:p>
      <w:pPr>
        <w:spacing w:after="0" w:line="225" w:lineRule="exact"/>
        <w:rPr>
          <w:sz w:val="20"/>
          <w:szCs w:val="20"/>
          <w:color w:val="auto"/>
        </w:rPr>
      </w:pPr>
    </w:p>
    <w:p>
      <w:pPr>
        <w:ind w:right="60" w:firstLine="259"/>
        <w:spacing w:after="0" w:line="272" w:lineRule="auto"/>
        <w:rPr>
          <w:sz w:val="20"/>
          <w:szCs w:val="20"/>
          <w:color w:val="auto"/>
        </w:rPr>
      </w:pPr>
      <w:r>
        <w:rPr>
          <w:rFonts w:ascii="Arial" w:cs="Arial" w:eastAsia="Arial" w:hAnsi="Arial"/>
          <w:sz w:val="17"/>
          <w:szCs w:val="17"/>
          <w:i w:val="1"/>
          <w:iCs w:val="1"/>
          <w:color w:val="auto"/>
        </w:rPr>
        <w:t xml:space="preserve">Investment Structuring. </w:t>
      </w:r>
      <w:r>
        <w:rPr>
          <w:rFonts w:ascii="Arial" w:cs="Arial" w:eastAsia="Arial" w:hAnsi="Arial"/>
          <w:sz w:val="17"/>
          <w:szCs w:val="17"/>
          <w:color w:val="auto"/>
        </w:rPr>
        <w:t>We focus on investing at the top of the capital structure and protecting that position. As of September 30, 2018,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96.8% of our portfolio was invested in secured debt, including 93.6%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three months ended September 30, 2018, the weighted average term on new investment commitments in new portfolio companies was 5.0 years.</w:t>
      </w:r>
    </w:p>
    <w:p>
      <w:pPr>
        <w:spacing w:after="0" w:line="178"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i w:val="1"/>
          <w:iCs w:val="1"/>
          <w:color w:val="auto"/>
        </w:rPr>
        <w:t xml:space="preserve">Deal Dynamics. </w:t>
      </w:r>
      <w:r>
        <w:rPr>
          <w:rFonts w:ascii="Arial" w:cs="Arial" w:eastAsia="Arial" w:hAnsi="Arial"/>
          <w:sz w:val="18"/>
          <w:szCs w:val="18"/>
          <w:color w:val="auto"/>
        </w:rPr>
        <w:t>We focus on, among other deal dynamics, direct origination of investments, where we identify and lead the investment transaction. A</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majority of our portfolio investments are sourced through our direct or proprietary relationships.</w:t>
      </w:r>
    </w:p>
    <w:p>
      <w:pPr>
        <w:spacing w:after="0" w:line="170" w:lineRule="exact"/>
        <w:rPr>
          <w:sz w:val="20"/>
          <w:szCs w:val="20"/>
          <w:color w:val="auto"/>
        </w:rPr>
      </w:pPr>
    </w:p>
    <w:p>
      <w:pPr>
        <w:ind w:right="20" w:firstLine="259"/>
        <w:spacing w:after="0" w:line="288" w:lineRule="auto"/>
        <w:rPr>
          <w:sz w:val="20"/>
          <w:szCs w:val="20"/>
          <w:color w:val="auto"/>
        </w:rPr>
      </w:pPr>
      <w:r>
        <w:rPr>
          <w:rFonts w:ascii="Arial" w:cs="Arial" w:eastAsia="Arial" w:hAnsi="Arial"/>
          <w:sz w:val="16"/>
          <w:szCs w:val="16"/>
          <w:i w:val="1"/>
          <w:iCs w:val="1"/>
          <w:color w:val="auto"/>
        </w:rPr>
        <w:t xml:space="preserve">Risk Mitigation. </w:t>
      </w:r>
      <w:r>
        <w:rPr>
          <w:rFonts w:ascii="Arial" w:cs="Arial" w:eastAsia="Arial" w:hAnsi="Arial"/>
          <w:sz w:val="16"/>
          <w:szCs w:val="16"/>
          <w:color w:val="auto"/>
        </w:rPr>
        <w:t>We seek to mitigate non-credit-related risk on our returns in several ways, including call protection provisions to protect future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income. As of September 30, 2018, we had call protection on 86.5% of our debt investments based on fair value, with weighted average call prices of 106.1% for the first year, 103.0% for the second year and 101.3% for the third year, in each case from the date of the initial investment. As of September 30, 2018,</w:t>
      </w:r>
    </w:p>
    <w:p>
      <w:pPr>
        <w:ind w:right="140"/>
        <w:spacing w:after="0" w:line="261" w:lineRule="auto"/>
        <w:rPr>
          <w:sz w:val="20"/>
          <w:szCs w:val="20"/>
          <w:color w:val="auto"/>
        </w:rPr>
      </w:pPr>
      <w:r>
        <w:rPr>
          <w:rFonts w:ascii="Arial" w:cs="Arial" w:eastAsia="Arial" w:hAnsi="Arial"/>
          <w:sz w:val="18"/>
          <w:szCs w:val="18"/>
          <w:color w:val="auto"/>
        </w:rPr>
        <w:t>99.8% of our debt investments based on fair value bore interest at floating rates (when including investment specific hedges), with 94.2% of these subject to interest rate floors, which we believe helps act as a portfolio-wide hedge against inflation.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our Adviser, TSSP and TPG</w:t>
      </w:r>
    </w:p>
    <w:p>
      <w:pPr>
        <w:spacing w:after="0" w:line="117" w:lineRule="exact"/>
        <w:rPr>
          <w:sz w:val="20"/>
          <w:szCs w:val="20"/>
          <w:color w:val="auto"/>
        </w:rPr>
      </w:pPr>
    </w:p>
    <w:p>
      <w:pPr>
        <w:ind w:right="120" w:firstLine="259"/>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5" w:name="page46"/>
    <w:bookmarkEnd w:id="45"/>
    <w:p>
      <w:pPr>
        <w:ind w:right="160"/>
        <w:spacing w:after="0" w:line="259" w:lineRule="auto"/>
        <w:rPr>
          <w:sz w:val="20"/>
          <w:szCs w:val="20"/>
          <w:color w:val="auto"/>
        </w:rPr>
      </w:pPr>
      <w:r>
        <w:rPr>
          <w:rFonts w:ascii="Arial" w:cs="Arial" w:eastAsia="Arial" w:hAnsi="Arial"/>
          <w:sz w:val="18"/>
          <w:szCs w:val="18"/>
          <w:color w:val="auto"/>
        </w:rPr>
        <w:t>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TPG Sixth Street Partners, or TSSP.</w:t>
      </w:r>
    </w:p>
    <w:p>
      <w:pPr>
        <w:spacing w:after="0" w:line="187" w:lineRule="exact"/>
        <w:rPr>
          <w:sz w:val="20"/>
          <w:szCs w:val="20"/>
          <w:color w:val="auto"/>
        </w:rPr>
      </w:pPr>
    </w:p>
    <w:p>
      <w:pPr>
        <w:ind w:right="60" w:firstLine="259"/>
        <w:spacing w:after="0" w:line="255" w:lineRule="auto"/>
        <w:rPr>
          <w:sz w:val="20"/>
          <w:szCs w:val="20"/>
          <w:color w:val="auto"/>
        </w:rPr>
      </w:pPr>
      <w:r>
        <w:rPr>
          <w:rFonts w:ascii="Arial" w:cs="Arial" w:eastAsia="Arial" w:hAnsi="Arial"/>
          <w:sz w:val="18"/>
          <w:szCs w:val="18"/>
          <w:color w:val="auto"/>
        </w:rPr>
        <w:t>TSSP, with approximately $25 billion of assets under management as of June 30, 2018, is TPG’s special situations and credit platform and encompasses TPG Specialty Lending, TPG Opportunities Partners and TSSP Adjacent Opportunities Partners, which invest in special situations and distressed investments across the credit cycle, TSL Europe, which is aimed at European middle-market loan originations, and TPG Institutional Credit Partners, which is a “public-side” credit investment platform focused on investment opportunities in broadly syndicated leveraged loan markets. TSSP has extensive experience with highly complex, global public and private investments executed through primary originations, secondary market purchases and restructurings, and has a team of over 200 investment and operating professionals. As of September 30, 2018, thirty-two (32) of these personnel are dedicated to our business, including twenty five (25) investment professionals.</w:t>
      </w:r>
    </w:p>
    <w:p>
      <w:pPr>
        <w:spacing w:after="0" w:line="189" w:lineRule="exact"/>
        <w:rPr>
          <w:sz w:val="20"/>
          <w:szCs w:val="20"/>
          <w:color w:val="auto"/>
        </w:rPr>
      </w:pPr>
    </w:p>
    <w:p>
      <w:pPr>
        <w:ind w:right="100" w:firstLine="259"/>
        <w:spacing w:after="0" w:line="273" w:lineRule="auto"/>
        <w:rPr>
          <w:sz w:val="20"/>
          <w:szCs w:val="20"/>
          <w:color w:val="auto"/>
        </w:rPr>
      </w:pPr>
      <w:r>
        <w:rPr>
          <w:rFonts w:ascii="Arial" w:cs="Arial" w:eastAsia="Arial" w:hAnsi="Arial"/>
          <w:sz w:val="17"/>
          <w:szCs w:val="17"/>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78" w:lineRule="exact"/>
        <w:rPr>
          <w:sz w:val="20"/>
          <w:szCs w:val="20"/>
          <w:color w:val="auto"/>
        </w:rPr>
      </w:pPr>
    </w:p>
    <w:p>
      <w:pPr>
        <w:jc w:val="both"/>
        <w:ind w:right="140" w:firstLine="259"/>
        <w:spacing w:after="0" w:line="259"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87"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We believe our ability to co-invest with TSSP and TPG affiliates is particularly useful where we identify larger capital commitments than otherwise would be appropriate for us. We expect that with the ability to co-invest with TSSP and TPG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7" w:lineRule="exact"/>
        <w:rPr>
          <w:sz w:val="20"/>
          <w:szCs w:val="20"/>
          <w:color w:val="auto"/>
        </w:rPr>
      </w:pPr>
    </w:p>
    <w:p>
      <w:pPr>
        <w:jc w:val="both"/>
        <w:ind w:right="180" w:firstLine="259"/>
        <w:spacing w:after="0" w:line="312" w:lineRule="auto"/>
        <w:rPr>
          <w:sz w:val="20"/>
          <w:szCs w:val="20"/>
          <w:color w:val="auto"/>
        </w:rPr>
      </w:pPr>
      <w:r>
        <w:rPr>
          <w:rFonts w:ascii="Arial" w:cs="Arial" w:eastAsia="Arial" w:hAnsi="Arial"/>
          <w:sz w:val="16"/>
          <w:szCs w:val="16"/>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47"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ind w:right="240" w:firstLine="259"/>
        <w:spacing w:after="0" w:line="312" w:lineRule="auto"/>
        <w:rPr>
          <w:sz w:val="20"/>
          <w:szCs w:val="20"/>
          <w:color w:val="auto"/>
        </w:rPr>
      </w:pPr>
      <w:r>
        <w:rPr>
          <w:rFonts w:ascii="Arial" w:cs="Arial" w:eastAsia="Arial" w:hAnsi="Arial"/>
          <w:sz w:val="16"/>
          <w:szCs w:val="16"/>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47" w:lineRule="exact"/>
        <w:rPr>
          <w:sz w:val="20"/>
          <w:szCs w:val="20"/>
          <w:color w:val="auto"/>
        </w:rPr>
      </w:pPr>
    </w:p>
    <w:p>
      <w:pPr>
        <w:ind w:right="460" w:firstLine="259"/>
        <w:spacing w:after="0" w:line="277"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40" w:firstLine="259"/>
        <w:spacing w:after="0" w:line="255" w:lineRule="auto"/>
        <w:rPr>
          <w:sz w:val="20"/>
          <w:szCs w:val="20"/>
          <w:color w:val="auto"/>
        </w:rPr>
      </w:pPr>
      <w:r>
        <w:rPr>
          <w:rFonts w:ascii="Arial" w:cs="Arial" w:eastAsia="Arial" w:hAnsi="Arial"/>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six years, and, as of September 30, 2018, 99.8% of these investments based on fair value bore interest at a floating rate (when including investment specific hedges), with 94.2% of these subject to interest rate floors. Interest on debt investments is generally payable quarterly or semiannually. Some of our debt investments provide for deferred interest payments or PIK interest. For the nine months ended September 30, 2018, 2.5% of our total investment income was comprised of PIK interest.</w:t>
      </w:r>
    </w:p>
    <w:p>
      <w:pPr>
        <w:spacing w:after="0" w:line="193" w:lineRule="exact"/>
        <w:rPr>
          <w:sz w:val="20"/>
          <w:szCs w:val="20"/>
          <w:color w:val="auto"/>
        </w:rPr>
      </w:pPr>
    </w:p>
    <w:p>
      <w:pPr>
        <w:ind w:right="20" w:firstLine="259"/>
        <w:spacing w:after="0" w:line="271" w:lineRule="auto"/>
        <w:rPr>
          <w:sz w:val="20"/>
          <w:szCs w:val="20"/>
          <w:color w:val="auto"/>
        </w:rPr>
      </w:pPr>
      <w:r>
        <w:rPr>
          <w:rFonts w:ascii="Arial" w:cs="Arial" w:eastAsia="Arial" w:hAnsi="Arial"/>
          <w:sz w:val="17"/>
          <w:szCs w:val="17"/>
          <w:color w:val="auto"/>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credit facilities, 2023 Notes and Convertible Notes, after taking into account the effect of the interest rate swaps we have entered into in connection with the Convertible Notes and 2023 Notes, all bear interest at floating rates. Macro trends in base interest rates like LIBOR may affect our net investment income over the long term. However, because we generally originate loans to a small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79" w:lineRule="exact"/>
        <w:rPr>
          <w:sz w:val="20"/>
          <w:szCs w:val="20"/>
          <w:color w:val="auto"/>
        </w:rPr>
      </w:pPr>
    </w:p>
    <w:p>
      <w:pPr>
        <w:ind w:right="200" w:firstLine="259"/>
        <w:spacing w:after="0" w:line="297" w:lineRule="auto"/>
        <w:rPr>
          <w:sz w:val="20"/>
          <w:szCs w:val="20"/>
          <w:color w:val="auto"/>
        </w:rPr>
      </w:pPr>
      <w:r>
        <w:rPr>
          <w:rFonts w:ascii="Arial" w:cs="Arial" w:eastAsia="Arial" w:hAnsi="Arial"/>
          <w:sz w:val="16"/>
          <w:szCs w:val="16"/>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58"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repayments may fluctuate significantly.</w:t>
      </w:r>
    </w:p>
    <w:p>
      <w:pPr>
        <w:spacing w:after="0" w:line="188" w:lineRule="exact"/>
        <w:rPr>
          <w:sz w:val="20"/>
          <w:szCs w:val="20"/>
          <w:color w:val="auto"/>
        </w:rPr>
      </w:pPr>
    </w:p>
    <w:p>
      <w:pPr>
        <w:ind w:right="300" w:firstLine="259"/>
        <w:spacing w:after="0" w:line="277" w:lineRule="auto"/>
        <w:rPr>
          <w:sz w:val="20"/>
          <w:szCs w:val="20"/>
          <w:color w:val="auto"/>
        </w:rPr>
      </w:pPr>
      <w:r>
        <w:rPr>
          <w:rFonts w:ascii="Arial" w:cs="Arial" w:eastAsia="Arial" w:hAnsi="Arial"/>
          <w:sz w:val="18"/>
          <w:szCs w:val="18"/>
          <w:color w:val="auto"/>
        </w:rPr>
        <w:t>Dividend income on common equity investments is recorded on the record date for private portfolio companies or on the ex-dividend date for publicly traded portfolio companies.</w:t>
      </w:r>
    </w:p>
    <w:p>
      <w:pPr>
        <w:spacing w:after="0" w:line="170"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as a component of the net change in unrealized gains (losses) on investments in the consolidated statements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jc w:val="both"/>
        <w:ind w:right="140" w:firstLine="259"/>
        <w:spacing w:after="0" w:line="264"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73" w:lineRule="exact"/>
        <w:rPr>
          <w:sz w:val="20"/>
          <w:szCs w:val="20"/>
          <w:color w:val="auto"/>
        </w:rPr>
      </w:pPr>
    </w:p>
    <w:p>
      <w:pPr>
        <w:ind w:left="520" w:hanging="255"/>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17" w:lineRule="exact"/>
        <w:rPr>
          <w:rFonts w:ascii="Arial" w:cs="Arial" w:eastAsia="Arial" w:hAnsi="Arial"/>
          <w:sz w:val="18"/>
          <w:szCs w:val="18"/>
          <w:color w:val="auto"/>
        </w:rPr>
      </w:pPr>
    </w:p>
    <w:p>
      <w:pPr>
        <w:ind w:left="520" w:right="460" w:hanging="255"/>
        <w:spacing w:after="0" w:line="264"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73" w:lineRule="exact"/>
        <w:rPr>
          <w:rFonts w:ascii="Arial" w:cs="Arial" w:eastAsia="Arial" w:hAnsi="Arial"/>
          <w:sz w:val="18"/>
          <w:szCs w:val="18"/>
          <w:color w:val="auto"/>
        </w:rPr>
      </w:pPr>
    </w:p>
    <w:p>
      <w:pPr>
        <w:ind w:left="520" w:hanging="255"/>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7" w:name="page48"/>
    <w:bookmarkEnd w:id="47"/>
    <w:p>
      <w:pPr>
        <w:ind w:left="520" w:right="20" w:hanging="255"/>
        <w:spacing w:after="0" w:line="302" w:lineRule="auto"/>
        <w:tabs>
          <w:tab w:leader="none" w:pos="5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Compliance Officer, Chief Financial Officer and other professionals who spend time on those related activities (based on the percentage of time those individuals devote, on an estimated basis, to our business and affairs);</w:t>
      </w:r>
    </w:p>
    <w:p>
      <w:pPr>
        <w:spacing w:after="0" w:line="46" w:lineRule="exact"/>
        <w:rPr>
          <w:rFonts w:ascii="Arial" w:cs="Arial" w:eastAsia="Arial" w:hAnsi="Arial"/>
          <w:sz w:val="16"/>
          <w:szCs w:val="16"/>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Adviser’s allocable share of costs incurred in providing significant managerial assistance to those portfolio companies that request it;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taxes;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17" w:lineRule="exact"/>
        <w:rPr>
          <w:rFonts w:ascii="Arial" w:cs="Arial" w:eastAsia="Arial" w:hAnsi="Arial"/>
          <w:sz w:val="18"/>
          <w:szCs w:val="18"/>
          <w:color w:val="auto"/>
        </w:rPr>
      </w:pPr>
    </w:p>
    <w:p>
      <w:pPr>
        <w:ind w:left="520" w:right="340" w:hanging="255"/>
        <w:spacing w:after="0" w:line="342" w:lineRule="auto"/>
        <w:tabs>
          <w:tab w:leader="none" w:pos="5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15" w:lineRule="exact"/>
        <w:rPr>
          <w:rFonts w:ascii="Arial" w:cs="Arial" w:eastAsia="Arial" w:hAnsi="Arial"/>
          <w:sz w:val="16"/>
          <w:szCs w:val="16"/>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360" w:firstLine="259"/>
        <w:spacing w:after="0" w:line="277"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85" w:lineRule="exact"/>
        <w:rPr>
          <w:sz w:val="20"/>
          <w:szCs w:val="20"/>
          <w:color w:val="auto"/>
        </w:rPr>
      </w:pPr>
    </w:p>
    <w:p>
      <w:pPr>
        <w:ind w:right="160" w:firstLine="259"/>
        <w:spacing w:after="0" w:line="257" w:lineRule="auto"/>
        <w:rPr>
          <w:sz w:val="20"/>
          <w:szCs w:val="20"/>
          <w:color w:val="auto"/>
        </w:rPr>
      </w:pPr>
      <w:r>
        <w:rPr>
          <w:rFonts w:ascii="Arial" w:cs="Arial" w:eastAsia="Arial" w:hAnsi="Arial"/>
          <w:sz w:val="18"/>
          <w:szCs w:val="18"/>
          <w:color w:val="auto"/>
        </w:rPr>
        <w:t>On October 8, 2018, our stockholders approved the application of the minimum asset coverage ratio of 150% to us, as set forth in Section 61(a)(2) of the 1940 Act, as amended by the Small Business Credit Availability Act (the “SBCAA”). As a result and subject to certain additional disclosure requirements, our minimum asset coverage ratio was reduced from 200% to 150% for purposes of the 1940 Act leverage limitation as of October 9, 2018. In other words, pursuant to Section 61(a) of the 1940 Act, as amended by the SBCAA, we are permitted to potentially increase our debt-to-equity ratio from a maximum of 1:1 to a maximum of 2:1.</w:t>
      </w:r>
    </w:p>
    <w:p>
      <w:pPr>
        <w:spacing w:after="0" w:line="80"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The Adviser intends to waive a portion of the Management Fee payable under the Investment Advisory Agreement by reducing the Management Fee on assets financed using leverage over 200% asset coverage (in other words, over 1.0x debt to equity). Pursuant to the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Market Trends</w:t>
      </w:r>
    </w:p>
    <w:p>
      <w:pPr>
        <w:spacing w:after="0" w:line="117"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70"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The limited number of dedicated providers of capital to middle-market companies, combined with increases in required capital levels for regulated financial institutions, reduces the capacity of traditional lenders to serve middle-market companies. We believe that the limited availability of capital creates a significant opportunity for us to directly originate investments. We also believe that the large amount of uninvested capital held by private equity firms will continue to drive deal activity, which may in turn create additional demand for debt capital.</w:t>
      </w:r>
    </w:p>
    <w:p>
      <w:pPr>
        <w:spacing w:after="0" w:line="187"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81" w:lineRule="exact"/>
        <w:rPr>
          <w:sz w:val="20"/>
          <w:szCs w:val="20"/>
          <w:color w:val="auto"/>
        </w:rPr>
      </w:pPr>
    </w:p>
    <w:p>
      <w:pPr>
        <w:ind w:right="180" w:firstLine="259"/>
        <w:spacing w:after="0" w:line="302" w:lineRule="auto"/>
        <w:rPr>
          <w:sz w:val="20"/>
          <w:szCs w:val="20"/>
          <w:color w:val="auto"/>
        </w:rPr>
      </w:pPr>
      <w:r>
        <w:rPr>
          <w:rFonts w:ascii="Arial" w:cs="Arial" w:eastAsia="Arial" w:hAnsi="Arial"/>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As of September 30, 2018, our portfolio based on fair value consisted of 93.6% first-lien debt investments, 3.2% second-lien debt investments, 0.1% mezzanine debt investments, and 3.1% equity and other investments. As of December 31, 2017, our portfolio based on fair value consisted of 93.4% first-lien debt investments, 3.6% second-lien debt investments, and 3.0% equity and other investments.</w:t>
      </w:r>
    </w:p>
    <w:p>
      <w:pPr>
        <w:spacing w:after="0" w:line="181" w:lineRule="exact"/>
        <w:rPr>
          <w:sz w:val="20"/>
          <w:szCs w:val="20"/>
          <w:color w:val="auto"/>
        </w:rPr>
      </w:pPr>
    </w:p>
    <w:p>
      <w:pPr>
        <w:ind w:right="20" w:firstLine="259"/>
        <w:spacing w:after="0" w:line="312" w:lineRule="auto"/>
        <w:rPr>
          <w:sz w:val="20"/>
          <w:szCs w:val="20"/>
          <w:color w:val="auto"/>
        </w:rPr>
      </w:pPr>
      <w:r>
        <w:rPr>
          <w:rFonts w:ascii="Arial" w:cs="Arial" w:eastAsia="Arial" w:hAnsi="Arial"/>
          <w:sz w:val="16"/>
          <w:szCs w:val="16"/>
          <w:color w:val="auto"/>
        </w:rPr>
        <w:t>As of September 30, 2018 and December 31, 2017, our weighted average total yield of debt and income-producing securities at fair value (which includes interest income and amortization of fees and discounts) was 11.1% and 10.7%, respectively, and our weighted average total yield of debt and income-producing securities at amortized cost (which includes interest income and amortization of fees and discounts) was 11.3% and 10.8%, respectively.</w:t>
      </w:r>
    </w:p>
    <w:p>
      <w:pPr>
        <w:spacing w:after="0" w:line="147"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As of September 30, 2018 and December 31, 2017, we had investments in 49 and 45 portfolio companies, respectively, with an aggregate fair value of $1,981.9 million and $1,693.7 million, respectively.</w:t>
      </w:r>
    </w:p>
    <w:p>
      <w:pPr>
        <w:spacing w:after="0" w:line="170" w:lineRule="exact"/>
        <w:rPr>
          <w:sz w:val="20"/>
          <w:szCs w:val="20"/>
          <w:color w:val="auto"/>
        </w:rPr>
      </w:pPr>
    </w:p>
    <w:p>
      <w:pPr>
        <w:ind w:right="440" w:firstLine="259"/>
        <w:spacing w:after="0" w:line="308" w:lineRule="auto"/>
        <w:rPr>
          <w:sz w:val="20"/>
          <w:szCs w:val="20"/>
          <w:color w:val="auto"/>
        </w:rPr>
      </w:pPr>
      <w:r>
        <w:rPr>
          <w:rFonts w:ascii="Arial" w:cs="Arial" w:eastAsia="Arial" w:hAnsi="Arial"/>
          <w:sz w:val="17"/>
          <w:szCs w:val="17"/>
          <w:color w:val="auto"/>
        </w:rPr>
        <w:t>For the three months ended September 30, 2018, we made new investment commitments of $142.1 million in four new portfolio companies and two existing portfolio companies. For this period, we had $118.8 million aggregate principal amount in exits and repayments.</w:t>
      </w:r>
    </w:p>
    <w:p>
      <w:pPr>
        <w:spacing w:after="0" w:line="147" w:lineRule="exact"/>
        <w:rPr>
          <w:sz w:val="20"/>
          <w:szCs w:val="20"/>
          <w:color w:val="auto"/>
        </w:rPr>
      </w:pPr>
    </w:p>
    <w:p>
      <w:pPr>
        <w:ind w:right="320" w:firstLine="259"/>
        <w:spacing w:after="0" w:line="308" w:lineRule="auto"/>
        <w:rPr>
          <w:sz w:val="20"/>
          <w:szCs w:val="20"/>
          <w:color w:val="auto"/>
        </w:rPr>
      </w:pPr>
      <w:r>
        <w:rPr>
          <w:rFonts w:ascii="Arial" w:cs="Arial" w:eastAsia="Arial" w:hAnsi="Arial"/>
          <w:sz w:val="17"/>
          <w:szCs w:val="17"/>
          <w:color w:val="auto"/>
        </w:rPr>
        <w:t>For the three months ended September 30, 2017, we made new investment commitments of $359.0 million in seven new portfolio companies and five existing portfolio companies. For this period, we had $330.9 million aggregate principal amount in exits and repayments.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49" w:name="page50"/>
    <w:bookmarkEnd w:id="49"/>
    <w:p>
      <w:pPr>
        <w:ind w:right="180" w:firstLine="259"/>
        <w:spacing w:after="0" w:line="277" w:lineRule="auto"/>
        <w:rPr>
          <w:sz w:val="20"/>
          <w:szCs w:val="20"/>
          <w:color w:val="auto"/>
        </w:rPr>
      </w:pPr>
      <w:r>
        <w:rPr>
          <w:rFonts w:ascii="Arial" w:cs="Arial" w:eastAsia="Arial" w:hAnsi="Arial"/>
          <w:sz w:val="18"/>
          <w:szCs w:val="18"/>
          <w:color w:val="auto"/>
        </w:rPr>
        <w:t>Our investment activity for the three months ended September 30, 2018 and 2017 is presented below (information presented herein is at par value unless otherwise indicated).</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r>
      <w:tr>
        <w:trPr>
          <w:trHeight w:val="133"/>
        </w:trPr>
        <w:tc>
          <w:tcPr>
            <w:tcW w:w="5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30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3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32"/>
              <w:spacing w:after="0" w:line="133" w:lineRule="exact"/>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11"/>
                <w:szCs w:val="11"/>
                <w:color w:val="auto"/>
              </w:rPr>
            </w:pPr>
          </w:p>
        </w:tc>
      </w:tr>
      <w:tr>
        <w:trPr>
          <w:trHeight w:val="171"/>
        </w:trPr>
        <w:tc>
          <w:tcPr>
            <w:tcW w:w="52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 in millions)</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200" w:type="dxa"/>
            <w:vAlign w:val="bottom"/>
          </w:tcPr>
          <w:p>
            <w:pPr>
              <w:ind w:left="240"/>
              <w:spacing w:after="0"/>
              <w:rPr>
                <w:sz w:val="20"/>
                <w:szCs w:val="20"/>
                <w:color w:val="auto"/>
              </w:rPr>
            </w:pPr>
            <w:r>
              <w:rPr>
                <w:rFonts w:ascii="Arial" w:cs="Arial" w:eastAsia="Arial" w:hAnsi="Arial"/>
                <w:sz w:val="18"/>
                <w:szCs w:val="18"/>
                <w:color w:val="auto"/>
              </w:rPr>
              <w:t>Gross originations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317.1</w:t>
            </w:r>
          </w:p>
        </w:tc>
        <w:tc>
          <w:tcPr>
            <w:tcW w:w="1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501.2</w:t>
            </w:r>
          </w:p>
        </w:tc>
        <w:tc>
          <w:tcPr>
            <w:tcW w:w="180" w:type="dxa"/>
            <w:vAlign w:val="bottom"/>
          </w:tcPr>
          <w:p>
            <w:pPr>
              <w:spacing w:after="0"/>
              <w:rPr>
                <w:sz w:val="19"/>
                <w:szCs w:val="19"/>
                <w:color w:val="auto"/>
              </w:rPr>
            </w:pPr>
          </w:p>
        </w:tc>
      </w:tr>
      <w:tr>
        <w:trPr>
          <w:trHeight w:val="230"/>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Syndications/sell downs</w:t>
            </w: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175.0</w:t>
            </w: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142.2</w:t>
            </w:r>
          </w:p>
        </w:tc>
        <w:tc>
          <w:tcPr>
            <w:tcW w:w="180" w:type="dxa"/>
            <w:vAlign w:val="bottom"/>
            <w:shd w:val="clear" w:color="auto" w:fill="CFF0FC"/>
          </w:tcPr>
          <w:p>
            <w:pPr>
              <w:spacing w:after="0"/>
              <w:rPr>
                <w:sz w:val="19"/>
                <w:szCs w:val="19"/>
                <w:color w:val="auto"/>
              </w:rPr>
            </w:pPr>
          </w:p>
        </w:tc>
      </w:tr>
      <w:tr>
        <w:trPr>
          <w:trHeight w:val="223"/>
        </w:trPr>
        <w:tc>
          <w:tcPr>
            <w:tcW w:w="5200" w:type="dxa"/>
            <w:vAlign w:val="bottom"/>
          </w:tcPr>
          <w:p>
            <w:pPr>
              <w:ind w:left="500"/>
              <w:spacing w:after="0"/>
              <w:rPr>
                <w:sz w:val="20"/>
                <w:szCs w:val="20"/>
                <w:color w:val="auto"/>
              </w:rPr>
            </w:pPr>
            <w:r>
              <w:rPr>
                <w:rFonts w:ascii="Arial" w:cs="Arial" w:eastAsia="Arial" w:hAnsi="Arial"/>
                <w:sz w:val="18"/>
                <w:szCs w:val="18"/>
                <w:color w:val="auto"/>
              </w:rPr>
              <w:t>Total new investment commitments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142.1</w:t>
            </w:r>
          </w:p>
        </w:tc>
        <w:tc>
          <w:tcPr>
            <w:tcW w:w="1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359.0</w:t>
            </w:r>
          </w:p>
        </w:tc>
        <w:tc>
          <w:tcPr>
            <w:tcW w:w="180" w:type="dxa"/>
            <w:vAlign w:val="bottom"/>
          </w:tcPr>
          <w:p>
            <w:pPr>
              <w:spacing w:after="0"/>
              <w:rPr>
                <w:sz w:val="19"/>
                <w:szCs w:val="19"/>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20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128.9</w:t>
            </w:r>
          </w:p>
        </w:tc>
        <w:tc>
          <w:tcPr>
            <w:tcW w:w="1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325.4</w:t>
            </w:r>
          </w:p>
        </w:tc>
        <w:tc>
          <w:tcPr>
            <w:tcW w:w="180" w:type="dxa"/>
            <w:vAlign w:val="bottom"/>
          </w:tcPr>
          <w:p>
            <w:pPr>
              <w:spacing w:after="0"/>
              <w:rPr>
                <w:sz w:val="19"/>
                <w:szCs w:val="19"/>
                <w:color w:val="auto"/>
              </w:rPr>
            </w:pPr>
          </w:p>
        </w:tc>
      </w:tr>
      <w:tr>
        <w:trPr>
          <w:trHeight w:val="230"/>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tcPr>
          <w:p>
            <w:pPr>
              <w:ind w:left="240"/>
              <w:spacing w:after="0"/>
              <w:rPr>
                <w:sz w:val="20"/>
                <w:szCs w:val="20"/>
                <w:color w:val="auto"/>
              </w:rPr>
            </w:pPr>
            <w:r>
              <w:rPr>
                <w:rFonts w:ascii="Arial" w:cs="Arial" w:eastAsia="Arial" w:hAnsi="Arial"/>
                <w:sz w:val="18"/>
                <w:szCs w:val="18"/>
                <w:color w:val="auto"/>
              </w:rPr>
              <w:t>Mezzanine</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w:t>
            </w: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FF0FC"/>
          </w:tcPr>
          <w:p>
            <w:pPr>
              <w:spacing w:after="0"/>
              <w:rPr>
                <w:sz w:val="19"/>
                <w:szCs w:val="19"/>
                <w:color w:val="auto"/>
              </w:rPr>
            </w:pPr>
          </w:p>
        </w:tc>
      </w:tr>
      <w:tr>
        <w:trPr>
          <w:trHeight w:val="223"/>
        </w:trPr>
        <w:tc>
          <w:tcPr>
            <w:tcW w:w="5200" w:type="dxa"/>
            <w:vAlign w:val="bottom"/>
          </w:tcPr>
          <w:p>
            <w:pPr>
              <w:ind w:left="50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134.0</w:t>
            </w:r>
          </w:p>
        </w:tc>
        <w:tc>
          <w:tcPr>
            <w:tcW w:w="1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328.9</w:t>
            </w:r>
          </w:p>
        </w:tc>
        <w:tc>
          <w:tcPr>
            <w:tcW w:w="180" w:type="dxa"/>
            <w:vAlign w:val="bottom"/>
          </w:tcPr>
          <w:p>
            <w:pPr>
              <w:spacing w:after="0"/>
              <w:rPr>
                <w:sz w:val="19"/>
                <w:szCs w:val="19"/>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520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118.8</w:t>
            </w:r>
          </w:p>
        </w:tc>
        <w:tc>
          <w:tcPr>
            <w:tcW w:w="1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330.1</w:t>
            </w:r>
          </w:p>
        </w:tc>
        <w:tc>
          <w:tcPr>
            <w:tcW w:w="180" w:type="dxa"/>
            <w:vAlign w:val="bottom"/>
          </w:tcPr>
          <w:p>
            <w:pPr>
              <w:spacing w:after="0"/>
              <w:rPr>
                <w:sz w:val="19"/>
                <w:szCs w:val="19"/>
                <w:color w:val="auto"/>
              </w:rPr>
            </w:pPr>
          </w:p>
        </w:tc>
      </w:tr>
      <w:tr>
        <w:trPr>
          <w:trHeight w:val="230"/>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tcPr>
          <w:p>
            <w:pPr>
              <w:ind w:left="240"/>
              <w:spacing w:after="0"/>
              <w:rPr>
                <w:sz w:val="20"/>
                <w:szCs w:val="20"/>
                <w:color w:val="auto"/>
              </w:rPr>
            </w:pPr>
            <w:r>
              <w:rPr>
                <w:rFonts w:ascii="Arial" w:cs="Arial" w:eastAsia="Arial" w:hAnsi="Arial"/>
                <w:sz w:val="18"/>
                <w:szCs w:val="18"/>
                <w:color w:val="auto"/>
              </w:rPr>
              <w:t>Mezzanine</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FF0FC"/>
          </w:tcPr>
          <w:p>
            <w:pPr>
              <w:spacing w:after="0"/>
              <w:rPr>
                <w:sz w:val="19"/>
                <w:szCs w:val="19"/>
                <w:color w:val="auto"/>
              </w:rPr>
            </w:pPr>
          </w:p>
        </w:tc>
      </w:tr>
      <w:tr>
        <w:trPr>
          <w:trHeight w:val="223"/>
        </w:trPr>
        <w:tc>
          <w:tcPr>
            <w:tcW w:w="52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1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330.9</w:t>
            </w:r>
          </w:p>
        </w:tc>
        <w:tc>
          <w:tcPr>
            <w:tcW w:w="180" w:type="dxa"/>
            <w:vAlign w:val="bottom"/>
            <w:tcBorders>
              <w:bottom w:val="single" w:sz="8" w:color="CFF0FC"/>
            </w:tcBorders>
          </w:tcPr>
          <w:p>
            <w:pPr>
              <w:spacing w:after="0"/>
              <w:rPr>
                <w:sz w:val="19"/>
                <w:szCs w:val="19"/>
                <w:color w:val="auto"/>
              </w:rPr>
            </w:pPr>
          </w:p>
        </w:tc>
      </w:tr>
      <w:tr>
        <w:trPr>
          <w:trHeight w:val="205"/>
        </w:trPr>
        <w:tc>
          <w:tcPr>
            <w:tcW w:w="520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Number of new investment commitments in</w:t>
            </w: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34"/>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20"/>
                <w:szCs w:val="20"/>
                <w:color w:val="auto"/>
              </w:rPr>
            </w:pPr>
          </w:p>
        </w:tc>
      </w:tr>
      <w:tr>
        <w:trPr>
          <w:trHeight w:val="211"/>
        </w:trPr>
        <w:tc>
          <w:tcPr>
            <w:tcW w:w="5200" w:type="dxa"/>
            <w:vAlign w:val="bottom"/>
          </w:tcPr>
          <w:p>
            <w:pPr>
              <w:spacing w:after="0"/>
              <w:rPr>
                <w:sz w:val="20"/>
                <w:szCs w:val="20"/>
                <w:color w:val="auto"/>
              </w:rPr>
            </w:pPr>
            <w:r>
              <w:rPr>
                <w:rFonts w:ascii="Arial" w:cs="Arial" w:eastAsia="Arial" w:hAnsi="Arial"/>
                <w:sz w:val="18"/>
                <w:szCs w:val="18"/>
                <w:b w:val="1"/>
                <w:bCs w:val="1"/>
                <w:color w:val="auto"/>
              </w:rPr>
              <w:t>Average new investment commitment amount in</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5200" w:type="dxa"/>
            <w:vAlign w:val="bottom"/>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33.7</w:t>
            </w:r>
          </w:p>
        </w:tc>
        <w:tc>
          <w:tcPr>
            <w:tcW w:w="1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40.9</w:t>
            </w:r>
          </w:p>
        </w:tc>
        <w:tc>
          <w:tcPr>
            <w:tcW w:w="180" w:type="dxa"/>
            <w:vAlign w:val="bottom"/>
          </w:tcPr>
          <w:p>
            <w:pPr>
              <w:spacing w:after="0"/>
              <w:rPr>
                <w:sz w:val="20"/>
                <w:szCs w:val="20"/>
                <w:color w:val="auto"/>
              </w:rPr>
            </w:pPr>
          </w:p>
        </w:tc>
      </w:tr>
      <w:tr>
        <w:trPr>
          <w:trHeight w:val="211"/>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term for new investment</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commitments in new portfolio companies</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 years)</w:t>
            </w: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FF0FC"/>
          </w:tcPr>
          <w:p>
            <w:pPr>
              <w:spacing w:after="0"/>
              <w:rPr>
                <w:sz w:val="20"/>
                <w:szCs w:val="20"/>
                <w:color w:val="auto"/>
              </w:rPr>
            </w:pPr>
          </w:p>
        </w:tc>
      </w:tr>
      <w:tr>
        <w:trPr>
          <w:trHeight w:val="211"/>
        </w:trPr>
        <w:tc>
          <w:tcPr>
            <w:tcW w:w="520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5200" w:type="dxa"/>
            <w:vAlign w:val="bottom"/>
          </w:tcPr>
          <w:p>
            <w:pPr>
              <w:ind w:left="140"/>
              <w:spacing w:after="0"/>
              <w:rPr>
                <w:sz w:val="20"/>
                <w:szCs w:val="20"/>
                <w:color w:val="auto"/>
              </w:rPr>
            </w:pPr>
            <w:r>
              <w:rPr>
                <w:rFonts w:ascii="Arial" w:cs="Arial" w:eastAsia="Arial" w:hAnsi="Arial"/>
                <w:sz w:val="18"/>
                <w:szCs w:val="18"/>
                <w:b w:val="1"/>
                <w:bCs w:val="1"/>
                <w:color w:val="auto"/>
              </w:rPr>
              <w:t>at floating rates</w:t>
            </w:r>
          </w:p>
        </w:tc>
        <w:tc>
          <w:tcPr>
            <w:tcW w:w="1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95.0%</w:t>
            </w:r>
          </w:p>
        </w:tc>
        <w:tc>
          <w:tcPr>
            <w:tcW w:w="3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11"/>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at fixed rates</w:t>
            </w: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r>
      <w:tr>
        <w:trPr>
          <w:trHeight w:val="211"/>
        </w:trPr>
        <w:tc>
          <w:tcPr>
            <w:tcW w:w="520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5200" w:type="dxa"/>
            <w:vAlign w:val="bottom"/>
          </w:tcPr>
          <w:p>
            <w:pPr>
              <w:ind w:left="140"/>
              <w:spacing w:after="0"/>
              <w:rPr>
                <w:sz w:val="20"/>
                <w:szCs w:val="20"/>
                <w:color w:val="auto"/>
              </w:rPr>
            </w:pPr>
            <w:r>
              <w:rPr>
                <w:rFonts w:ascii="Arial" w:cs="Arial" w:eastAsia="Arial" w:hAnsi="Arial"/>
                <w:sz w:val="18"/>
                <w:szCs w:val="18"/>
                <w:b w:val="1"/>
                <w:bCs w:val="1"/>
                <w:color w:val="auto"/>
              </w:rPr>
              <w:t>investment commitments</w:t>
            </w:r>
          </w:p>
        </w:tc>
        <w:tc>
          <w:tcPr>
            <w:tcW w:w="1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r>
      <w:tr>
        <w:trPr>
          <w:trHeight w:val="211"/>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spread over LIBOR of new</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floating rate investment commitments</w:t>
            </w: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w:t>
            </w:r>
          </w:p>
        </w:tc>
      </w:tr>
      <w:tr>
        <w:trPr>
          <w:trHeight w:val="211"/>
        </w:trPr>
        <w:tc>
          <w:tcPr>
            <w:tcW w:w="5200" w:type="dxa"/>
            <w:vAlign w:val="bottom"/>
          </w:tcPr>
          <w:p>
            <w:pPr>
              <w:spacing w:after="0"/>
              <w:rPr>
                <w:sz w:val="20"/>
                <w:szCs w:val="20"/>
                <w:color w:val="auto"/>
              </w:rPr>
            </w:pPr>
            <w:r>
              <w:rPr>
                <w:rFonts w:ascii="Arial" w:cs="Arial" w:eastAsia="Arial" w:hAnsi="Arial"/>
                <w:sz w:val="18"/>
                <w:szCs w:val="18"/>
                <w:b w:val="1"/>
                <w:bCs w:val="1"/>
                <w:color w:val="auto"/>
              </w:rPr>
              <w:t>Weighted average interest rate on investments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5200" w:type="dxa"/>
            <w:vAlign w:val="bottom"/>
          </w:tcPr>
          <w:p>
            <w:pPr>
              <w:ind w:left="140"/>
              <w:spacing w:after="0"/>
              <w:rPr>
                <w:sz w:val="20"/>
                <w:szCs w:val="20"/>
                <w:color w:val="auto"/>
              </w:rPr>
            </w:pPr>
            <w:r>
              <w:rPr>
                <w:rFonts w:ascii="Arial" w:cs="Arial" w:eastAsia="Arial" w:hAnsi="Arial"/>
                <w:sz w:val="18"/>
                <w:szCs w:val="18"/>
                <w:b w:val="1"/>
                <w:bCs w:val="1"/>
                <w:color w:val="auto"/>
              </w:rPr>
              <w:t>sold or paid down</w:t>
            </w:r>
          </w:p>
        </w:tc>
        <w:tc>
          <w:tcPr>
            <w:tcW w:w="1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c>
          <w:tcPr>
            <w:tcW w:w="3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r>
    </w:tbl>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September 30, 2018 and December 31, 2017, our investments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40" w:type="dxa"/>
            <w:vAlign w:val="bottom"/>
          </w:tcPr>
          <w:p>
            <w:pPr>
              <w:spacing w:after="0"/>
              <w:rPr>
                <w:sz w:val="14"/>
                <w:szCs w:val="14"/>
                <w:color w:val="auto"/>
              </w:rPr>
            </w:pPr>
          </w:p>
        </w:tc>
        <w:tc>
          <w:tcPr>
            <w:tcW w:w="2780" w:type="dxa"/>
            <w:vAlign w:val="bottom"/>
            <w:gridSpan w:val="4"/>
          </w:tcPr>
          <w:p>
            <w:pPr>
              <w:jc w:val="right"/>
              <w:ind w:right="833"/>
              <w:spacing w:after="0"/>
              <w:rPr>
                <w:sz w:val="20"/>
                <w:szCs w:val="20"/>
                <w:color w:val="auto"/>
              </w:rPr>
            </w:pPr>
            <w:r>
              <w:rPr>
                <w:rFonts w:ascii="Arial" w:cs="Arial" w:eastAsia="Arial" w:hAnsi="Arial"/>
                <w:sz w:val="14"/>
                <w:szCs w:val="14"/>
                <w:b w:val="1"/>
                <w:bCs w:val="1"/>
                <w:color w:val="auto"/>
              </w:rPr>
              <w:t>September 30, 2018</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20" w:type="dxa"/>
            <w:vAlign w:val="bottom"/>
            <w:gridSpan w:val="5"/>
          </w:tcPr>
          <w:p>
            <w:pPr>
              <w:ind w:left="700"/>
              <w:spacing w:after="0"/>
              <w:rPr>
                <w:sz w:val="20"/>
                <w:szCs w:val="20"/>
                <w:color w:val="auto"/>
              </w:rPr>
            </w:pPr>
            <w:r>
              <w:rPr>
                <w:rFonts w:ascii="Arial" w:cs="Arial" w:eastAsia="Arial" w:hAnsi="Arial"/>
                <w:sz w:val="14"/>
                <w:szCs w:val="14"/>
                <w:b w:val="1"/>
                <w:bCs w:val="1"/>
                <w:color w:val="auto"/>
              </w:rPr>
              <w:t>December 31, 2017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00" w:type="dxa"/>
            <w:vAlign w:val="bottom"/>
            <w:vMerge w:val="continue"/>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w w:val="96"/>
              </w:rPr>
              <w:t>Amortized Cost</w:t>
            </w:r>
          </w:p>
        </w:tc>
        <w:tc>
          <w:tcPr>
            <w:tcW w:w="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w w:val="96"/>
              </w:rPr>
              <w:t>Amortized Cost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1,855.3</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1,831.0</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1,581.3</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1,561.3</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1,981.9</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1,957.8</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1,693.7</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1,686.3</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494"/>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50" w:name="page51"/>
    <w:bookmarkEnd w:id="50"/>
    <w:p>
      <w:pPr>
        <w:ind w:right="140" w:firstLine="259"/>
        <w:spacing w:after="0" w:line="277" w:lineRule="auto"/>
        <w:rPr>
          <w:sz w:val="20"/>
          <w:szCs w:val="20"/>
          <w:color w:val="auto"/>
        </w:rPr>
      </w:pPr>
      <w:r>
        <w:rPr>
          <w:rFonts w:ascii="Arial" w:cs="Arial" w:eastAsia="Arial" w:hAnsi="Arial"/>
          <w:sz w:val="18"/>
          <w:szCs w:val="18"/>
          <w:color w:val="auto"/>
        </w:rPr>
        <w:t>The following tables show the fair value and amortized cost of our performing and non-accrual investments as of September 30, 2018 and December 31, 2017:</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7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gridSpan w:val="7"/>
          </w:tcPr>
          <w:p>
            <w:pPr>
              <w:jc w:val="right"/>
              <w:ind w:right="930"/>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6"/>
        </w:trPr>
        <w:tc>
          <w:tcPr>
            <w:tcW w:w="2700" w:type="dxa"/>
            <w:vAlign w:val="bottom"/>
            <w:tcBorders>
              <w:bottom w:val="single" w:sz="8" w:color="CFF0FC"/>
            </w:tcBorders>
            <w:vMerge w:val="continue"/>
          </w:tcPr>
          <w:p>
            <w:pPr>
              <w:spacing w:after="0"/>
              <w:rPr>
                <w:sz w:val="13"/>
                <w:szCs w:val="13"/>
                <w:color w:val="auto"/>
              </w:rPr>
            </w:pPr>
          </w:p>
        </w:tc>
        <w:tc>
          <w:tcPr>
            <w:tcW w:w="160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Borders>
              <w:top w:val="single" w:sz="8" w:color="auto"/>
              <w:bottom w:val="single" w:sz="8" w:color="CFF0FC"/>
            </w:tcBorders>
            <w:gridSpan w:val="3"/>
          </w:tcPr>
          <w:p>
            <w:pPr>
              <w:spacing w:after="0"/>
              <w:rPr>
                <w:sz w:val="13"/>
                <w:szCs w:val="13"/>
                <w:color w:val="auto"/>
              </w:rPr>
            </w:pPr>
          </w:p>
        </w:tc>
        <w:tc>
          <w:tcPr>
            <w:tcW w:w="1220" w:type="dxa"/>
            <w:vAlign w:val="bottom"/>
            <w:tcBorders>
              <w:top w:val="single" w:sz="8" w:color="auto"/>
              <w:bottom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Percentage</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16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1,981.9</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1,693.7</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(1)</w:t>
            </w:r>
          </w:p>
        </w:tc>
        <w:tc>
          <w:tcPr>
            <w:tcW w:w="16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gridSpan w:val="2"/>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6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1,981.9</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1,693.7</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70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7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60" w:type="dxa"/>
            <w:vAlign w:val="bottom"/>
            <w:gridSpan w:val="7"/>
          </w:tcPr>
          <w:p>
            <w:pPr>
              <w:jc w:val="right"/>
              <w:ind w:right="950"/>
              <w:spacing w:after="0"/>
              <w:rPr>
                <w:sz w:val="20"/>
                <w:szCs w:val="20"/>
                <w:color w:val="auto"/>
              </w:rPr>
            </w:pPr>
            <w:r>
              <w:rPr>
                <w:rFonts w:ascii="Arial" w:cs="Arial" w:eastAsia="Arial" w:hAnsi="Arial"/>
                <w:sz w:val="14"/>
                <w:szCs w:val="14"/>
                <w:b w:val="1"/>
                <w:bCs w:val="1"/>
                <w:color w:val="auto"/>
              </w:rPr>
              <w:t>September 30, 2018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6"/>
        </w:trPr>
        <w:tc>
          <w:tcPr>
            <w:tcW w:w="2700" w:type="dxa"/>
            <w:vAlign w:val="bottom"/>
            <w:tcBorders>
              <w:bottom w:val="single" w:sz="8" w:color="CFF0FC"/>
            </w:tcBorders>
            <w:vMerge w:val="continue"/>
          </w:tcPr>
          <w:p>
            <w:pPr>
              <w:spacing w:after="0"/>
              <w:rPr>
                <w:sz w:val="13"/>
                <w:szCs w:val="13"/>
                <w:color w:val="auto"/>
              </w:rPr>
            </w:pPr>
          </w:p>
        </w:tc>
        <w:tc>
          <w:tcPr>
            <w:tcW w:w="1600" w:type="dxa"/>
            <w:vAlign w:val="bottom"/>
            <w:tcBorders>
              <w:bottom w:val="single" w:sz="8" w:color="CFF0FC"/>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w w:val="92"/>
              </w:rPr>
              <w:t>Amortized Cost</w:t>
            </w:r>
          </w:p>
        </w:tc>
        <w:tc>
          <w:tcPr>
            <w:tcW w:w="280" w:type="dxa"/>
            <w:vAlign w:val="bottom"/>
            <w:tcBorders>
              <w:top w:val="single" w:sz="8" w:color="auto"/>
              <w:bottom w:val="single" w:sz="8" w:color="CFF0FC"/>
            </w:tcBorders>
            <w:gridSpan w:val="3"/>
          </w:tcPr>
          <w:p>
            <w:pPr>
              <w:spacing w:after="0"/>
              <w:rPr>
                <w:sz w:val="13"/>
                <w:szCs w:val="13"/>
                <w:color w:val="auto"/>
              </w:rPr>
            </w:pPr>
          </w:p>
        </w:tc>
        <w:tc>
          <w:tcPr>
            <w:tcW w:w="120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Percentage</w:t>
            </w:r>
          </w:p>
        </w:tc>
        <w:tc>
          <w:tcPr>
            <w:tcW w:w="260" w:type="dxa"/>
            <w:vAlign w:val="bottom"/>
            <w:tcBorders>
              <w:bottom w:val="single" w:sz="8" w:color="CFF0FC"/>
            </w:tcBorders>
            <w:gridSpan w:val="2"/>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w w:val="92"/>
              </w:rPr>
              <w:t>Amortized Cost</w:t>
            </w: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16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1,957.8</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1,686.3</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(1)</w:t>
            </w:r>
          </w:p>
        </w:tc>
        <w:tc>
          <w:tcPr>
            <w:tcW w:w="160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gridSpan w:val="2"/>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gridSpan w:val="2"/>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6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1,957.8</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1,686.3</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70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right="20" w:hanging="512"/>
        <w:spacing w:after="0" w:line="276" w:lineRule="auto"/>
        <w:tabs>
          <w:tab w:leader="none" w:pos="5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86"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color w:val="auto"/>
        </w:rPr>
        <w:t>The weighted average yields and interest rates of our performing debt investments at fair value as of September 30, 2018 and December 31, 2017 were as follows:</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16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September 30, 2018</w:t>
            </w:r>
          </w:p>
        </w:tc>
        <w:tc>
          <w:tcPr>
            <w:tcW w:w="15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December 31, 2017</w:t>
            </w:r>
          </w:p>
        </w:tc>
      </w:tr>
      <w:tr>
        <w:trPr>
          <w:trHeight w:val="209"/>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total yield of debt and income</w:t>
            </w:r>
          </w:p>
        </w:tc>
        <w:tc>
          <w:tcPr>
            <w:tcW w:w="136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30"/>
        </w:trPr>
        <w:tc>
          <w:tcPr>
            <w:tcW w:w="4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producing securities </w:t>
            </w:r>
            <w:r>
              <w:rPr>
                <w:rFonts w:ascii="Arial" w:cs="Arial" w:eastAsia="Arial" w:hAnsi="Arial"/>
                <w:sz w:val="15"/>
                <w:szCs w:val="15"/>
                <w:color w:val="auto"/>
              </w:rPr>
              <w:t>(1)</w:t>
            </w:r>
          </w:p>
        </w:tc>
        <w:tc>
          <w:tcPr>
            <w:tcW w:w="1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11.1%</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10.7%</w:t>
            </w:r>
          </w:p>
        </w:tc>
      </w:tr>
      <w:tr>
        <w:trPr>
          <w:trHeight w:val="215"/>
        </w:trPr>
        <w:tc>
          <w:tcPr>
            <w:tcW w:w="4760" w:type="dxa"/>
            <w:vAlign w:val="bottom"/>
          </w:tcPr>
          <w:p>
            <w:pPr>
              <w:spacing w:after="0"/>
              <w:rPr>
                <w:sz w:val="20"/>
                <w:szCs w:val="20"/>
                <w:color w:val="auto"/>
              </w:rPr>
            </w:pPr>
            <w:r>
              <w:rPr>
                <w:rFonts w:ascii="Arial" w:cs="Arial" w:eastAsia="Arial" w:hAnsi="Arial"/>
                <w:sz w:val="18"/>
                <w:szCs w:val="18"/>
                <w:color w:val="auto"/>
              </w:rPr>
              <w:t>Weighted average interest rate of debt and income</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producing securities</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10.8%</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r>
      <w:tr>
        <w:trPr>
          <w:trHeight w:val="215"/>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spread over LIBOR of all floating</w:t>
            </w:r>
          </w:p>
        </w:tc>
        <w:tc>
          <w:tcPr>
            <w:tcW w:w="1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4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rate investments </w:t>
            </w:r>
            <w:r>
              <w:rPr>
                <w:rFonts w:ascii="Arial" w:cs="Arial" w:eastAsia="Arial" w:hAnsi="Arial"/>
                <w:sz w:val="15"/>
                <w:szCs w:val="15"/>
                <w:color w:val="auto"/>
              </w:rPr>
              <w:t>(2)</w:t>
            </w:r>
          </w:p>
        </w:tc>
        <w:tc>
          <w:tcPr>
            <w:tcW w:w="1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8.6%</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w:t>
            </w:r>
          </w:p>
        </w:tc>
      </w:tr>
    </w:tbl>
    <w:p>
      <w:pPr>
        <w:spacing w:after="0" w:line="229"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Weighted average total portfolio yield at fair value was 10.8% at September 30, 2018 and 10.5% at December 31, 2017.</w:t>
      </w:r>
    </w:p>
    <w:p>
      <w:pPr>
        <w:spacing w:after="0" w:line="49" w:lineRule="exact"/>
        <w:rPr>
          <w:rFonts w:ascii="Arial" w:cs="Arial" w:eastAsia="Arial" w:hAnsi="Arial"/>
          <w:sz w:val="18"/>
          <w:szCs w:val="18"/>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fixed rate investments for which we entered into interest rate swap agreements to swap to floating rates.</w:t>
      </w:r>
    </w:p>
    <w:p>
      <w:pPr>
        <w:spacing w:after="0" w:line="239"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73" w:lineRule="exact"/>
        <w:rPr>
          <w:sz w:val="20"/>
          <w:szCs w:val="20"/>
          <w:color w:val="auto"/>
        </w:rPr>
      </w:pPr>
    </w:p>
    <w:p>
      <w:pPr>
        <w:ind w:left="520" w:hanging="255"/>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17" w:lineRule="exact"/>
        <w:rPr>
          <w:rFonts w:ascii="Arial" w:cs="Arial" w:eastAsia="Arial" w:hAnsi="Arial"/>
          <w:sz w:val="18"/>
          <w:szCs w:val="18"/>
          <w:color w:val="auto"/>
        </w:rPr>
      </w:pPr>
    </w:p>
    <w:p>
      <w:pPr>
        <w:ind w:left="520" w:right="220" w:hanging="255"/>
        <w:spacing w:after="0" w:line="277"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200" w:firstLine="259"/>
        <w:spacing w:after="0" w:line="264"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73" w:lineRule="exact"/>
        <w:rPr>
          <w:sz w:val="20"/>
          <w:szCs w:val="20"/>
          <w:color w:val="auto"/>
        </w:rPr>
      </w:pPr>
    </w:p>
    <w:p>
      <w:pPr>
        <w:jc w:val="both"/>
        <w:ind w:left="520" w:right="780" w:hanging="255"/>
        <w:spacing w:after="0" w:line="264"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51" w:name="page52"/>
    <w:bookmarkEnd w:id="51"/>
    <w:p>
      <w:pPr>
        <w:ind w:left="520" w:right="280" w:hanging="255"/>
        <w:spacing w:after="0" w:line="264"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73" w:lineRule="exact"/>
        <w:rPr>
          <w:rFonts w:ascii="Arial" w:cs="Arial" w:eastAsia="Arial" w:hAnsi="Arial"/>
          <w:sz w:val="18"/>
          <w:szCs w:val="18"/>
          <w:color w:val="auto"/>
        </w:rPr>
      </w:pPr>
    </w:p>
    <w:p>
      <w:pPr>
        <w:ind w:left="520" w:right="20" w:hanging="255"/>
        <w:spacing w:after="0" w:line="264"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73" w:lineRule="exact"/>
        <w:rPr>
          <w:rFonts w:ascii="Arial" w:cs="Arial" w:eastAsia="Arial" w:hAnsi="Arial"/>
          <w:sz w:val="18"/>
          <w:szCs w:val="18"/>
          <w:color w:val="auto"/>
        </w:rPr>
      </w:pPr>
    </w:p>
    <w:p>
      <w:pPr>
        <w:ind w:left="520" w:right="240" w:hanging="255"/>
        <w:spacing w:after="0" w:line="276" w:lineRule="auto"/>
        <w:tabs>
          <w:tab w:leader="none" w:pos="5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64" w:lineRule="exact"/>
        <w:rPr>
          <w:rFonts w:ascii="Arial" w:cs="Arial" w:eastAsia="Arial" w:hAnsi="Arial"/>
          <w:sz w:val="17"/>
          <w:szCs w:val="17"/>
          <w:color w:val="auto"/>
        </w:rPr>
      </w:pPr>
    </w:p>
    <w:p>
      <w:pPr>
        <w:ind w:left="520" w:right="120" w:hanging="255"/>
        <w:spacing w:after="0" w:line="259"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investments on a bi-monthly basis and, where possible, pursues workouts that achieve an early resolution to avoid further deterioration.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87" w:lineRule="exact"/>
        <w:rPr>
          <w:sz w:val="20"/>
          <w:szCs w:val="20"/>
          <w:color w:val="auto"/>
        </w:rPr>
      </w:pPr>
    </w:p>
    <w:p>
      <w:pPr>
        <w:ind w:right="20" w:firstLine="259"/>
        <w:spacing w:after="0" w:line="286" w:lineRule="auto"/>
        <w:rPr>
          <w:sz w:val="20"/>
          <w:szCs w:val="20"/>
          <w:color w:val="auto"/>
        </w:rPr>
      </w:pPr>
      <w:r>
        <w:rPr>
          <w:rFonts w:ascii="Arial" w:cs="Arial" w:eastAsia="Arial" w:hAnsi="Arial"/>
          <w:sz w:val="17"/>
          <w:szCs w:val="17"/>
          <w:color w:val="auto"/>
        </w:rPr>
        <w:t>The following table shows the distribution of our investments on the 1 to 5 investment performance rating scale at fair value as of September 30, 2018 and December 31, 2017. Investment performance ratings are accurate only as of those dates and may change due to subsequent developments relating to a portfolio company’s business or financial condition, market conditions or developments, and other factors.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w w:val="94"/>
              </w:rPr>
              <w:t>September 30, 2018</w:t>
            </w:r>
          </w:p>
        </w:tc>
        <w:tc>
          <w:tcPr>
            <w:tcW w:w="10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w w:val="95"/>
              </w:rPr>
              <w:t>December 31, 2017</w:t>
            </w:r>
          </w:p>
        </w:tc>
        <w:tc>
          <w:tcPr>
            <w:tcW w:w="1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80" w:type="dxa"/>
            <w:vAlign w:val="bottom"/>
            <w:gridSpan w:val="3"/>
          </w:tcPr>
          <w:p>
            <w:pPr>
              <w:jc w:val="center"/>
              <w:ind w:right="1140"/>
              <w:spacing w:after="0" w:line="147" w:lineRule="exact"/>
              <w:rPr>
                <w:sz w:val="20"/>
                <w:szCs w:val="20"/>
                <w:color w:val="auto"/>
              </w:rPr>
            </w:pPr>
            <w:r>
              <w:rPr>
                <w:rFonts w:ascii="Arial" w:cs="Arial" w:eastAsia="Arial" w:hAnsi="Arial"/>
                <w:sz w:val="14"/>
                <w:szCs w:val="14"/>
                <w:b w:val="1"/>
                <w:bCs w:val="1"/>
                <w:color w:val="auto"/>
                <w:w w:val="91"/>
              </w:rPr>
              <w:t>Investments at</w:t>
            </w: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760" w:type="dxa"/>
            <w:vAlign w:val="bottom"/>
            <w:gridSpan w:val="4"/>
          </w:tcPr>
          <w:p>
            <w:pPr>
              <w:jc w:val="center"/>
              <w:ind w:right="820"/>
              <w:spacing w:after="0" w:line="147" w:lineRule="exact"/>
              <w:rPr>
                <w:sz w:val="20"/>
                <w:szCs w:val="20"/>
                <w:color w:val="auto"/>
              </w:rPr>
            </w:pPr>
            <w:r>
              <w:rPr>
                <w:rFonts w:ascii="Arial" w:cs="Arial" w:eastAsia="Arial" w:hAnsi="Arial"/>
                <w:sz w:val="14"/>
                <w:szCs w:val="14"/>
                <w:b w:val="1"/>
                <w:bCs w:val="1"/>
                <w:color w:val="auto"/>
                <w:w w:val="91"/>
              </w:rPr>
              <w:t>Investments at</w:t>
            </w: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3"/>
              </w:rPr>
              <w:t>Performance</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3"/>
          </w:tcPr>
          <w:p>
            <w:pPr>
              <w:jc w:val="center"/>
              <w:ind w:right="1120"/>
              <w:spacing w:after="0"/>
              <w:rPr>
                <w:sz w:val="20"/>
                <w:szCs w:val="20"/>
                <w:color w:val="auto"/>
              </w:rPr>
            </w:pPr>
            <w:r>
              <w:rPr>
                <w:rFonts w:ascii="Arial" w:cs="Arial" w:eastAsia="Arial" w:hAnsi="Arial"/>
                <w:sz w:val="14"/>
                <w:szCs w:val="14"/>
                <w:b w:val="1"/>
                <w:bCs w:val="1"/>
                <w:color w:val="auto"/>
                <w:w w:val="95"/>
              </w:rPr>
              <w:t>Fair Value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Percentage of</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760" w:type="dxa"/>
            <w:vAlign w:val="bottom"/>
            <w:gridSpan w:val="4"/>
          </w:tcPr>
          <w:p>
            <w:pPr>
              <w:jc w:val="center"/>
              <w:ind w:right="800"/>
              <w:spacing w:after="0"/>
              <w:rPr>
                <w:sz w:val="20"/>
                <w:szCs w:val="20"/>
                <w:color w:val="auto"/>
              </w:rPr>
            </w:pPr>
            <w:r>
              <w:rPr>
                <w:rFonts w:ascii="Arial" w:cs="Arial" w:eastAsia="Arial" w:hAnsi="Arial"/>
                <w:sz w:val="14"/>
                <w:szCs w:val="14"/>
                <w:b w:val="1"/>
                <w:bCs w:val="1"/>
                <w:color w:val="auto"/>
                <w:w w:val="95"/>
              </w:rPr>
              <w:t>Fair Value</w:t>
            </w:r>
          </w:p>
        </w:tc>
        <w:tc>
          <w:tcPr>
            <w:tcW w:w="16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7"/>
              </w:rPr>
              <w:t>Percentage of</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w:t>
            </w:r>
          </w:p>
        </w:tc>
        <w:tc>
          <w:tcPr>
            <w:tcW w:w="3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3"/>
              </w:rPr>
              <w:t>($ in millions)</w:t>
            </w:r>
          </w:p>
        </w:tc>
        <w:tc>
          <w:tcPr>
            <w:tcW w:w="340" w:type="dxa"/>
            <w:vAlign w:val="bottom"/>
            <w:tcBorders>
              <w:bottom w:val="single" w:sz="8" w:color="CFF0FC"/>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Total Portfolio</w:t>
            </w:r>
          </w:p>
        </w:tc>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w w:val="91"/>
              </w:rPr>
              <w:t>in millions)</w:t>
            </w:r>
          </w:p>
        </w:tc>
        <w:tc>
          <w:tcPr>
            <w:tcW w:w="34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99"/>
              </w:rPr>
              <w:t>Total Portfolio</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1,675.1</w:t>
            </w:r>
          </w:p>
        </w:tc>
        <w:tc>
          <w:tcPr>
            <w:tcW w:w="3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84.5%</w:t>
            </w: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1,382.7</w:t>
            </w: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30"/>
        </w:trPr>
        <w:tc>
          <w:tcPr>
            <w:tcW w:w="2000" w:type="dxa"/>
            <w:vAlign w:val="bottom"/>
          </w:tcPr>
          <w:p>
            <w:pPr>
              <w:jc w:val="right"/>
              <w:ind w:right="816"/>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245.6</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12.4</w:t>
            </w: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250.9</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rPr>
              <w:t>3</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3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4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tcPr>
          <w:p>
            <w:pPr>
              <w:jc w:val="right"/>
              <w:ind w:right="816"/>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8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206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rPr>
              <w:t>5</w:t>
            </w:r>
          </w:p>
        </w:tc>
        <w:tc>
          <w:tcPr>
            <w:tcW w:w="3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32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1,981.9</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700" w:type="dxa"/>
            <w:vAlign w:val="bottom"/>
          </w:tcPr>
          <w:p>
            <w:pPr>
              <w:jc w:val="right"/>
              <w:ind w:right="54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1,693.7</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results for the three and nine months ended September 30, 2018 and 2017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6"/>
              </w:rPr>
              <w:t>For the Three Months Ended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7"/>
              </w:rPr>
              <w:t>For the Nine Months Ended</w:t>
            </w: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4920" w:type="dxa"/>
            <w:vAlign w:val="bottom"/>
            <w:gridSpan w:val="2"/>
            <w:vMerge w:val="restart"/>
          </w:tcPr>
          <w:p>
            <w:pPr>
              <w:ind w:left="500"/>
              <w:spacing w:after="0"/>
              <w:rPr>
                <w:sz w:val="20"/>
                <w:szCs w:val="20"/>
                <w:color w:val="auto"/>
              </w:rPr>
            </w:pPr>
            <w:r>
              <w:rPr>
                <w:rFonts w:ascii="Arial" w:cs="Arial" w:eastAsia="Arial" w:hAnsi="Arial"/>
                <w:sz w:val="14"/>
                <w:szCs w:val="14"/>
                <w:color w:val="auto"/>
              </w:rPr>
              <w:t>($ in millions)</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92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255"/>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232"/>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255"/>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ind w:right="252"/>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investment income</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w:t>
            </w:r>
          </w:p>
        </w:tc>
        <w:tc>
          <w:tcPr>
            <w:tcW w:w="4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Net expenses</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4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income before income taxes</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Less: Income taxes, including excise taxes</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4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income</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 xml:space="preserve">Net realized gains (losses) </w:t>
            </w:r>
            <w:r>
              <w:rPr>
                <w:rFonts w:ascii="Arial" w:cs="Arial" w:eastAsia="Arial" w:hAnsi="Arial"/>
                <w:sz w:val="15"/>
                <w:szCs w:val="15"/>
                <w:color w:val="auto"/>
              </w:rPr>
              <w:t>(1)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change in unrealized gains (losses) </w:t>
            </w:r>
            <w:r>
              <w:rPr>
                <w:rFonts w:ascii="Arial" w:cs="Arial" w:eastAsia="Arial" w:hAnsi="Arial"/>
                <w:sz w:val="15"/>
                <w:szCs w:val="15"/>
                <w:color w:val="auto"/>
              </w:rPr>
              <w:t>(1)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0" w:type="dxa"/>
            <w:vAlign w:val="bottom"/>
          </w:tcPr>
          <w:p>
            <w:pPr>
              <w:ind w:left="240"/>
              <w:spacing w:after="0"/>
              <w:rPr>
                <w:sz w:val="20"/>
                <w:szCs w:val="20"/>
                <w:color w:val="auto"/>
              </w:rPr>
            </w:pPr>
            <w:r>
              <w:rPr>
                <w:rFonts w:ascii="Arial" w:cs="Arial" w:eastAsia="Arial" w:hAnsi="Arial"/>
                <w:sz w:val="18"/>
                <w:szCs w:val="18"/>
                <w:b w:val="1"/>
                <w:bCs w:val="1"/>
                <w:color w:val="auto"/>
                <w:w w:val="93"/>
              </w:rPr>
              <w:t>Net increase in net assets resulting from operations</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4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50"/>
              <w:spacing w:after="0"/>
              <w:rPr>
                <w:sz w:val="20"/>
                <w:szCs w:val="20"/>
                <w:color w:val="auto"/>
              </w:rPr>
            </w:pPr>
            <w:r>
              <w:rPr>
                <w:rFonts w:ascii="Arial" w:cs="Arial" w:eastAsia="Arial" w:hAnsi="Arial"/>
                <w:sz w:val="18"/>
                <w:szCs w:val="18"/>
                <w:color w:val="auto"/>
                <w:w w:val="90"/>
              </w:rPr>
              <w:t>(1)</w:t>
            </w:r>
          </w:p>
        </w:tc>
        <w:tc>
          <w:tcPr>
            <w:tcW w:w="4920" w:type="dxa"/>
            <w:vAlign w:val="bottom"/>
            <w:gridSpan w:val="2"/>
            <w:vMerge w:val="restart"/>
          </w:tcPr>
          <w:p>
            <w:pPr>
              <w:ind w:left="160"/>
              <w:spacing w:after="0"/>
              <w:rPr>
                <w:sz w:val="20"/>
                <w:szCs w:val="20"/>
                <w:color w:val="auto"/>
              </w:rPr>
            </w:pPr>
            <w:r>
              <w:rPr>
                <w:rFonts w:ascii="Arial" w:cs="Arial" w:eastAsia="Arial" w:hAnsi="Arial"/>
                <w:sz w:val="18"/>
                <w:szCs w:val="18"/>
                <w:color w:val="auto"/>
              </w:rPr>
              <w:t>Includes foreign exchange hedging activity.</w:t>
            </w: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60" w:type="dxa"/>
            <w:vAlign w:val="bottom"/>
            <w:vMerge w:val="continue"/>
          </w:tcPr>
          <w:p>
            <w:pPr>
              <w:spacing w:after="0"/>
              <w:rPr>
                <w:sz w:val="24"/>
                <w:szCs w:val="24"/>
                <w:color w:val="auto"/>
              </w:rPr>
            </w:pPr>
          </w:p>
        </w:tc>
        <w:tc>
          <w:tcPr>
            <w:tcW w:w="49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1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w w:val="97"/>
              </w:rPr>
              <w:t>For the Three Months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6"/>
          </w:tcPr>
          <w:p>
            <w:pPr>
              <w:ind w:left="10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1"/>
        </w:trPr>
        <w:tc>
          <w:tcPr>
            <w:tcW w:w="3460" w:type="dxa"/>
            <w:vAlign w:val="bottom"/>
            <w:gridSpan w:val="2"/>
            <w:vMerge w:val="restart"/>
          </w:tcPr>
          <w:p>
            <w:pPr>
              <w:spacing w:after="0"/>
              <w:rPr>
                <w:sz w:val="20"/>
                <w:szCs w:val="20"/>
                <w:color w:val="auto"/>
              </w:rPr>
            </w:pPr>
            <w:r>
              <w:rPr>
                <w:rFonts w:ascii="Arial" w:cs="Arial" w:eastAsia="Arial" w:hAnsi="Arial"/>
                <w:sz w:val="14"/>
                <w:szCs w:val="14"/>
                <w:color w:val="auto"/>
              </w:rPr>
              <w:t>($ in millions)</w:t>
            </w:r>
          </w:p>
        </w:tc>
        <w:tc>
          <w:tcPr>
            <w:tcW w:w="1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60" w:type="dxa"/>
            <w:vAlign w:val="bottom"/>
            <w:gridSpan w:val="2"/>
            <w:vMerge w:val="continue"/>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258"/>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ind w:right="254"/>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258"/>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ind w:right="25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from investments</w:t>
            </w:r>
          </w:p>
        </w:tc>
        <w:tc>
          <w:tcPr>
            <w:tcW w:w="13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w:t>
            </w:r>
          </w:p>
        </w:tc>
        <w:tc>
          <w:tcPr>
            <w:tcW w:w="4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176.6</w:t>
            </w:r>
          </w:p>
        </w:tc>
        <w:tc>
          <w:tcPr>
            <w:tcW w:w="4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Dividend income</w:t>
            </w: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0.0</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3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ind w:left="240"/>
              <w:spacing w:after="0"/>
              <w:rPr>
                <w:sz w:val="20"/>
                <w:szCs w:val="20"/>
                <w:color w:val="auto"/>
              </w:rPr>
            </w:pPr>
            <w:r>
              <w:rPr>
                <w:rFonts w:ascii="Arial" w:cs="Arial" w:eastAsia="Arial" w:hAnsi="Arial"/>
                <w:sz w:val="18"/>
                <w:szCs w:val="18"/>
                <w:b w:val="1"/>
                <w:bCs w:val="1"/>
                <w:color w:val="auto"/>
              </w:rPr>
              <w:t>Total investment income</w:t>
            </w:r>
          </w:p>
        </w:tc>
        <w:tc>
          <w:tcPr>
            <w:tcW w:w="13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42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w:t>
            </w: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firstLine="259"/>
        <w:spacing w:after="0" w:line="287" w:lineRule="auto"/>
        <w:rPr>
          <w:sz w:val="20"/>
          <w:szCs w:val="20"/>
          <w:color w:val="auto"/>
        </w:rPr>
      </w:pPr>
      <w:r>
        <w:rPr>
          <w:rFonts w:ascii="Arial" w:cs="Arial" w:eastAsia="Arial" w:hAnsi="Arial"/>
          <w:sz w:val="16"/>
          <w:szCs w:val="16"/>
          <w:color w:val="auto"/>
        </w:rPr>
        <w:t>Interest from investments, which includes amortization of upfront fees and prepayment fees, increased from $48.7 million for the three months ended September 30, 2017 to $61.8 million for the three months ended September 30, 2018. The average size of our investment portfolio increased from $1.6 billion for the three months ended September 30, 2017 to $2.0 billion for the three months ended September 30, 2018. Accelerated amortization of upfront fees primarily from unscheduled paydowns decreased from $5.0 million for the three months ended September 30, 2017 to $1.7 million for the three months ended September 30, 2018. Prepayment fees increased from $1.8 million for the three months ended September 30, 2017 to $3.5 million for the three months ended September 30, 2018. During the three months ended September 30, 2017 accelerated amortization and prepayment fees primarily resulted from full paydowns on nine portfolio investments and earning prepayment fees on two portfolio investments. During the three months ended September 30, 2018 accelerated amortization and prepayment fees primarily resulted from full paydowns on three portfolio investments and earning prepayment fees on one portfolio investment. Dividend income remained flat at less than $0.1 million for both the three months ended September 30, 2017 and 2018. Other income decreased from $3.6 million for the three months ended September 30, 2017 to $1.2 million for the three months ended September 30, 2018, primarily due to higher syndication, amendment, and agency fees during the third quarter of 2017 compared to the same period in 2018.</w:t>
      </w:r>
    </w:p>
    <w:p>
      <w:pPr>
        <w:spacing w:after="0" w:line="254" w:lineRule="exact"/>
        <w:rPr>
          <w:sz w:val="20"/>
          <w:szCs w:val="20"/>
          <w:color w:val="auto"/>
        </w:rPr>
      </w:pPr>
    </w:p>
    <w:p>
      <w:pPr>
        <w:ind w:right="60" w:firstLine="259"/>
        <w:spacing w:after="0" w:line="287" w:lineRule="auto"/>
        <w:rPr>
          <w:sz w:val="20"/>
          <w:szCs w:val="20"/>
          <w:color w:val="auto"/>
        </w:rPr>
      </w:pPr>
      <w:r>
        <w:rPr>
          <w:rFonts w:ascii="Arial" w:cs="Arial" w:eastAsia="Arial" w:hAnsi="Arial"/>
          <w:sz w:val="16"/>
          <w:szCs w:val="16"/>
          <w:color w:val="auto"/>
        </w:rPr>
        <w:t>Interest from investments, which includes amortization of upfront fees and prepayment fees, increased from $153.9 million for the nine months ended September 30, 2017 to $176.6 million for the nine months ended September 30, 2018. The average size of our investment portfolio increased from $1.6 billion for the nine months ended September 30, 2017 to $1.9 billion for nine months ended September 30, 2018. In addition, accelerated amortization of upfront fees primarily from unscheduled paydowns decreased from $19.0 million for the nine months ended September 30, 2017 to $7.8 million for the nine months ended September 30, 2018; and prepayment fees decreased from $11.5 million for the nine months ended September 30, 2017 to $10.3 million for the nine months ended September 30, 2018. The accelerated amortization and prepayment fees primarily resulted from full paydowns on nineteen portfolio investments; partial paydowns on six portfolio investments and earning prepayment fees on ten portfolio investments during the nine months ended September 30, 2017 and full paydowns on nine portfolio investments, a partial paydown on one portfolio investment, a partial realization on one portfolio investment, and earning prepayment fees on nine portfolio investments during the nine months ended September 30, 2018. The decrease in paydowns during the nine months ended September 30, 2018 compared to the nine months ended September 30, 2017 was primarily the result of movement in credit spreads. Other income increased from $8.2 million for the nine months ended September 30, 2017 to $10.4 million for the nine months ended September 30, 2018, primarily due to higher syndication, amendment, commitment and agency fees earned during the first three quarters of 2018.</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expenses for the three and nine months ended September 30, 2018 and 2017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Nine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20" w:type="dxa"/>
            <w:vAlign w:val="bottom"/>
            <w:gridSpan w:val="2"/>
            <w:vMerge w:val="restart"/>
          </w:tcPr>
          <w:p>
            <w:pPr>
              <w:ind w:left="860"/>
              <w:spacing w:after="0"/>
              <w:rPr>
                <w:sz w:val="20"/>
                <w:szCs w:val="20"/>
                <w:color w:val="auto"/>
              </w:rPr>
            </w:pPr>
            <w:r>
              <w:rPr>
                <w:rFonts w:ascii="Arial" w:cs="Arial" w:eastAsia="Arial" w:hAnsi="Arial"/>
                <w:sz w:val="14"/>
                <w:szCs w:val="14"/>
                <w:color w:val="auto"/>
              </w:rPr>
              <w:t>($ in millions)</w:t>
            </w: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2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jc w:val="right"/>
              <w:ind w:right="332"/>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15"/>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jc w:val="right"/>
              <w:ind w:right="332"/>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w:t>
            </w: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4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4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80" w:type="dxa"/>
            <w:vAlign w:val="bottom"/>
            <w:tcBorders>
              <w:top w:val="single" w:sz="8" w:color="CFF0FC"/>
            </w:tcBorders>
            <w:shd w:val="clear" w:color="auto" w:fill="CFF0FC"/>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Management fees (net of waivers)</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21.5</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80" w:type="dxa"/>
            <w:vAlign w:val="bottom"/>
          </w:tcPr>
          <w:p>
            <w:pPr>
              <w:spacing w:after="0"/>
              <w:rPr>
                <w:sz w:val="18"/>
                <w:szCs w:val="18"/>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Incentive fees related to pre-incentive fee net</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investment</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9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income (net of waivers)</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4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4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FF0FC"/>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8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w w:val="96"/>
              </w:rPr>
              <w:t>Incentive fees related to realized/unrealized capital</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ind w:left="860"/>
              <w:spacing w:after="0"/>
              <w:rPr>
                <w:sz w:val="20"/>
                <w:szCs w:val="20"/>
                <w:color w:val="auto"/>
              </w:rPr>
            </w:pPr>
            <w:r>
              <w:rPr>
                <w:rFonts w:ascii="Arial" w:cs="Arial" w:eastAsia="Arial" w:hAnsi="Arial"/>
                <w:sz w:val="18"/>
                <w:szCs w:val="18"/>
                <w:color w:val="auto"/>
              </w:rPr>
              <w:t>gains</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FF0FC"/>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Directors fees</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4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4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FF0FC"/>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940" w:type="dxa"/>
            <w:vAlign w:val="bottom"/>
          </w:tcPr>
          <w:p>
            <w:pPr>
              <w:ind w:left="240"/>
              <w:spacing w:after="0"/>
              <w:rPr>
                <w:sz w:val="20"/>
                <w:szCs w:val="20"/>
                <w:color w:val="auto"/>
              </w:rPr>
            </w:pPr>
            <w:r>
              <w:rPr>
                <w:rFonts w:ascii="Arial" w:cs="Arial" w:eastAsia="Arial" w:hAnsi="Arial"/>
                <w:sz w:val="18"/>
                <w:szCs w:val="18"/>
                <w:b w:val="1"/>
                <w:bCs w:val="1"/>
                <w:color w:val="auto"/>
              </w:rPr>
              <w:t>Net Expenses</w:t>
            </w:r>
          </w:p>
        </w:tc>
        <w:tc>
          <w:tcPr>
            <w:tcW w:w="30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42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42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314"/>
              <w:spacing w:after="0"/>
              <w:rPr>
                <w:sz w:val="20"/>
                <w:szCs w:val="20"/>
                <w:color w:val="auto"/>
              </w:rPr>
            </w:pPr>
            <w:r>
              <w:rPr>
                <w:rFonts w:ascii="Arial" w:cs="Arial" w:eastAsia="Arial" w:hAnsi="Arial"/>
                <w:sz w:val="18"/>
                <w:szCs w:val="18"/>
                <w:color w:val="auto"/>
              </w:rPr>
              <w:t>53</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90" w:right="219" w:bottom="1440" w:gutter="0" w:footer="0" w:header="0"/>
        </w:sectPr>
      </w:pPr>
    </w:p>
    <w:bookmarkStart w:id="53" w:name="page54"/>
    <w:bookmarkEnd w:id="53"/>
    <w:p>
      <w:pPr>
        <w:ind w:left="260"/>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Interest expense, including other debt financing expenses, increased from $5.5 million for the three months ended September 30, 2017 to $12.0 million for the three months ended September 30, 2018. This increase was primarily due to an increase in LIBOR and a larger outstanding debt balance during the three months ended September 30, 2018. The average interest rate on our debt outstanding was 2.7% for the three months ended September 30, 2017 and 4.3% for the three months ended September 30, 2018.</w:t>
      </w:r>
    </w:p>
    <w:p>
      <w:pPr>
        <w:spacing w:after="0" w:line="79"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color w:val="auto"/>
        </w:rPr>
        <w:t>Interest expense, including other debt financing expenses, increased from $20.0 million for the nine months ended September 30, 2017 to $32.2 million for the nine months ended September 30, 2018. This increase was primarily due to a larger outstanding debt balance during the nine months ended September 30, 2018 and an increase in the average interest rate on our debt outstanding from 3.3% for the nine months ended September 30, 2017 to 4.0% for the nine months ended September 30, 2018 following issuance of the 2023 Notes, the additional issuance of the 2022 Convertible Notes and an increase in LIBOR.</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Management Fees</w:t>
      </w:r>
    </w:p>
    <w:p>
      <w:pPr>
        <w:spacing w:after="0" w:line="117" w:lineRule="exact"/>
        <w:rPr>
          <w:sz w:val="20"/>
          <w:szCs w:val="20"/>
          <w:color w:val="auto"/>
        </w:rPr>
      </w:pPr>
    </w:p>
    <w:p>
      <w:pPr>
        <w:ind w:right="140" w:firstLine="259"/>
        <w:spacing w:after="0" w:line="286" w:lineRule="auto"/>
        <w:rPr>
          <w:sz w:val="20"/>
          <w:szCs w:val="20"/>
          <w:color w:val="auto"/>
        </w:rPr>
      </w:pPr>
      <w:r>
        <w:rPr>
          <w:rFonts w:ascii="Arial" w:cs="Arial" w:eastAsia="Arial" w:hAnsi="Arial"/>
          <w:sz w:val="17"/>
          <w:szCs w:val="17"/>
          <w:color w:val="auto"/>
        </w:rPr>
        <w:t>Management Fees increased from $6.0 million for the three months ended September 30, 2017 to $7.5 million for the three months ended September 30, 2018 due to an increase in assets for the three months ended September 30, 2018 compared to the same period in 2017. The Adviser did not waive any Management Fees for the three months ended September 30, 2017 or for the three months ended September 30, 2018.</w:t>
      </w:r>
    </w:p>
    <w:p>
      <w:pPr>
        <w:spacing w:after="0" w:line="57" w:lineRule="exact"/>
        <w:rPr>
          <w:sz w:val="20"/>
          <w:szCs w:val="20"/>
          <w:color w:val="auto"/>
        </w:rPr>
      </w:pPr>
    </w:p>
    <w:p>
      <w:pPr>
        <w:ind w:right="20" w:firstLine="259"/>
        <w:spacing w:after="0" w:line="297" w:lineRule="auto"/>
        <w:rPr>
          <w:sz w:val="20"/>
          <w:szCs w:val="20"/>
          <w:color w:val="auto"/>
        </w:rPr>
      </w:pPr>
      <w:r>
        <w:rPr>
          <w:rFonts w:ascii="Arial" w:cs="Arial" w:eastAsia="Arial" w:hAnsi="Arial"/>
          <w:sz w:val="16"/>
          <w:szCs w:val="16"/>
          <w:color w:val="auto"/>
        </w:rPr>
        <w:t>Management Fees (net of waivers) increased from $18.0 million for the nine months ended September 30, 2017 to $21.5 million for the nine months ended September 30, 2018. Management Fees (gross of waivers) increased from $18.0 million for the nine months ended September 30, 2017 to $21.5 million for the nine months ended September 30, 2018 due to an increase in total assets compared to the same period in 2017. Management Fees waived were less than $0.1 million for the nine months ended September 30, 2018, consisting solely of Management Fees attributable to our ownership of shares of common stock in the TCAP Shares. The Adviser did not waive any Management Fees for the nine months ended September 30, 2017.</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Any waived Management Fees are not subject to recoupment by the Adviser.</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Incentive Fees</w:t>
      </w:r>
    </w:p>
    <w:p>
      <w:pPr>
        <w:spacing w:after="0" w:line="117" w:lineRule="exact"/>
        <w:rPr>
          <w:sz w:val="20"/>
          <w:szCs w:val="20"/>
          <w:color w:val="auto"/>
        </w:rPr>
      </w:pPr>
    </w:p>
    <w:p>
      <w:pPr>
        <w:ind w:right="40" w:firstLine="259"/>
        <w:spacing w:after="0" w:line="276" w:lineRule="auto"/>
        <w:rPr>
          <w:sz w:val="20"/>
          <w:szCs w:val="20"/>
          <w:color w:val="auto"/>
        </w:rPr>
      </w:pPr>
      <w:r>
        <w:rPr>
          <w:rFonts w:ascii="Arial" w:cs="Arial" w:eastAsia="Arial" w:hAnsi="Arial"/>
          <w:sz w:val="17"/>
          <w:szCs w:val="17"/>
          <w:color w:val="auto"/>
        </w:rPr>
        <w:t>Incentive Fees related to pre-Incentive Fee net investment income increased from $6.5 million for the three months ended September 30, 2017 to $6.9 million for the three months ended September 30, 2018. This increase resulted from an increase in pre-incentive fee net investment income resulting from our larger investment portfolio for the three months ended September 30, 2018. The Adviser did not waive any Incentive Fees related to pre-Incentive Fee net investment income for the three months ended September 30, 2017 and 2018. There were no Incentive Fees related to capital gains and losses for each of the three months ended September 30, 2018 and 2017 due to cumulative realized losses on our investments.</w:t>
      </w:r>
    </w:p>
    <w:p>
      <w:pPr>
        <w:spacing w:after="0" w:line="64"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Incentive Fees (net of waivers) related to pre-Incentive Fee net investment income increased from $19.8 million for the nine months ended September 30, 2017 to $21.2 million for the nine months ended September 30, 2018. This increase resulted from an increase in pre-incentive fee net investment income resulting from our larger investment portfolio nine months ended September 30, 2018. For the nine months ended September 30, 2018, Incentive Fees related to pre-Incentive Fee net investment income of less than $0.1 million were waived, consisting solely of Incentive Fees attributable to our ownership of the TCAP Shares. There were no Incentive Fees related to pre-Incentive Fee net investment income waived for the nine months ended September 30, 2017. There were no Incentive Fees related to capital gains and losses for the nine months ended September 30, 2018 and 2017 due to cumulative realized losses on our investments.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Any waived Incentive Fees are not subject to recoupment by the Adviser.</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Professional Fees and Other General and Administrative Expenses</w:t>
      </w:r>
    </w:p>
    <w:p>
      <w:pPr>
        <w:spacing w:after="0" w:line="117"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color w:val="auto"/>
        </w:rPr>
        <w:t>Professional fees increased from $1.2 million for the three months ended September 30, 2017 to $2.1 million for the three months ended September 30, 2018. Other general and administrative fees increased from $1.4 million for the three months ended September 30, 2017 to $1.5 million for the three months ended September 30, 2018.</w:t>
      </w:r>
    </w:p>
    <w:p>
      <w:pPr>
        <w:spacing w:after="0" w:line="73" w:lineRule="exact"/>
        <w:rPr>
          <w:sz w:val="20"/>
          <w:szCs w:val="20"/>
          <w:color w:val="auto"/>
        </w:rPr>
      </w:pPr>
    </w:p>
    <w:p>
      <w:pPr>
        <w:ind w:right="220" w:firstLine="259"/>
        <w:spacing w:after="0" w:line="259" w:lineRule="auto"/>
        <w:rPr>
          <w:sz w:val="20"/>
          <w:szCs w:val="20"/>
          <w:color w:val="auto"/>
        </w:rPr>
      </w:pPr>
      <w:r>
        <w:rPr>
          <w:rFonts w:ascii="Arial" w:cs="Arial" w:eastAsia="Arial" w:hAnsi="Arial"/>
          <w:sz w:val="18"/>
          <w:szCs w:val="18"/>
          <w:color w:val="auto"/>
        </w:rPr>
        <w:t>Professional fees increased from $4.3 million for the nine months ended September 30, 2017 to $5.8 million for the nine months ended September 30, 2018 primarily due to the recognition of remaining non-recurring expenses associated with the initial shelf registration statement that were previously recorded as deferred financing costs and costs associated with shareholder meetings. Other general and administrative fees remained flat at $4.0 million for the nine months ended September 30, 2017 and 2018.</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117" w:lineRule="exact"/>
        <w:rPr>
          <w:sz w:val="20"/>
          <w:szCs w:val="20"/>
          <w:color w:val="auto"/>
        </w:rPr>
      </w:pPr>
    </w:p>
    <w:p>
      <w:pPr>
        <w:ind w:right="120" w:firstLine="259"/>
        <w:spacing w:after="0" w:line="257"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8" w:lineRule="exact"/>
        <w:rPr>
          <w:sz w:val="20"/>
          <w:szCs w:val="20"/>
          <w:color w:val="auto"/>
        </w:rPr>
      </w:pPr>
    </w:p>
    <w:p>
      <w:pPr>
        <w:ind w:right="40" w:firstLine="259"/>
        <w:spacing w:after="0" w:line="259" w:lineRule="auto"/>
        <w:rPr>
          <w:sz w:val="20"/>
          <w:szCs w:val="20"/>
          <w:color w:val="auto"/>
        </w:rPr>
      </w:pPr>
      <w:r>
        <w:rPr>
          <w:rFonts w:ascii="Arial" w:cs="Arial" w:eastAsia="Arial" w:hAnsi="Arial"/>
          <w:sz w:val="18"/>
          <w:szCs w:val="18"/>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87"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8"/>
          <w:szCs w:val="18"/>
          <w:color w:val="auto"/>
        </w:rPr>
        <w:t>For the three and nine months ended September 30, 2018, we recorded a net expense of $0.7 million and $2.4 million, respectively, for U.S. federal excise tax. For the three and nine months ended September 30, 2017 we recorded a net expense of $0.7 million and $2.3 million, respectively, for U.S. federal excise tax.</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and Unrealized Gains and Losses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summarizes our net realized and unrealized gains (losses) for the three and nine months ended September 30, 2018 and 2017:</w:t>
      </w:r>
    </w:p>
    <w:p>
      <w:pPr>
        <w:spacing w:after="0" w:line="229"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For the 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7"/>
              </w:rPr>
              <w:t>For the Nine Months Ended</w:t>
            </w:r>
          </w:p>
        </w:tc>
        <w:tc>
          <w:tcPr>
            <w:tcW w:w="0" w:type="dxa"/>
            <w:vAlign w:val="bottom"/>
          </w:tcPr>
          <w:p>
            <w:pPr>
              <w:spacing w:after="0"/>
              <w:rPr>
                <w:sz w:val="1"/>
                <w:szCs w:val="1"/>
                <w:color w:val="auto"/>
              </w:rPr>
            </w:pPr>
          </w:p>
        </w:tc>
      </w:tr>
      <w:tr>
        <w:trPr>
          <w:trHeight w:val="171"/>
        </w:trPr>
        <w:tc>
          <w:tcPr>
            <w:tcW w:w="4700" w:type="dxa"/>
            <w:vAlign w:val="bottom"/>
            <w:gridSpan w:val="2"/>
            <w:vMerge w:val="restart"/>
          </w:tcPr>
          <w:p>
            <w:pPr>
              <w:spacing w:after="0"/>
              <w:rPr>
                <w:sz w:val="20"/>
                <w:szCs w:val="20"/>
                <w:color w:val="auto"/>
              </w:rPr>
            </w:pPr>
            <w:r>
              <w:rPr>
                <w:rFonts w:ascii="Arial" w:cs="Arial" w:eastAsia="Arial" w:hAnsi="Arial"/>
                <w:sz w:val="14"/>
                <w:szCs w:val="14"/>
                <w:color w:val="auto"/>
              </w:rPr>
              <w:t>($ in millions)</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0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27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w w:val="83"/>
              </w:rPr>
              <w:t>2017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w w:val="89"/>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realized losses on investments</w:t>
            </w:r>
          </w:p>
        </w:tc>
        <w:tc>
          <w:tcPr>
            <w:tcW w:w="34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vMerge w:val="continue"/>
            <w:shd w:val="clear" w:color="auto" w:fill="CFF0FC"/>
          </w:tcPr>
          <w:p>
            <w:pPr>
              <w:spacing w:after="0"/>
              <w:rPr>
                <w:sz w:val="19"/>
                <w:szCs w:val="19"/>
                <w:color w:val="auto"/>
              </w:rPr>
            </w:pPr>
          </w:p>
        </w:tc>
        <w:tc>
          <w:tcPr>
            <w:tcW w:w="34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(6.5)</w:t>
            </w:r>
          </w:p>
        </w:tc>
        <w:tc>
          <w:tcPr>
            <w:tcW w:w="8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w w:val="98"/>
              </w:rPr>
              <w:t>Net realized gains (losses) on foreign currency transactions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w w:val="98"/>
              </w:rPr>
              <w:t>Net realized gains (losses) on foreign currency investments</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realized gains (losses) on foreign currency borrowings</w:t>
            </w:r>
          </w:p>
        </w:tc>
        <w:tc>
          <w:tcPr>
            <w:tcW w:w="3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realized Gains (Losses)</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Change in unrealized gains on investments</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1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Change in unrealized losses on investments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(33.5)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w w:val="95"/>
              </w:rPr>
              <w:t>Net Change in Unrealized Gains (Losses) on Investments</w:t>
            </w:r>
          </w:p>
        </w:tc>
        <w:tc>
          <w:tcPr>
            <w:tcW w:w="34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vMerge w:val="continue"/>
            <w:shd w:val="clear" w:color="auto" w:fill="CFF0FC"/>
          </w:tcPr>
          <w:p>
            <w:pPr>
              <w:spacing w:after="0"/>
              <w:rPr>
                <w:sz w:val="19"/>
                <w:szCs w:val="19"/>
                <w:color w:val="auto"/>
              </w:rPr>
            </w:pPr>
          </w:p>
        </w:tc>
        <w:tc>
          <w:tcPr>
            <w:tcW w:w="34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(5.2)</w:t>
            </w:r>
          </w:p>
        </w:tc>
        <w:tc>
          <w:tcPr>
            <w:tcW w:w="8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Unrealized appreciation (depreciation) on foreign currency</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ind w:left="120"/>
              <w:spacing w:after="0"/>
              <w:rPr>
                <w:sz w:val="20"/>
                <w:szCs w:val="20"/>
                <w:color w:val="auto"/>
              </w:rPr>
            </w:pPr>
            <w:r>
              <w:rPr>
                <w:rFonts w:ascii="Arial" w:cs="Arial" w:eastAsia="Arial" w:hAnsi="Arial"/>
                <w:sz w:val="18"/>
                <w:szCs w:val="18"/>
                <w:color w:val="auto"/>
              </w:rPr>
              <w:t>borrowings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Unrealized appreciation (depreciation) on foreign</w:t>
            </w: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currency cash and forward contracts</w:t>
            </w:r>
          </w:p>
        </w:tc>
        <w:tc>
          <w:tcPr>
            <w:tcW w:w="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w w:val="96"/>
              </w:rPr>
              <w:t>Unrealized appreciation (depreciation) on interest rate swaps</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8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Net Change in Unrealized Gains (Losses) on Foreign</w:t>
            </w:r>
          </w:p>
        </w:tc>
        <w:tc>
          <w:tcPr>
            <w:tcW w:w="3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Currency Transactions and Interest Rate Swaps</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w:t>
            </w:r>
          </w:p>
        </w:tc>
        <w:tc>
          <w:tcPr>
            <w:tcW w:w="42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(5.7)</w:t>
            </w:r>
          </w:p>
        </w:tc>
        <w:tc>
          <w:tcPr>
            <w:tcW w:w="4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Change in Unrealized Gains (Losses)</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firstLine="259"/>
        <w:spacing w:after="0" w:line="255" w:lineRule="auto"/>
        <w:rPr>
          <w:sz w:val="20"/>
          <w:szCs w:val="20"/>
          <w:color w:val="auto"/>
        </w:rPr>
      </w:pPr>
      <w:r>
        <w:rPr>
          <w:rFonts w:ascii="Arial" w:cs="Arial" w:eastAsia="Arial" w:hAnsi="Arial"/>
          <w:sz w:val="18"/>
          <w:szCs w:val="18"/>
          <w:color w:val="auto"/>
        </w:rPr>
        <w:t>For the three and nine months ended September 30, 2018 we had net realized gains on investments of less than $0.1 million and net realized losses on investments of $6.5 million, respectively. For the three and nine months ended September 30, 2018, we had net realized gains of less than $0.1 million and net realized gains of $0.2 million, respectively, on foreign currency transactions, primarily as a result of translating foreign currency related to our non-USD denominated investments. For both the three and nine months ended September 30, 2018, we had net realized losses of $1.4 million on foreign currency investments. For both the three and nine months ended September 30, 2018, we had net realized gains of $1.7 million on foreign currency borrowings. The net realized gains on</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55" w:name="page56"/>
    <w:bookmarkEnd w:id="55"/>
    <w:p>
      <w:pPr>
        <w:ind w:right="280"/>
        <w:spacing w:after="0" w:line="277" w:lineRule="auto"/>
        <w:rPr>
          <w:sz w:val="20"/>
          <w:szCs w:val="20"/>
          <w:color w:val="auto"/>
        </w:rPr>
      </w:pPr>
      <w:r>
        <w:rPr>
          <w:rFonts w:ascii="Arial" w:cs="Arial" w:eastAsia="Arial" w:hAnsi="Arial"/>
          <w:sz w:val="18"/>
          <w:szCs w:val="18"/>
          <w:color w:val="auto"/>
        </w:rPr>
        <w:t>foreign currency borrowings and foreign currency investments for the three and nine months ended September 30, 2018 were a result of a full paydown on one investment and a partial realization on one investment.</w:t>
      </w:r>
    </w:p>
    <w:p>
      <w:pPr>
        <w:spacing w:after="0" w:line="170" w:lineRule="exact"/>
        <w:rPr>
          <w:sz w:val="20"/>
          <w:szCs w:val="20"/>
          <w:color w:val="auto"/>
        </w:rPr>
      </w:pPr>
    </w:p>
    <w:p>
      <w:pPr>
        <w:ind w:right="60" w:firstLine="259"/>
        <w:spacing w:after="0" w:line="276" w:lineRule="auto"/>
        <w:rPr>
          <w:sz w:val="20"/>
          <w:szCs w:val="20"/>
          <w:color w:val="auto"/>
        </w:rPr>
      </w:pPr>
      <w:r>
        <w:rPr>
          <w:rFonts w:ascii="Arial" w:cs="Arial" w:eastAsia="Arial" w:hAnsi="Arial"/>
          <w:sz w:val="17"/>
          <w:szCs w:val="17"/>
          <w:color w:val="auto"/>
        </w:rPr>
        <w:t>For the three months ended September 30, 2018 we had $16.8 million in unrealized gains on 31 portfolio company investments, which was offset by $8.4 million in unrealized losses on 21 portfolio company investments. For the nine months ended September 30, 2018 we had $50.2 million in unrealized gains on 35 portfolio company investments, which was offset by $33.5 million in unrealized losses on 27 portfolio company investments. Unrealized gains resulted from an increase in fair value, primarily due to positive credit-related adjustments offset by movement in credit spreads. Unrealized losses primarily resulted from the reversal of prior period unrealized gains and in some instances negative credit-related adjustments.</w:t>
      </w:r>
    </w:p>
    <w:p>
      <w:pPr>
        <w:spacing w:after="0" w:line="173" w:lineRule="exact"/>
        <w:rPr>
          <w:sz w:val="20"/>
          <w:szCs w:val="20"/>
          <w:color w:val="auto"/>
        </w:rPr>
      </w:pPr>
    </w:p>
    <w:p>
      <w:pPr>
        <w:jc w:val="both"/>
        <w:ind w:right="180" w:firstLine="259"/>
        <w:spacing w:after="0" w:line="257" w:lineRule="auto"/>
        <w:rPr>
          <w:sz w:val="20"/>
          <w:szCs w:val="20"/>
          <w:color w:val="auto"/>
        </w:rPr>
      </w:pPr>
      <w:r>
        <w:rPr>
          <w:rFonts w:ascii="Arial" w:cs="Arial" w:eastAsia="Arial" w:hAnsi="Arial"/>
          <w:sz w:val="18"/>
          <w:szCs w:val="18"/>
          <w:color w:val="auto"/>
        </w:rPr>
        <w:t>For the three and nine months ended September 30, 2018, we had unrealized losses on foreign currency borrowings of $1.6 million and unrealized gains on foreign currency borrowings of $2.3 million, respectively, as a result of fluctuations in the EUR, AUD, and CAD exchange rates. For both the three and nine months ended September 30, 2018, we had unrealized gains on foreign currency cash and forward contracts of less than $0.1 million. For the three and nine months ended September 30, 2018, we had unrealized losses on interest rate swaps of $2.0 million and $8.0 million, respectively, due to fluctuations in interest rates and the periodic settlement of interest rate swaps.</w:t>
      </w:r>
    </w:p>
    <w:p>
      <w:pPr>
        <w:spacing w:after="0" w:line="256" w:lineRule="exact"/>
        <w:rPr>
          <w:sz w:val="20"/>
          <w:szCs w:val="20"/>
          <w:color w:val="auto"/>
        </w:rPr>
      </w:pPr>
    </w:p>
    <w:p>
      <w:pPr>
        <w:ind w:firstLine="259"/>
        <w:spacing w:after="0" w:line="291" w:lineRule="auto"/>
        <w:rPr>
          <w:sz w:val="20"/>
          <w:szCs w:val="20"/>
          <w:color w:val="auto"/>
        </w:rPr>
      </w:pPr>
      <w:r>
        <w:rPr>
          <w:rFonts w:ascii="Arial" w:cs="Arial" w:eastAsia="Arial" w:hAnsi="Arial"/>
          <w:sz w:val="16"/>
          <w:szCs w:val="16"/>
          <w:color w:val="auto"/>
        </w:rPr>
        <w:t>For the three and nine months ended September 30, 2017 we had net realized gains on investments of $2.4 million and net realized losses of $14.8 million, respectively. For the three and nine months ended September 30, 2017, we had net realized losses of less than $0.1 million and net realized gains of $0.2 million, respectively, on foreign currency transactions, primarily as a result of translating foreign currency related to our non-USD denominated investments. For the three and nine months ended September 30, 2017, we had net realized losses of less than $0.1 million and $4.8 million, respectively, on foreign currency investments. For the three and nine months ended September 30, 2017, we had net realized gains of $0.1 million and $5.2 million, respectively, on foreign currency borrowings. The net realized gains on foreign currency borrowings and net realized losses on foreign currency investments for the nine months ended September 30, 2017 were a result of exiting two investments and a partial realization on one investment.</w:t>
      </w:r>
    </w:p>
    <w:p>
      <w:pPr>
        <w:spacing w:after="0" w:line="167" w:lineRule="exact"/>
        <w:rPr>
          <w:sz w:val="20"/>
          <w:szCs w:val="20"/>
          <w:color w:val="auto"/>
        </w:rPr>
      </w:pPr>
    </w:p>
    <w:p>
      <w:pPr>
        <w:ind w:right="40" w:firstLine="259"/>
        <w:spacing w:after="0" w:line="255" w:lineRule="auto"/>
        <w:rPr>
          <w:sz w:val="20"/>
          <w:szCs w:val="20"/>
          <w:color w:val="auto"/>
        </w:rPr>
      </w:pPr>
      <w:r>
        <w:rPr>
          <w:rFonts w:ascii="Arial" w:cs="Arial" w:eastAsia="Arial" w:hAnsi="Arial"/>
          <w:sz w:val="18"/>
          <w:szCs w:val="18"/>
          <w:color w:val="auto"/>
        </w:rPr>
        <w:t>For the three months ended September 30, 2017 we had $11.0 million in unrealized appreciation on 27 portfolio company investments, which was offset by $16.2 million in unrealized depreciation on 26 portfolio company investments. For the nine months ended September 30, 2017 we had $59.4 million in unrealized appreciation on 39 portfolio company investments, which was offset by $44.0 million in unrealized depreciation on 32 portfolio company investments. Unrealized appreciation resulted from an increase in fair value, primarily due to a tightening spread environment and positive credit-related adjustments. Unrealized depreciation primarily resulted from the reversal of prior period unrealized appreciation and in some instances negative credit-related adjustments.</w:t>
      </w:r>
    </w:p>
    <w:p>
      <w:pPr>
        <w:spacing w:after="0" w:line="193" w:lineRule="exact"/>
        <w:rPr>
          <w:sz w:val="20"/>
          <w:szCs w:val="20"/>
          <w:color w:val="auto"/>
        </w:rPr>
      </w:pPr>
    </w:p>
    <w:p>
      <w:pPr>
        <w:ind w:right="200" w:firstLine="259"/>
        <w:spacing w:after="0" w:line="297" w:lineRule="auto"/>
        <w:rPr>
          <w:sz w:val="20"/>
          <w:szCs w:val="20"/>
          <w:color w:val="auto"/>
        </w:rPr>
      </w:pPr>
      <w:r>
        <w:rPr>
          <w:rFonts w:ascii="Arial" w:cs="Arial" w:eastAsia="Arial" w:hAnsi="Arial"/>
          <w:sz w:val="16"/>
          <w:szCs w:val="16"/>
          <w:color w:val="auto"/>
        </w:rPr>
        <w:t>For the three and nine months ended September 30, 2017, we had unrealized depreciation on foreign currency borrowings of $1.7 million and $10.3 million, respectively, as a result of fluctuations in the GBP and EUR exchange rates. For the three and nine months ended September 30, 2017, we had unrealized depreciation on foreign currency cash and forward contracts of less than $0.1 million and unrealized appreciation of less than $0.1 million, respectively. For the three and nine months ended September 30, 2017, we had unrealized depreciation on interest rate swaps of $1.7 million and unrealized appreciation of $0.6 million, respectively, on interest rate swaps due to fluctuations in interest rates and the periodic settlement of interest rate swaps.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Realized Gross Internal Rate of Return</w:t>
      </w:r>
    </w:p>
    <w:p>
      <w:pPr>
        <w:spacing w:after="0" w:line="117" w:lineRule="exact"/>
        <w:rPr>
          <w:sz w:val="20"/>
          <w:szCs w:val="20"/>
          <w:color w:val="auto"/>
        </w:rPr>
      </w:pPr>
    </w:p>
    <w:p>
      <w:pPr>
        <w:jc w:val="both"/>
        <w:ind w:right="220" w:firstLine="259"/>
        <w:spacing w:after="0" w:line="286" w:lineRule="auto"/>
        <w:rPr>
          <w:sz w:val="20"/>
          <w:szCs w:val="20"/>
          <w:color w:val="auto"/>
        </w:rPr>
      </w:pPr>
      <w:r>
        <w:rPr>
          <w:rFonts w:ascii="Arial" w:cs="Arial" w:eastAsia="Arial" w:hAnsi="Arial"/>
          <w:sz w:val="17"/>
          <w:szCs w:val="17"/>
          <w:color w:val="auto"/>
        </w:rPr>
        <w:t>Since we began investing in 2011 through September 30, 2018, weighted by capital invested, our exited investments have generated an average realized gross internal rate of return to us of 18.8% (based on total capital invested of $3.0 billion and total proceeds from these exited investments of $3.8 billion). Eighty nine percent of these exited investments resulted in a realized gross internal rate of return to us of 10% or greater.</w:t>
      </w:r>
    </w:p>
    <w:p>
      <w:pPr>
        <w:spacing w:after="0" w:line="166"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81" w:lineRule="exact"/>
        <w:rPr>
          <w:sz w:val="20"/>
          <w:szCs w:val="20"/>
          <w:color w:val="auto"/>
        </w:rPr>
      </w:pPr>
    </w:p>
    <w:p>
      <w:pPr>
        <w:ind w:right="80" w:firstLine="259"/>
        <w:spacing w:after="0" w:line="342" w:lineRule="auto"/>
        <w:rPr>
          <w:sz w:val="20"/>
          <w:szCs w:val="20"/>
          <w:color w:val="auto"/>
        </w:rPr>
      </w:pPr>
      <w:r>
        <w:rPr>
          <w:rFonts w:ascii="Arial" w:cs="Arial" w:eastAsia="Arial" w:hAnsi="Arial"/>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24"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color w:val="auto"/>
        </w:rPr>
        <w:t>Average gross IRR is the average of the gross IRR for each of our exited investments (each calculated as described above), weighted by the total capital invested for each of those investments.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56" w:name="page57"/>
    <w:bookmarkEnd w:id="56"/>
    <w:p>
      <w:pPr>
        <w:ind w:right="320" w:firstLine="259"/>
        <w:spacing w:after="0" w:line="277" w:lineRule="auto"/>
        <w:rPr>
          <w:sz w:val="20"/>
          <w:szCs w:val="20"/>
          <w:color w:val="auto"/>
        </w:rPr>
      </w:pPr>
      <w:r>
        <w:rPr>
          <w:rFonts w:ascii="Arial" w:cs="Arial" w:eastAsia="Arial" w:hAnsi="Arial"/>
          <w:sz w:val="18"/>
          <w:szCs w:val="18"/>
          <w:color w:val="auto"/>
        </w:rPr>
        <w:t>Average gross IRR on our exited investments reflects only invested and realized cash amounts as described above, and does not reflect any unrealized gains or losses in our portfolio.</w:t>
      </w:r>
    </w:p>
    <w:p>
      <w:pPr>
        <w:spacing w:after="0" w:line="170" w:lineRule="exact"/>
        <w:rPr>
          <w:sz w:val="20"/>
          <w:szCs w:val="20"/>
          <w:color w:val="auto"/>
        </w:rPr>
      </w:pPr>
    </w:p>
    <w:p>
      <w:pPr>
        <w:ind w:right="80" w:firstLine="259"/>
        <w:spacing w:after="0" w:line="286" w:lineRule="auto"/>
        <w:rPr>
          <w:sz w:val="20"/>
          <w:szCs w:val="20"/>
          <w:color w:val="auto"/>
        </w:rPr>
      </w:pPr>
      <w:r>
        <w:rPr>
          <w:rFonts w:ascii="Arial" w:cs="Arial" w:eastAsia="Arial" w:hAnsi="Arial"/>
          <w:sz w:val="17"/>
          <w:szCs w:val="17"/>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spacing w:after="0" w:line="166" w:lineRule="exact"/>
        <w:rPr>
          <w:sz w:val="20"/>
          <w:szCs w:val="20"/>
          <w:color w:val="auto"/>
        </w:rPr>
      </w:pPr>
    </w:p>
    <w:p>
      <w:pPr>
        <w:jc w:val="both"/>
        <w:ind w:right="60" w:firstLine="259"/>
        <w:spacing w:after="0" w:line="312" w:lineRule="auto"/>
        <w:rPr>
          <w:sz w:val="20"/>
          <w:szCs w:val="20"/>
          <w:color w:val="auto"/>
        </w:rPr>
      </w:pPr>
      <w:r>
        <w:rPr>
          <w:rFonts w:ascii="Arial" w:cs="Arial" w:eastAsia="Arial" w:hAnsi="Arial"/>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47" w:lineRule="exact"/>
        <w:rPr>
          <w:sz w:val="20"/>
          <w:szCs w:val="20"/>
          <w:color w:val="auto"/>
        </w:rPr>
      </w:pPr>
    </w:p>
    <w:p>
      <w:pPr>
        <w:ind w:right="200" w:firstLine="259"/>
        <w:spacing w:after="0" w:line="302" w:lineRule="auto"/>
        <w:rPr>
          <w:sz w:val="20"/>
          <w:szCs w:val="20"/>
          <w:color w:val="auto"/>
        </w:rPr>
      </w:pPr>
      <w:r>
        <w:rPr>
          <w:rFonts w:ascii="Arial" w:cs="Arial" w:eastAsia="Arial" w:hAnsi="Arial"/>
          <w:sz w:val="16"/>
          <w:szCs w:val="16"/>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w:t>
      </w:r>
    </w:p>
    <w:p>
      <w:pPr>
        <w:spacing w:after="0" w:line="117" w:lineRule="exact"/>
        <w:rPr>
          <w:sz w:val="20"/>
          <w:szCs w:val="20"/>
          <w:color w:val="auto"/>
        </w:rPr>
      </w:pPr>
    </w:p>
    <w:p>
      <w:pPr>
        <w:ind w:right="60" w:firstLine="259"/>
        <w:spacing w:after="0" w:line="291" w:lineRule="auto"/>
        <w:rPr>
          <w:sz w:val="20"/>
          <w:szCs w:val="20"/>
          <w:color w:val="auto"/>
        </w:rPr>
      </w:pPr>
      <w:r>
        <w:rPr>
          <w:rFonts w:ascii="Arial" w:cs="Arial" w:eastAsia="Arial" w:hAnsi="Arial"/>
          <w:sz w:val="16"/>
          <w:szCs w:val="16"/>
          <w:color w:val="auto"/>
        </w:rPr>
        <w:t>Our current approach to hedging the foreign currency exposure in our non-U.S. dollar denominated investments is primarily to borrow the par amount in local currency under our Revolving Credit Facility to fund these investments. For the three and nine months ended September 30, 2018, we incurred $1.6 million of unrealized losses and $2.3 million of unrealized gains, respectively, on the translation of our non-U.S. dollar denominated debt into U.S. dollars; such amounts approximate the corresponding unrealized gains and losses on the translation of our non-U.S. dollar denominated investments into U.S. dollars for the three and nine months ended September 30, 2018. See Note 2 for additional disclosure regarding our accounting for foreign currency. See Note 7 for additional disclosure regarding the amounts of outstanding debt denominated in each foreign currency at September 30, 2018. See our consolidated schedule of investments for additional disclosure regarding the foreign currency amounts (in both par and fair value) of our non-U.S. dollar denominated investments.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62" w:lineRule="exact"/>
        <w:rPr>
          <w:sz w:val="20"/>
          <w:szCs w:val="20"/>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cash dividends to the holders of our shares.</w:t>
      </w:r>
    </w:p>
    <w:p>
      <w:pPr>
        <w:spacing w:after="0" w:line="225" w:lineRule="exact"/>
        <w:rPr>
          <w:sz w:val="20"/>
          <w:szCs w:val="20"/>
          <w:color w:val="auto"/>
        </w:rPr>
      </w:pPr>
    </w:p>
    <w:p>
      <w:pPr>
        <w:ind w:firstLine="259"/>
        <w:spacing w:after="0" w:line="287" w:lineRule="auto"/>
        <w:rPr>
          <w:sz w:val="20"/>
          <w:szCs w:val="20"/>
          <w:color w:val="auto"/>
        </w:rPr>
      </w:pPr>
      <w:r>
        <w:rPr>
          <w:rFonts w:ascii="Arial" w:cs="Arial" w:eastAsia="Arial" w:hAnsi="Arial"/>
          <w:sz w:val="16"/>
          <w:szCs w:val="16"/>
          <w:color w:val="auto"/>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As of September 30, 2018, with certain limited exceptions, we were only allowed to incur borrowings, issue debt securities or issue preferred stock if immediately after the borrowing or issuance the ratio of total assets (less total liabilities other than indebtedness) to total indebtedness plus preferred stock, was at least 200%. On October 8, 2018, our stockholders approved the application of the minimum asset coverage ratio of 150% to us, as set forth in Section 61(a)(2) of the 1940 Act, as amended by the SBCAA. As a result, for purposes of the 1940 Act, with certain limitations, we are currently allowed to borrow amounts such that our asset coverage, as defined by the 1940 Act, is at least 150% after such borrowing. As of September 30, 2018 and December 31, 2017, our asset coverage ratio was 220.2% and 235.5%, respectively. We carefully consider our 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57" w:name="page58"/>
    <w:bookmarkEnd w:id="57"/>
    <w:p>
      <w:pPr>
        <w:jc w:val="both"/>
        <w:ind w:right="360" w:firstLine="259"/>
        <w:spacing w:after="0" w:line="264" w:lineRule="auto"/>
        <w:rPr>
          <w:sz w:val="20"/>
          <w:szCs w:val="20"/>
          <w:color w:val="auto"/>
        </w:rPr>
      </w:pPr>
      <w:r>
        <w:rPr>
          <w:rFonts w:ascii="Arial" w:cs="Arial" w:eastAsia="Arial" w:hAnsi="Arial"/>
          <w:sz w:val="18"/>
          <w:szCs w:val="18"/>
          <w:color w:val="auto"/>
        </w:rPr>
        <w:t>Cash and cash equivalents as of September 30, 2018, taken together with cash available under our credit facilities, is expected to be sufficient for our investing activities and to conduct our operations in the near term. As of September 30, 2018, we had approximately $482.7 million of availability on our Revolving Credit Facility, subject to asset coverage limitations.</w:t>
      </w:r>
    </w:p>
    <w:p>
      <w:pPr>
        <w:spacing w:after="0" w:line="181" w:lineRule="exact"/>
        <w:rPr>
          <w:sz w:val="20"/>
          <w:szCs w:val="20"/>
          <w:color w:val="auto"/>
        </w:rPr>
      </w:pPr>
    </w:p>
    <w:p>
      <w:pPr>
        <w:ind w:firstLine="259"/>
        <w:spacing w:after="0" w:line="270" w:lineRule="auto"/>
        <w:rPr>
          <w:sz w:val="20"/>
          <w:szCs w:val="20"/>
          <w:color w:val="auto"/>
        </w:rPr>
      </w:pPr>
      <w:r>
        <w:rPr>
          <w:rFonts w:ascii="Arial" w:cs="Arial" w:eastAsia="Arial" w:hAnsi="Arial"/>
          <w:sz w:val="17"/>
          <w:szCs w:val="17"/>
          <w:color w:val="auto"/>
        </w:rPr>
        <w:t>As of September 30, 2018, we had $11.3 million in cash and cash equivalents, including $6.7 million of restricted cash, an increase of $4.6 million from December 31, 2017. During the nine months ended September 30, 2018, we used $170.8 million in cash from operating activities, primarily as a result of funding portfolio investments of $691.8 million and other operating activity of $15.8 million, which was offset by repayments and proceeds from investments of $432.0 million and an increase in net assets resulting from operations of $104.8 million. Lastly, cash provided by financing activities was $175.5 million during the period, primarily due to borrowings of $1,032.9 million (including the issuance of $150.0 million principal amount of our 2023 Notes and $57.5 million principal amount of our 2022 Convertible Notes in a reopening), and proceeds from issuance of common stock, net of offering and underwriting costs, of $71.8 million, which was partially offset by repayments on our Revolving Credit Facility of $850.6 million (including $146.9 million net proceeds from our 2023 Notes, $58.1 million net proceeds from the issuance of our 2022 Convertible Notes in a reopening, and $71.8 million net proceeds from our equity offering in March 2018), dividends paid of $71.8 million and deferred financing costs of $6.8 million.</w:t>
      </w:r>
    </w:p>
    <w:p>
      <w:pPr>
        <w:spacing w:after="0" w:line="182"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color w:val="auto"/>
        </w:rPr>
        <w:t>As of September 30, 2018, we had $6.7 million of restricted cash pledged as collateral under our interest rate swap agreements, an increase of $3.5 million from December 31,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w:t>
      </w:r>
    </w:p>
    <w:p>
      <w:pPr>
        <w:spacing w:after="0" w:line="117"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On March 21, 2018, we issued 3,750,000 shares of common stock at $17.45 per share. Net of underwriting fees and offering costs, we received total cash proceeds of $63.0 million. Subsequent to the offering we issued an additional 522,224 shares in April 2018 pursuant to the overallotment option granted to underwriters and received, net of underwriting fees, total cash proceeds of $8.8 million.</w:t>
      </w:r>
    </w:p>
    <w:p>
      <w:pPr>
        <w:spacing w:after="0" w:line="181" w:lineRule="exact"/>
        <w:rPr>
          <w:sz w:val="20"/>
          <w:szCs w:val="20"/>
          <w:color w:val="auto"/>
        </w:rPr>
      </w:pPr>
    </w:p>
    <w:p>
      <w:pPr>
        <w:ind w:right="40" w:firstLine="259"/>
        <w:spacing w:after="0" w:line="302" w:lineRule="auto"/>
        <w:rPr>
          <w:sz w:val="20"/>
          <w:szCs w:val="20"/>
          <w:color w:val="auto"/>
        </w:rPr>
      </w:pPr>
      <w:r>
        <w:rPr>
          <w:rFonts w:ascii="Arial" w:cs="Arial" w:eastAsia="Arial" w:hAnsi="Arial"/>
          <w:sz w:val="16"/>
          <w:szCs w:val="16"/>
          <w:color w:val="auto"/>
        </w:rPr>
        <w:t>During the nine months ended September 30, 2018 and 2017, we issued 648,826 and 383,150 shares of our common stock, respectively, to investors who have not opted out of our dividend reinvestment plan for proceeds of $11.5 million and $7.3 million, respectively. On October 15, 2018, we issued 214,573 shares of our common stock through our dividend reinvestment plan for proceeds of $4.0 million, which is not reflected in the number of shares issued for the nine months ended September 30, 2018 in this section or the consolidated financial statements for the three and nine months ended September 30, 2018.</w:t>
      </w:r>
    </w:p>
    <w:p>
      <w:pPr>
        <w:spacing w:after="0" w:line="154" w:lineRule="exact"/>
        <w:rPr>
          <w:sz w:val="20"/>
          <w:szCs w:val="20"/>
          <w:color w:val="auto"/>
        </w:rPr>
      </w:pPr>
    </w:p>
    <w:p>
      <w:pPr>
        <w:ind w:right="220" w:firstLine="259"/>
        <w:spacing w:after="0" w:line="302" w:lineRule="auto"/>
        <w:rPr>
          <w:sz w:val="20"/>
          <w:szCs w:val="20"/>
          <w:color w:val="auto"/>
        </w:rPr>
      </w:pPr>
      <w:r>
        <w:rPr>
          <w:rFonts w:ascii="Arial" w:cs="Arial" w:eastAsia="Arial" w:hAnsi="Arial"/>
          <w:sz w:val="16"/>
          <w:szCs w:val="16"/>
          <w:color w:val="auto"/>
        </w:rPr>
        <w:t>On November 3, 2014, the Board approved the Company 10b5-1 Plan to acquire up to $50 million in the aggregate of our common stock at prices just below our net asset value over a specified period, in accordance with the guidelines specified in Rule 10b-18 and Rule 10b5-1 of the Exchange Act. We put the Company 10b5-1 Plan in place because we believe that, in current market conditions, if our common stock is trading below our then-current net asset value, it is in the best interest of our stockholders for us to reinvest in our portfolio and increase our leverage ratio through share repurchases.</w:t>
      </w:r>
    </w:p>
    <w:p>
      <w:pPr>
        <w:spacing w:after="0" w:line="154" w:lineRule="exact"/>
        <w:rPr>
          <w:sz w:val="20"/>
          <w:szCs w:val="20"/>
          <w:color w:val="auto"/>
        </w:rPr>
      </w:pPr>
    </w:p>
    <w:p>
      <w:pPr>
        <w:ind w:right="40" w:firstLine="259"/>
        <w:spacing w:after="0" w:line="255" w:lineRule="auto"/>
        <w:rPr>
          <w:sz w:val="20"/>
          <w:szCs w:val="20"/>
          <w:color w:val="auto"/>
        </w:rPr>
      </w:pPr>
      <w:r>
        <w:rPr>
          <w:rFonts w:ascii="Arial" w:cs="Arial" w:eastAsia="Arial" w:hAnsi="Arial"/>
          <w:sz w:val="18"/>
          <w:szCs w:val="18"/>
          <w:color w:val="auto"/>
        </w:rPr>
        <w:t>The Company 10b5-1 Plan is designed to allow us to repurchase our common stock at times when we otherwise might be prevented from doing so under insider trading laws. The Company 10b5-1 Plan requires Goldman Sachs &amp; Co. LLC,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right="280" w:firstLine="259"/>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ind w:right="20" w:firstLine="259"/>
        <w:spacing w:after="0" w:line="297" w:lineRule="auto"/>
        <w:rPr>
          <w:sz w:val="20"/>
          <w:szCs w:val="20"/>
          <w:color w:val="auto"/>
        </w:rPr>
      </w:pPr>
      <w:r>
        <w:rPr>
          <w:rFonts w:ascii="Arial" w:cs="Arial" w:eastAsia="Arial" w:hAnsi="Arial"/>
          <w:sz w:val="16"/>
          <w:szCs w:val="16"/>
          <w:color w:val="auto"/>
        </w:rPr>
        <w:t>The Company 10b5-1 Plan expired in accordance with its terms on June 30, 2015. On August 4, 2015, the Board authorized us to enter into a new stock repurchase plan, on substantially the same terms as the prior stock repurchase plan, over an initial six month period, and has continued to authorize extensions of the plan termination date prior to its expiration since that time. On August 1, 2018 the Board authorized the extension of the termination date of the Company 10b5-1 Plan to February 28, 2019. Unless extended or terminated by the Board, the Company 10b5-1 Plan will be in effect through the earlier of February 28, 2018 or such time as the current approved repurchase amount of up to $50 million has been fully utilized, subject to certain conditions.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nine months ended September 30, 2018, no shares were repurchased under the Company 10b5-1 Plan.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September 30, 2018 and December 31, 2017:</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ind w:right="755"/>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0"/>
        </w:trPr>
        <w:tc>
          <w:tcPr>
            <w:tcW w:w="38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Aggregate Principal</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197"/>
              <w:spacing w:after="0"/>
              <w:rPr>
                <w:sz w:val="20"/>
                <w:szCs w:val="20"/>
                <w:color w:val="auto"/>
              </w:rPr>
            </w:pPr>
            <w:r>
              <w:rPr>
                <w:rFonts w:ascii="Arial" w:cs="Arial" w:eastAsia="Arial" w:hAnsi="Arial"/>
                <w:sz w:val="14"/>
                <w:szCs w:val="14"/>
                <w:b w:val="1"/>
                <w:bCs w:val="1"/>
                <w:color w:val="auto"/>
              </w:rPr>
              <w:t>Outstanding</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355"/>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ind w:left="140"/>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5"/>
                <w:szCs w:val="15"/>
                <w:color w:val="auto"/>
              </w:rPr>
            </w:pPr>
          </w:p>
        </w:tc>
      </w:tr>
      <w:tr>
        <w:trPr>
          <w:trHeight w:val="219"/>
        </w:trPr>
        <w:tc>
          <w:tcPr>
            <w:tcW w:w="428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Amount Committed</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297"/>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215"/>
              <w:spacing w:after="0"/>
              <w:rPr>
                <w:sz w:val="20"/>
                <w:szCs w:val="20"/>
                <w:color w:val="auto"/>
              </w:rPr>
            </w:pPr>
            <w:r>
              <w:rPr>
                <w:rFonts w:ascii="Arial" w:cs="Arial" w:eastAsia="Arial" w:hAnsi="Arial"/>
                <w:sz w:val="14"/>
                <w:szCs w:val="14"/>
                <w:b w:val="1"/>
                <w:bCs w:val="1"/>
                <w:color w:val="auto"/>
              </w:rPr>
              <w:t xml:space="preserve">Available </w:t>
            </w:r>
            <w:r>
              <w:rPr>
                <w:rFonts w:ascii="Arial" w:cs="Arial" w:eastAsia="Arial" w:hAnsi="Arial"/>
                <w:sz w:val="12"/>
                <w:szCs w:val="12"/>
                <w:b w:val="1"/>
                <w:bCs w:val="1"/>
                <w:color w:val="auto"/>
              </w:rPr>
              <w:t>(1)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2"/>
                <w:szCs w:val="12"/>
                <w:b w:val="1"/>
                <w:bCs w:val="1"/>
                <w:color w:val="auto"/>
              </w:rPr>
              <w:t>(2)</w:t>
            </w:r>
          </w:p>
        </w:tc>
      </w:tr>
      <w:tr>
        <w:trPr>
          <w:trHeight w:val="223"/>
        </w:trPr>
        <w:tc>
          <w:tcPr>
            <w:tcW w:w="42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420" w:type="dxa"/>
            <w:vAlign w:val="bottom"/>
            <w:tcBorders>
              <w:top w:val="single" w:sz="8" w:color="auto"/>
            </w:tcBorders>
            <w:shd w:val="clear" w:color="auto" w:fill="CFF0FC"/>
          </w:tcPr>
          <w:p>
            <w:pPr>
              <w:jc w:val="right"/>
              <w:ind w:right="239"/>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940.0</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457.3</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482.7</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2019</w:t>
            </w:r>
          </w:p>
        </w:tc>
        <w:tc>
          <w:tcPr>
            <w:tcW w:w="390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19"/>
                <w:szCs w:val="19"/>
                <w:color w:val="auto"/>
              </w:rPr>
            </w:pPr>
          </w:p>
        </w:tc>
      </w:tr>
      <w:tr>
        <w:trPr>
          <w:trHeight w:val="230"/>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2022</w:t>
            </w:r>
          </w:p>
        </w:tc>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Notes</w:t>
            </w: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168.0</w:t>
            </w:r>
          </w:p>
        </w:tc>
        <w:tc>
          <w:tcPr>
            <w:tcW w:w="100" w:type="dxa"/>
            <w:vAlign w:val="bottom"/>
            <w:shd w:val="clear" w:color="auto" w:fill="CFF0FC"/>
          </w:tcPr>
          <w:p>
            <w:pPr>
              <w:spacing w:after="0"/>
              <w:rPr>
                <w:sz w:val="19"/>
                <w:szCs w:val="19"/>
                <w:color w:val="auto"/>
              </w:rPr>
            </w:pPr>
          </w:p>
        </w:tc>
      </w:tr>
      <w:tr>
        <w:trPr>
          <w:trHeight w:val="230"/>
        </w:trPr>
        <w:tc>
          <w:tcPr>
            <w:tcW w:w="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89"/>
              </w:rPr>
              <w:t>2023</w:t>
            </w:r>
          </w:p>
        </w:tc>
        <w:tc>
          <w:tcPr>
            <w:tcW w:w="39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Notes</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w:t>
            </w:r>
          </w:p>
        </w:tc>
        <w:tc>
          <w:tcPr>
            <w:tcW w:w="100" w:type="dxa"/>
            <w:vAlign w:val="bottom"/>
            <w:tcBorders>
              <w:bottom w:val="single" w:sz="8" w:color="CFF0FC"/>
            </w:tcBorders>
          </w:tcPr>
          <w:p>
            <w:pPr>
              <w:spacing w:after="0"/>
              <w:rPr>
                <w:sz w:val="19"/>
                <w:szCs w:val="19"/>
                <w:color w:val="auto"/>
              </w:rPr>
            </w:pPr>
          </w:p>
        </w:tc>
      </w:tr>
      <w:tr>
        <w:trPr>
          <w:trHeight w:val="223"/>
        </w:trPr>
        <w:tc>
          <w:tcPr>
            <w:tcW w:w="42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42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1,377.5</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894.8</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482.7</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100" w:hanging="512"/>
        <w:spacing w:after="0" w:line="261"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Convertible Notes, and 2023 Notes are presented net of deferred financing costs of $8.4 million, $4.6 million and $2.7 million, respectively.</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December 31, 2017</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0"/>
        </w:trPr>
        <w:tc>
          <w:tcPr>
            <w:tcW w:w="428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Aggregate Principal</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198"/>
              <w:spacing w:after="0"/>
              <w:rPr>
                <w:sz w:val="20"/>
                <w:szCs w:val="20"/>
                <w:color w:val="auto"/>
              </w:rPr>
            </w:pPr>
            <w:r>
              <w:rPr>
                <w:rFonts w:ascii="Arial" w:cs="Arial" w:eastAsia="Arial" w:hAnsi="Arial"/>
                <w:sz w:val="14"/>
                <w:szCs w:val="14"/>
                <w:b w:val="1"/>
                <w:bCs w:val="1"/>
                <w:color w:val="auto"/>
              </w:rPr>
              <w:t>Outstanding</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ind w:left="140"/>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5"/>
                <w:szCs w:val="15"/>
                <w:color w:val="auto"/>
              </w:rPr>
            </w:pPr>
          </w:p>
        </w:tc>
      </w:tr>
      <w:tr>
        <w:trPr>
          <w:trHeight w:val="219"/>
        </w:trPr>
        <w:tc>
          <w:tcPr>
            <w:tcW w:w="4280" w:type="dxa"/>
            <w:vAlign w:val="bottom"/>
          </w:tcPr>
          <w:p>
            <w:pPr>
              <w:spacing w:after="0"/>
              <w:rPr>
                <w:sz w:val="20"/>
                <w:szCs w:val="20"/>
                <w:color w:val="auto"/>
              </w:rPr>
            </w:pPr>
            <w:r>
              <w:rPr>
                <w:rFonts w:ascii="Arial" w:cs="Arial" w:eastAsia="Arial" w:hAnsi="Arial"/>
                <w:sz w:val="14"/>
                <w:szCs w:val="14"/>
                <w:color w:val="auto"/>
              </w:rPr>
              <w:t>($ in millions)</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Amount Committed</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298"/>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 xml:space="preserve">Available </w:t>
            </w:r>
            <w:r>
              <w:rPr>
                <w:rFonts w:ascii="Arial" w:cs="Arial" w:eastAsia="Arial" w:hAnsi="Arial"/>
                <w:sz w:val="12"/>
                <w:szCs w:val="12"/>
                <w:b w:val="1"/>
                <w:bCs w:val="1"/>
                <w:color w:val="auto"/>
                <w:w w:val="94"/>
              </w:rPr>
              <w:t>(1)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2"/>
                <w:szCs w:val="12"/>
                <w:b w:val="1"/>
                <w:bCs w:val="1"/>
                <w:color w:val="auto"/>
              </w:rPr>
              <w:t>(2)</w:t>
            </w: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420" w:type="dxa"/>
            <w:vAlign w:val="bottom"/>
            <w:tcBorders>
              <w:top w:val="single" w:sz="8" w:color="auto"/>
            </w:tcBorders>
            <w:shd w:val="clear" w:color="auto" w:fill="CFF0FC"/>
          </w:tcPr>
          <w:p>
            <w:pPr>
              <w:jc w:val="right"/>
              <w:ind w:right="239"/>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975.0</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486.8</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488.2</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2019 Convertible Notes</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2022 Convertible Notes</w:t>
            </w: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w:t>
            </w:r>
          </w:p>
        </w:tc>
        <w:tc>
          <w:tcPr>
            <w:tcW w:w="100" w:type="dxa"/>
            <w:vAlign w:val="bottom"/>
            <w:shd w:val="clear" w:color="auto" w:fill="CFF0FC"/>
          </w:tcPr>
          <w:p>
            <w:pPr>
              <w:spacing w:after="0"/>
              <w:rPr>
                <w:sz w:val="19"/>
                <w:szCs w:val="19"/>
                <w:color w:val="auto"/>
              </w:rPr>
            </w:pPr>
          </w:p>
        </w:tc>
      </w:tr>
      <w:tr>
        <w:trPr>
          <w:trHeight w:val="223"/>
        </w:trPr>
        <w:tc>
          <w:tcPr>
            <w:tcW w:w="4280" w:type="dxa"/>
            <w:vAlign w:val="bottom"/>
          </w:tcPr>
          <w:p>
            <w:pPr>
              <w:ind w:left="240"/>
              <w:spacing w:after="0"/>
              <w:rPr>
                <w:sz w:val="20"/>
                <w:szCs w:val="20"/>
                <w:color w:val="auto"/>
              </w:rPr>
            </w:pPr>
            <w:r>
              <w:rPr>
                <w:rFonts w:ascii="Arial" w:cs="Arial" w:eastAsia="Arial" w:hAnsi="Arial"/>
                <w:sz w:val="18"/>
                <w:szCs w:val="18"/>
                <w:b w:val="1"/>
                <w:bCs w:val="1"/>
                <w:color w:val="auto"/>
              </w:rPr>
              <w:t>Total Debt</w:t>
            </w: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1,205.0</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716.8</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703.4</w:t>
            </w:r>
          </w:p>
        </w:tc>
        <w:tc>
          <w:tcPr>
            <w:tcW w:w="10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420" w:hanging="512"/>
        <w:spacing w:after="0" w:line="261"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and Convertible Notes are presented net of deferred financing costs of $7.1 million and $4.7 million, respectively.</w:t>
      </w:r>
    </w:p>
    <w:p>
      <w:pPr>
        <w:spacing w:after="0" w:line="184"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As of September 30, 2018 and December 31, 2017, we were in compliance with the terms of our debt arrangements. We intend to continue to utilize our credit facilities to fund investments and for other general corporate purposes.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color w:val="auto"/>
        </w:rPr>
        <w:t>On August 23, 2012, we entered into a senior secured revolving credit agreement with SunTrust Bank, as administrative agent, and J.P. Morgan Chase Bank, N.A., as syndication agent, and certain other lenders (as amended and restated, the “Revolving Credit Facility”).</w:t>
      </w:r>
    </w:p>
    <w:p>
      <w:pPr>
        <w:spacing w:after="0" w:line="170" w:lineRule="exact"/>
        <w:rPr>
          <w:sz w:val="20"/>
          <w:szCs w:val="20"/>
          <w:color w:val="auto"/>
        </w:rPr>
      </w:pPr>
    </w:p>
    <w:p>
      <w:pPr>
        <w:ind w:right="400" w:firstLine="259"/>
        <w:spacing w:after="0" w:line="277" w:lineRule="auto"/>
        <w:rPr>
          <w:sz w:val="20"/>
          <w:szCs w:val="20"/>
          <w:color w:val="auto"/>
        </w:rPr>
      </w:pPr>
      <w:r>
        <w:rPr>
          <w:rFonts w:ascii="Arial" w:cs="Arial" w:eastAsia="Arial" w:hAnsi="Arial"/>
          <w:sz w:val="18"/>
          <w:szCs w:val="18"/>
          <w:color w:val="auto"/>
        </w:rPr>
        <w:t>As of September 30, 2018, aggregate commitments under the facility were $940 million. The facility includes an uncommitted accordion feature that allows us, under certain circumstances, to increase the size of the facility to up to $1.25 billion.</w:t>
      </w:r>
    </w:p>
    <w:p>
      <w:pPr>
        <w:spacing w:after="0" w:line="170" w:lineRule="exact"/>
        <w:rPr>
          <w:sz w:val="20"/>
          <w:szCs w:val="20"/>
          <w:color w:val="auto"/>
        </w:rPr>
      </w:pPr>
    </w:p>
    <w:p>
      <w:pPr>
        <w:ind w:right="380" w:firstLine="259"/>
        <w:spacing w:after="0" w:line="277" w:lineRule="auto"/>
        <w:rPr>
          <w:sz w:val="20"/>
          <w:szCs w:val="20"/>
          <w:color w:val="auto"/>
        </w:rPr>
      </w:pPr>
      <w:r>
        <w:rPr>
          <w:rFonts w:ascii="Arial" w:cs="Arial" w:eastAsia="Arial" w:hAnsi="Arial"/>
          <w:sz w:val="18"/>
          <w:szCs w:val="18"/>
          <w:color w:val="auto"/>
        </w:rPr>
        <w:t>The revolving period, during which period we, subject to certain conditions, may make borrowings under the facility, ends February 18, 2022 and the stated maturity date is February 17, 2023.</w:t>
      </w:r>
    </w:p>
    <w:p>
      <w:pPr>
        <w:spacing w:after="0" w:line="170" w:lineRule="exact"/>
        <w:rPr>
          <w:sz w:val="20"/>
          <w:szCs w:val="20"/>
          <w:color w:val="auto"/>
        </w:rPr>
      </w:pPr>
    </w:p>
    <w:p>
      <w:pPr>
        <w:jc w:val="both"/>
        <w:ind w:right="560" w:firstLine="259"/>
        <w:spacing w:after="0" w:line="264" w:lineRule="auto"/>
        <w:rPr>
          <w:sz w:val="20"/>
          <w:szCs w:val="20"/>
          <w:color w:val="auto"/>
        </w:rPr>
      </w:pPr>
      <w:r>
        <w:rPr>
          <w:rFonts w:ascii="Arial" w:cs="Arial" w:eastAsia="Arial" w:hAnsi="Arial"/>
          <w:sz w:val="18"/>
          <w:szCs w:val="18"/>
          <w:color w:val="auto"/>
        </w:rPr>
        <w:t>We may borrow amounts in U.S. dollars or certain other permitted currencies. As of September 30, 2018, we had outstanding debt denominated in Australian Dollars (AUD) of 48.6 million, Euro (EUR) of 20.9 million, and Canadian Dollars (CAD) of 64.8 million on our Revolving Credit Facility, included in the Outstanding Principal amount in the table above.</w:t>
      </w:r>
    </w:p>
    <w:p>
      <w:pPr>
        <w:spacing w:after="0" w:line="181"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color w:val="auto"/>
        </w:rPr>
        <w:t>The Revolving Credit Facility also provides for the issuance of letters of credit up to an aggregate amount of $75 million. As of September 30, 2018 and December 31, 2017, we had no outstanding letters of credit issued through the Revolving Credit Facility. The amount available for borrowing under the Revolving Credit Facility is reduced by any letters of credit issued through the Revolving Credit Facility.</w:t>
      </w:r>
    </w:p>
    <w:p>
      <w:pPr>
        <w:spacing w:after="0" w:line="181"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Amounts drawn under the Revolving Credit Facility, including amounts drawn in respect of letters of credit, bear interest at either LIBOR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We may elect either the LIBOR or base rate at the time of drawdown, and loans may be converted from one rate to another at any time, subject to certain conditions. We also pay a fee of 0.375% on undrawn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9" w:name="page60"/>
    <w:bookmarkEnd w:id="59"/>
    <w:p>
      <w:pPr>
        <w:spacing w:after="0"/>
        <w:rPr>
          <w:sz w:val="20"/>
          <w:szCs w:val="20"/>
          <w:color w:val="auto"/>
        </w:rPr>
      </w:pPr>
      <w:r>
        <w:rPr>
          <w:rFonts w:ascii="Arial" w:cs="Arial" w:eastAsia="Arial" w:hAnsi="Arial"/>
          <w:sz w:val="16"/>
          <w:szCs w:val="16"/>
          <w:color w:val="auto"/>
        </w:rPr>
        <w:t>amounts and, in respect of each undrawn letter of credit, a fee and interest rate equal to the then applicable margin while the letter of credit is outstanding.</w:t>
      </w:r>
    </w:p>
    <w:p>
      <w:pPr>
        <w:spacing w:after="0" w:line="248" w:lineRule="exact"/>
        <w:rPr>
          <w:sz w:val="20"/>
          <w:szCs w:val="20"/>
          <w:color w:val="auto"/>
        </w:rPr>
      </w:pPr>
    </w:p>
    <w:p>
      <w:pPr>
        <w:ind w:right="160" w:firstLine="259"/>
        <w:spacing w:after="0" w:line="312" w:lineRule="auto"/>
        <w:rPr>
          <w:sz w:val="20"/>
          <w:szCs w:val="20"/>
          <w:color w:val="auto"/>
        </w:rPr>
      </w:pPr>
      <w:r>
        <w:rPr>
          <w:rFonts w:ascii="Arial" w:cs="Arial" w:eastAsia="Arial" w:hAnsi="Arial"/>
          <w:sz w:val="16"/>
          <w:szCs w:val="16"/>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47"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62" w:lineRule="exact"/>
        <w:rPr>
          <w:sz w:val="20"/>
          <w:szCs w:val="20"/>
          <w:color w:val="auto"/>
        </w:rPr>
      </w:pPr>
    </w:p>
    <w:p>
      <w:pPr>
        <w:ind w:left="520" w:hanging="255"/>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17" w:lineRule="exact"/>
        <w:rPr>
          <w:rFonts w:ascii="Arial" w:cs="Arial" w:eastAsia="Arial" w:hAnsi="Arial"/>
          <w:sz w:val="18"/>
          <w:szCs w:val="18"/>
          <w:color w:val="auto"/>
        </w:rPr>
      </w:pPr>
    </w:p>
    <w:p>
      <w:pPr>
        <w:ind w:left="520" w:right="320" w:hanging="255"/>
        <w:spacing w:after="0" w:line="375" w:lineRule="auto"/>
        <w:tabs>
          <w:tab w:leader="none" w:pos="5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 liquidity test under which we must not maintain cash and liquid investments of less than 10% of the covered debt amount for more than 30 consecutive business days under circumstances where our adjusted covered debt balance is greater than 90% of our adjusted borrowing base under the facility; and</w:t>
      </w:r>
    </w:p>
    <w:p>
      <w:pPr>
        <w:spacing w:after="0" w:line="1" w:lineRule="exact"/>
        <w:rPr>
          <w:rFonts w:ascii="Arial" w:cs="Arial" w:eastAsia="Arial" w:hAnsi="Arial"/>
          <w:sz w:val="15"/>
          <w:szCs w:val="15"/>
          <w:color w:val="auto"/>
        </w:rPr>
      </w:pPr>
    </w:p>
    <w:p>
      <w:pPr>
        <w:ind w:left="520" w:hanging="255"/>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February 20, 2018.</w:t>
      </w:r>
    </w:p>
    <w:p>
      <w:pPr>
        <w:spacing w:after="0" w:line="225"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Net proceeds received from our common stock issuance in March 2018 and net proceeds received from the issuance of the 2022 Convertible Notes and 2023 Notes were used to pay down borrowings on the Revolving Credit Facility.</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On November 5 2018, we amended the Revolving Credit Facility to, among other things:</w:t>
      </w:r>
    </w:p>
    <w:p>
      <w:pPr>
        <w:spacing w:after="0" w:line="117" w:lineRule="exact"/>
        <w:rPr>
          <w:sz w:val="20"/>
          <w:szCs w:val="20"/>
          <w:color w:val="auto"/>
        </w:rPr>
      </w:pPr>
    </w:p>
    <w:p>
      <w:pPr>
        <w:ind w:left="760" w:hanging="374"/>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 the asset coverage ratio financial covenant from a 2 to 1 test to a 1.5 to 1 test;</w:t>
      </w:r>
    </w:p>
    <w:p>
      <w:pPr>
        <w:spacing w:after="0" w:line="225" w:lineRule="exact"/>
        <w:rPr>
          <w:rFonts w:ascii="Arial" w:cs="Arial" w:eastAsia="Arial" w:hAnsi="Arial"/>
          <w:sz w:val="18"/>
          <w:szCs w:val="18"/>
          <w:color w:val="auto"/>
        </w:rPr>
      </w:pPr>
    </w:p>
    <w:p>
      <w:pPr>
        <w:ind w:left="760" w:right="200" w:hanging="374"/>
        <w:spacing w:after="0" w:line="277" w:lineRule="auto"/>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reset the date for the stockholders’ equity covenant to determine net proceeds of the sale of equity interests from after February 20, 2018 to after November 5, 2018; and</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add two new additional financial covenants that require us to:</w:t>
      </w:r>
    </w:p>
    <w:p>
      <w:pPr>
        <w:spacing w:after="0" w:line="225" w:lineRule="exact"/>
        <w:rPr>
          <w:sz w:val="20"/>
          <w:szCs w:val="20"/>
          <w:color w:val="auto"/>
        </w:rPr>
      </w:pPr>
    </w:p>
    <w:p>
      <w:pPr>
        <w:ind w:left="1520" w:right="20" w:hanging="378"/>
        <w:spacing w:after="0" w:line="253" w:lineRule="auto"/>
        <w:tabs>
          <w:tab w:leader="none" w:pos="1520" w:val="left"/>
        </w:tabs>
        <w:numPr>
          <w:ilvl w:val="0"/>
          <w:numId w:val="49"/>
        </w:numPr>
        <w:rPr>
          <w:rFonts w:ascii="Courier New" w:cs="Courier New" w:eastAsia="Courier New" w:hAnsi="Courier New"/>
          <w:sz w:val="18"/>
          <w:szCs w:val="18"/>
          <w:color w:val="auto"/>
        </w:rPr>
      </w:pPr>
      <w:r>
        <w:rPr>
          <w:rFonts w:ascii="Arial" w:cs="Arial" w:eastAsia="Arial" w:hAnsi="Arial"/>
          <w:sz w:val="18"/>
          <w:szCs w:val="18"/>
          <w:color w:val="auto"/>
        </w:rPr>
        <w:t>maintain a 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 and</w:t>
      </w:r>
    </w:p>
    <w:p>
      <w:pPr>
        <w:spacing w:after="0" w:line="190" w:lineRule="exact"/>
        <w:rPr>
          <w:rFonts w:ascii="Courier New" w:cs="Courier New" w:eastAsia="Courier New" w:hAnsi="Courier New"/>
          <w:sz w:val="18"/>
          <w:szCs w:val="18"/>
          <w:color w:val="auto"/>
        </w:rPr>
      </w:pPr>
    </w:p>
    <w:p>
      <w:pPr>
        <w:jc w:val="both"/>
        <w:ind w:left="1520" w:right="100" w:hanging="378"/>
        <w:spacing w:after="0" w:line="254" w:lineRule="auto"/>
        <w:tabs>
          <w:tab w:leader="none" w:pos="1520" w:val="left"/>
        </w:tabs>
        <w:numPr>
          <w:ilvl w:val="0"/>
          <w:numId w:val="49"/>
        </w:numPr>
        <w:rPr>
          <w:rFonts w:ascii="Courier New" w:cs="Courier New" w:eastAsia="Courier New" w:hAnsi="Courier New"/>
          <w:sz w:val="18"/>
          <w:szCs w:val="18"/>
          <w:color w:val="auto"/>
        </w:rPr>
      </w:pPr>
      <w:r>
        <w:rPr>
          <w:rFonts w:ascii="Arial" w:cs="Arial" w:eastAsia="Arial" w:hAnsi="Arial"/>
          <w:sz w:val="18"/>
          <w:szCs w:val="18"/>
          <w:color w:val="auto"/>
        </w:rPr>
        <w:t>maintain minimum consolidated assets of the Company and the subsidiary guarantors (including certain limitations on the contribution of equity in financing subsidiaries), less total secured debt of the Company and the subsidiary guarantors, of at least $350 million at the last day of any fiscal quarter.</w:t>
      </w:r>
    </w:p>
    <w:p>
      <w:pPr>
        <w:spacing w:after="0" w:line="190"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The amendment also established certain additional concentration limits in connection with the calculation of the borrowing base, based on the Obligor Asset Coverage Ratio. Size, pricing and other significant terms in the Revolving Credit Facility remain unchanged.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Convertible Notes</w:t>
      </w:r>
    </w:p>
    <w:p>
      <w:pPr>
        <w:spacing w:after="0" w:line="117" w:lineRule="exact"/>
        <w:rPr>
          <w:sz w:val="20"/>
          <w:szCs w:val="20"/>
          <w:color w:val="auto"/>
        </w:rPr>
      </w:pPr>
    </w:p>
    <w:p>
      <w:pPr>
        <w:ind w:firstLine="259"/>
        <w:spacing w:after="0" w:line="269" w:lineRule="auto"/>
        <w:rPr>
          <w:sz w:val="20"/>
          <w:szCs w:val="20"/>
          <w:color w:val="auto"/>
        </w:rPr>
      </w:pPr>
      <w:r>
        <w:rPr>
          <w:rFonts w:ascii="Arial" w:cs="Arial" w:eastAsia="Arial" w:hAnsi="Arial"/>
          <w:sz w:val="17"/>
          <w:szCs w:val="17"/>
          <w:color w:val="auto"/>
        </w:rPr>
        <w:t>In June 2014, we issued in a private offering $115 million aggregate principal amount convertible notes due December 2019. The 2019 Convertible Notes were issued in a private placement only to qualified institutional buyers pursuant to Rule 144A under the Securities Act. The 2019 Convertible Notes are unsecured and bear interest at a rate of 4.50% per year, payable semiannually. The 2019 Convertible Notes will mature on December 15, 2019. In certain circumstances, the 2019 Convertible Notes will be convertible into cash, shares of our common stock or a combination of cash and shares of our common stock, at our election, at an initial conversion rate of 38.7162 shares of common stock per $1,000 principal amount of 2019 Convertible Notes, which is equivalent to an initial conversion price of approximately $25.83 per share of our common stock, subject to customary anti-dilution adjustments. As of September 30, 2018, the estimated adjusted conversion price was approximately $25.14 per share of common stock. The sale of the 2019 Convertible Notes generated net proceeds of approximately $110.8 million. We used the net proceeds of the offering to pay down debt under the Revolving Credit Facility. In connection with the offering of 2019 Convertible Notes, we have entered into interest rate swaps to continue to align the interest rates of our liabilities with our investment portfolio, which consists of predominately floating rate loans. As a result of the swaps, our effective interest rate on the 2019 Convertible Notes is three-month LIBOR plus 2.86%.</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60" w:name="page61"/>
    <w:bookmarkEnd w:id="60"/>
    <w:p>
      <w:pPr>
        <w:ind w:firstLine="259"/>
        <w:spacing w:after="0" w:line="289" w:lineRule="auto"/>
        <w:rPr>
          <w:sz w:val="20"/>
          <w:szCs w:val="20"/>
          <w:color w:val="auto"/>
        </w:rPr>
      </w:pPr>
      <w:r>
        <w:rPr>
          <w:rFonts w:ascii="Arial" w:cs="Arial" w:eastAsia="Arial" w:hAnsi="Arial"/>
          <w:sz w:val="16"/>
          <w:szCs w:val="16"/>
          <w:color w:val="auto"/>
        </w:rPr>
        <w:t>Holders may convert their 2019 Convertible Notes at their option at any time prior to June 15, 2019 only under the following circumstances: (1) 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indenture governing the 2019 Convertible Notes)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Convertible Notes</w:t>
      </w:r>
    </w:p>
    <w:p>
      <w:pPr>
        <w:spacing w:after="0" w:line="117" w:lineRule="exact"/>
        <w:rPr>
          <w:sz w:val="20"/>
          <w:szCs w:val="20"/>
          <w:color w:val="auto"/>
        </w:rPr>
      </w:pPr>
    </w:p>
    <w:p>
      <w:pPr>
        <w:ind w:right="80" w:firstLine="259"/>
        <w:spacing w:after="0" w:line="269" w:lineRule="auto"/>
        <w:rPr>
          <w:sz w:val="20"/>
          <w:szCs w:val="20"/>
          <w:color w:val="auto"/>
        </w:rPr>
      </w:pPr>
      <w:r>
        <w:rPr>
          <w:rFonts w:ascii="Arial" w:cs="Arial" w:eastAsia="Arial" w:hAnsi="Arial"/>
          <w:sz w:val="17"/>
          <w:szCs w:val="17"/>
          <w:color w:val="auto"/>
        </w:rPr>
        <w:t>In February 2017, we issued in a private offering $115 million aggregate principal amount convertible notes due August 2022. The 2022 Convertible Notes were issued in a private placement only to qualified institutional buyers pursuant to Rule 144A under the Securities Act. The 2022 Convertible Notes are unsecured, and bear interest at a rate of 4.50% per year, payable semiannually. The 2022 Convertible Notes will mature on August 1, 2022. In certain circumstances, the 2022 Convertible Notes will be convertible into cash, shares of our common stock or a combination of cash and shares of our common stock, at our election, at an initial conversion rate of 46.8516 shares of common stock per $1,000 principal amount of 2022 Convertible Notes, which is equivalent to an initial conversion price of approximately $21.34 per share of our common stock, subject to customary anti-dilution adjustments. As of September 30, 2018, the estimated adjusted conversion price was approximately $20.96 per share of common stock. The sale of the 2022 Convertible Notes generated net proceeds of approximately $111.2 million. We used the net proceeds of the offering to pay down debt under the Revolving Credit Facility. In connection with the offering of 2022 Convertible Notes, we have entered into an interest rate swap to continue to align the interest rates of our liabilities with our investment portfolio, which consists of predominately floating rate loans. As a result of the swaps, our effective interest rate on the original issuance of 2022 Convertible Notes is three-month LIBOR plus 2.37%.</w:t>
      </w:r>
    </w:p>
    <w:p>
      <w:pPr>
        <w:spacing w:after="0" w:line="183"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In June 2018, we issued an additional $57.5 million aggregate principal amount of 2022 Convertible Notes. The additional 2022 Convertible Notes were issued with identical terms, and are fungible with and are part of a single series with the previously outstanding $115 million aggregate principal amount of our 2022 Convertible Notes issued in February 2017. In connection with the reopening of the 2022 Convertible Notes, we entered into interest rate swaps to continue to align the interest rates of its liabilities with its investment portfolio, which consists of predominantly floating rate loans. As a result of the additional swaps, our effective interest rate on the additional 2022 Convertible Notes is approximately three-month LIBOR plus 1.60%. See Note 5 for further information related to our interest rate swaps.</w:t>
      </w:r>
    </w:p>
    <w:p>
      <w:pPr>
        <w:spacing w:after="0" w:line="193" w:lineRule="exact"/>
        <w:rPr>
          <w:sz w:val="20"/>
          <w:szCs w:val="20"/>
          <w:color w:val="auto"/>
        </w:rPr>
      </w:pPr>
    </w:p>
    <w:p>
      <w:pPr>
        <w:ind w:firstLine="259"/>
        <w:spacing w:after="0" w:line="289" w:lineRule="auto"/>
        <w:rPr>
          <w:sz w:val="20"/>
          <w:szCs w:val="20"/>
          <w:color w:val="auto"/>
        </w:rPr>
      </w:pPr>
      <w:r>
        <w:rPr>
          <w:rFonts w:ascii="Arial" w:cs="Arial" w:eastAsia="Arial" w:hAnsi="Arial"/>
          <w:sz w:val="16"/>
          <w:szCs w:val="16"/>
          <w:color w:val="auto"/>
        </w:rPr>
        <w:t>Holders may convert their 2022 Convertible Notes at their option at any time prior to February 1, 2022 only under the following circumstances: (1) during any calendar quarter commencing after the calendar quarter ending on June 30, 2017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indenture governing the 2022 Convertible Notes)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February 1, 2022 until the close of business on the scheduled trading day immediately preceding the maturity date, holders may convert their notes at any time, regardless of the occurrence or nonoccurrence of any of the foregoing circumstances.</w:t>
      </w:r>
    </w:p>
    <w:p>
      <w:pPr>
        <w:spacing w:after="0" w:line="167" w:lineRule="exact"/>
        <w:rPr>
          <w:sz w:val="20"/>
          <w:szCs w:val="20"/>
          <w:color w:val="auto"/>
        </w:rPr>
      </w:pPr>
    </w:p>
    <w:p>
      <w:pPr>
        <w:ind w:right="100" w:firstLine="259"/>
        <w:spacing w:after="0" w:line="257" w:lineRule="auto"/>
        <w:rPr>
          <w:sz w:val="20"/>
          <w:szCs w:val="20"/>
          <w:color w:val="auto"/>
        </w:rPr>
      </w:pPr>
      <w:r>
        <w:rPr>
          <w:rFonts w:ascii="Arial" w:cs="Arial" w:eastAsia="Arial" w:hAnsi="Arial"/>
          <w:sz w:val="18"/>
          <w:szCs w:val="18"/>
          <w:color w:val="auto"/>
        </w:rPr>
        <w:t>The Convertible Notes are our unsecured obligations and rank senior in right of payment to our future indebtedness that is expressly subordinated in right of payment to the Convertible Notes; equal in right of payment to our existing and future indebtedness that is not so subordinated; effectively junior in right of payment to any of our secured indebtedness (including unsecured indebtedness that we later secure) to the extent of the value of the assets securing such indebtedness; and structurally junior to all existing and future indebtedness (including trade payables) incurred by our subsidiaries, financing vehicles or similar facilities.</w:t>
      </w:r>
    </w:p>
    <w:p>
      <w:pPr>
        <w:spacing w:after="0" w:line="188"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As of September 30, 2018, the principal amount of the Convertible Notes exceeded the value of the underlying shares multiplied by the per share closing price of our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1" w:name="page62"/>
    <w:bookmarkEnd w:id="61"/>
    <w:p>
      <w:pPr>
        <w:ind w:firstLine="259"/>
        <w:spacing w:after="0" w:line="279" w:lineRule="auto"/>
        <w:rPr>
          <w:sz w:val="20"/>
          <w:szCs w:val="20"/>
          <w:color w:val="auto"/>
        </w:rPr>
      </w:pPr>
      <w:r>
        <w:rPr>
          <w:rFonts w:ascii="Arial" w:cs="Arial" w:eastAsia="Arial" w:hAnsi="Arial"/>
          <w:sz w:val="17"/>
          <w:szCs w:val="17"/>
          <w:color w:val="auto"/>
        </w:rPr>
        <w:t>The indentures governing the Convertible Notes contain certain covenants, including covenants requiring us to comply with the applicable asset coverage ratio requirement under the 1940 Act and to provide financial information to the holders of the Convertible Notes under certain circumstances. These covenants are subject to important limitations and exceptions that are described in the indentures governing the Convertible Notes. As of September 30, 2018, we were in compliance with the terms of each of the indentures governing the Convertible Notes.</w:t>
      </w:r>
    </w:p>
    <w:p>
      <w:pPr>
        <w:spacing w:after="0" w:line="171" w:lineRule="exact"/>
        <w:rPr>
          <w:sz w:val="20"/>
          <w:szCs w:val="20"/>
          <w:color w:val="auto"/>
        </w:rPr>
      </w:pPr>
    </w:p>
    <w:p>
      <w:pPr>
        <w:ind w:firstLine="259"/>
        <w:spacing w:after="0" w:line="270" w:lineRule="auto"/>
        <w:rPr>
          <w:sz w:val="20"/>
          <w:szCs w:val="20"/>
          <w:color w:val="auto"/>
        </w:rPr>
      </w:pPr>
      <w:r>
        <w:rPr>
          <w:rFonts w:ascii="Arial" w:cs="Arial" w:eastAsia="Arial" w:hAnsi="Arial"/>
          <w:sz w:val="17"/>
          <w:szCs w:val="17"/>
          <w:color w:val="auto"/>
        </w:rPr>
        <w:t>The Convertible Notes are accounted for in accordance with Accounting Standards Codification (“ASC”) 470-20. Upon conversion of any of the Convertible Notes, we intend to pay the outstanding principal amount in cash and, to the extent that the conversion value exceeds the principal amount, we have the option to pay in cash or shares of our common stock (or a combination of cash and shares) in respect of the excess amount, subject to the requirements of the indentures governing the Convertible Notes. We have determined that the embedded conversion options in each series of Convertible Notes are not required to be separately accounted for as a derivative under U.S. GAAP. In accounting for the Convertible Notes, we estimated at the time of issuance separate debt and equity components of each series of Convertible Notes. An original issue discount equal to the equity components of each series of Convertible Notes was recorded in “additional paid-in capital” in the accompanying consolidated balance sheet. Additionally, the issuance costs associated with the Convertible Notes were allocated to the debt and equity components in proportion to the allocation of the proceeds and accounted for as deferred financing costs and equity issuance costs, respectively.</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2023 Notes</w:t>
      </w:r>
    </w:p>
    <w:p>
      <w:pPr>
        <w:spacing w:after="0" w:line="117" w:lineRule="exact"/>
        <w:rPr>
          <w:sz w:val="20"/>
          <w:szCs w:val="20"/>
          <w:color w:val="auto"/>
        </w:rPr>
      </w:pPr>
    </w:p>
    <w:p>
      <w:pPr>
        <w:ind w:right="200" w:firstLine="259"/>
        <w:spacing w:after="0" w:line="257" w:lineRule="auto"/>
        <w:rPr>
          <w:sz w:val="20"/>
          <w:szCs w:val="20"/>
          <w:color w:val="auto"/>
        </w:rPr>
      </w:pPr>
      <w:r>
        <w:rPr>
          <w:rFonts w:ascii="Arial" w:cs="Arial" w:eastAsia="Arial" w:hAnsi="Arial"/>
          <w:sz w:val="18"/>
          <w:szCs w:val="18"/>
          <w:color w:val="auto"/>
        </w:rPr>
        <w:t>In January 2018, we issued $150.0 million aggregate principal amount of unsecured notes that mature on January 22, 2023 (the “2023 Notes”). The principal amount of the 2023 Notes is payable at maturity. The 2023 Notes bear interest at a rate of 4.50% per year, payable semi-annually commencing on July 22, 2018, and may be redeemed in whole or in part at our option at any time at par plus a “make whole” premium. Total proceeds from the issuance of the 2023 Notes, net of underwriting discounts and offering costs, were $146.9 million. We used the net proceeds of the 2023 Notes to repay outstanding indebtedness under the Revolving Credit Facility.</w:t>
      </w:r>
    </w:p>
    <w:p>
      <w:pPr>
        <w:spacing w:after="0" w:line="188"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In connection with the 2023 Notes offering, we entered into an interest rate swap to continue to align the interest rates of our liabilities with our investment portfolio, which consists of predominately floating rate loans. As a result of the swap, our effective interest rate on the 2023 Notes is three-month LIBOR plus 1.99%.</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117"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From time to time, we may enter into commitments to fund investments. We incorporated these commitments into our assessment of our liquidity position.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September 30, 2018 and December 31, 2017, we had the following commitments to fund investments in current portfolio companies:</w:t>
      </w:r>
    </w:p>
    <w:p>
      <w:pPr>
        <w:spacing w:after="0" w:line="18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 in millions)</w:t>
            </w: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AppStar Financial, LLC - Revolver</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FF0FC"/>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Bazaarvoice, Inc. - Revolver</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Caris Life Sciences, Inc. - Delayed Draw</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ClearCompany, LLC - Delayed Draw</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Ferrellgas, L.P. - Revolver</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Frontline Technologies Group, LLC - Delayed Draw</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19"/>
                <w:szCs w:val="19"/>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G Treasury SS, LLC - Delayed Draw</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G Treasury SS, LLC - Revolver</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Government Brands, LLC - Revolver</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Helix Health, Ltd. - Revolver</w:t>
            </w: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9"/>
                <w:szCs w:val="19"/>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Illuminate Education, Inc. - Revolver</w:t>
            </w: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FF0FC"/>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Industrial Physics, LLC - Revolver</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9"/>
                <w:szCs w:val="19"/>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Integration Appliance, Inc. - Revolver</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IRGSE Holding Corp. - Revolver</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9"/>
                <w:szCs w:val="19"/>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Leaf US Holdings, Inc. - Revolver</w:t>
            </w: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FF0FC"/>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Lithium Technologies, LLC - Revolver</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9"/>
                <w:szCs w:val="19"/>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Marketo, Inc. - Revolver</w:t>
            </w: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FF0FC"/>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Motus, LLC - Revolver</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Northern Oil and Gas, Inc. - Delayed Draw</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60" w:type="dxa"/>
            <w:vAlign w:val="bottom"/>
            <w:shd w:val="clear" w:color="auto" w:fill="CFF0FC"/>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PageUp People Limited - Delayed Draw</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PayLease, LLC - Revolver</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FF0FC"/>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PaySimple, Inc. - Revolver</w:t>
            </w: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9"/>
                <w:szCs w:val="19"/>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Rex Energy Corporation DIP - Delayed Draw</w:t>
            </w: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FF0FC"/>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Riskonnect, Inc. - Revolver</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9"/>
                <w:szCs w:val="19"/>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ScentAir Technologies, Inc. - Revolver</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60" w:type="dxa"/>
            <w:vAlign w:val="bottom"/>
            <w:shd w:val="clear" w:color="auto" w:fill="CFF0FC"/>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Sovos Compliance, LLC - Delayed Draw</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9"/>
                <w:szCs w:val="19"/>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Sovos Compliance, LLC - Revolver</w:t>
            </w: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FF0FC"/>
          </w:tcPr>
          <w:p>
            <w:pPr>
              <w:spacing w:after="0"/>
              <w:rPr>
                <w:sz w:val="19"/>
                <w:szCs w:val="19"/>
                <w:color w:val="auto"/>
              </w:rPr>
            </w:pPr>
          </w:p>
        </w:tc>
      </w:tr>
      <w:tr>
        <w:trPr>
          <w:trHeight w:val="223"/>
        </w:trPr>
        <w:tc>
          <w:tcPr>
            <w:tcW w:w="5400" w:type="dxa"/>
            <w:vAlign w:val="bottom"/>
          </w:tcPr>
          <w:p>
            <w:pPr>
              <w:ind w:left="240"/>
              <w:spacing w:after="0"/>
              <w:rPr>
                <w:sz w:val="20"/>
                <w:szCs w:val="20"/>
                <w:color w:val="auto"/>
              </w:rPr>
            </w:pPr>
            <w:r>
              <w:rPr>
                <w:rFonts w:ascii="Arial" w:cs="Arial" w:eastAsia="Arial" w:hAnsi="Arial"/>
                <w:sz w:val="18"/>
                <w:szCs w:val="18"/>
                <w:b w:val="1"/>
                <w:bCs w:val="1"/>
                <w:color w:val="auto"/>
              </w:rPr>
              <w:t>Total Portfolio Company Commitments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6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120" w:firstLine="259"/>
        <w:spacing w:after="0" w:line="277" w:lineRule="auto"/>
        <w:rPr>
          <w:sz w:val="20"/>
          <w:szCs w:val="20"/>
          <w:color w:val="auto"/>
        </w:rPr>
      </w:pPr>
      <w:r>
        <w:rPr>
          <w:rFonts w:ascii="Arial" w:cs="Arial" w:eastAsia="Arial" w:hAnsi="Arial"/>
          <w:sz w:val="18"/>
          <w:szCs w:val="18"/>
          <w:color w:val="auto"/>
        </w:rPr>
        <w:t>As of September 30, 2018 and December 31, 2017, we did not have any unfunded commitments to fund new investments to new borrowers that were not current portfolio companies as of such date.</w:t>
      </w:r>
    </w:p>
    <w:p>
      <w:pPr>
        <w:spacing w:after="0" w:line="170"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70" w:lineRule="exact"/>
        <w:rPr>
          <w:sz w:val="20"/>
          <w:szCs w:val="20"/>
          <w:color w:val="auto"/>
        </w:rPr>
      </w:pPr>
    </w:p>
    <w:p>
      <w:pPr>
        <w:ind w:firstLine="259"/>
        <w:spacing w:after="0" w:line="297" w:lineRule="auto"/>
        <w:rPr>
          <w:sz w:val="20"/>
          <w:szCs w:val="20"/>
          <w:color w:val="auto"/>
        </w:rPr>
      </w:pPr>
      <w:r>
        <w:rPr>
          <w:rFonts w:ascii="Arial" w:cs="Arial" w:eastAsia="Arial" w:hAnsi="Arial"/>
          <w:sz w:val="16"/>
          <w:szCs w:val="16"/>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the fees and expenses associated with performing compliance functions and our allocable portion of the compensation of our Chief Compliance Officer, Chief Financial Officer and other professionals who spend time on those related activities (based on a percentage of time those individuals devote, 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63" w:name="page64"/>
    <w:bookmarkEnd w:id="63"/>
    <w:p>
      <w:pPr>
        <w:ind w:right="100"/>
        <w:spacing w:after="0" w:line="277" w:lineRule="auto"/>
        <w:rPr>
          <w:sz w:val="20"/>
          <w:szCs w:val="20"/>
          <w:color w:val="auto"/>
        </w:rPr>
      </w:pPr>
      <w:r>
        <w:rPr>
          <w:rFonts w:ascii="Arial" w:cs="Arial" w:eastAsia="Arial" w:hAnsi="Arial"/>
          <w:sz w:val="18"/>
          <w:szCs w:val="18"/>
          <w:color w:val="auto"/>
        </w:rPr>
        <w:t>an estimated basis, to our business and affairs). Our Adviser also offers on our behalf significant managerial assistance to those portfolio companies to which we are required to offer to provide such assistance.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our contractual payment obligations as of September 30, 2018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center"/>
              <w:ind w:left="637"/>
              <w:spacing w:after="0"/>
              <w:rPr>
                <w:sz w:val="20"/>
                <w:szCs w:val="20"/>
                <w:color w:val="auto"/>
              </w:rPr>
            </w:pPr>
            <w:r>
              <w:rPr>
                <w:rFonts w:ascii="Arial" w:cs="Arial" w:eastAsia="Arial" w:hAnsi="Arial"/>
                <w:sz w:val="14"/>
                <w:szCs w:val="14"/>
                <w:b w:val="1"/>
                <w:bCs w:val="1"/>
                <w:color w:val="auto"/>
                <w:w w:val="92"/>
              </w:rPr>
              <w:t>Payments Due by Period</w:t>
            </w: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ind w:left="60"/>
              <w:spacing w:after="0" w:line="147" w:lineRule="exact"/>
              <w:rPr>
                <w:sz w:val="20"/>
                <w:szCs w:val="20"/>
                <w:color w:val="auto"/>
              </w:rPr>
            </w:pPr>
            <w:r>
              <w:rPr>
                <w:rFonts w:ascii="Arial" w:cs="Arial" w:eastAsia="Arial" w:hAnsi="Arial"/>
                <w:sz w:val="14"/>
                <w:szCs w:val="14"/>
                <w:b w:val="1"/>
                <w:bCs w:val="1"/>
                <w:color w:val="auto"/>
              </w:rPr>
              <w:t>Less than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5200" w:type="dxa"/>
            <w:vAlign w:val="bottom"/>
          </w:tcPr>
          <w:p>
            <w:pPr>
              <w:spacing w:after="0"/>
              <w:rPr>
                <w:sz w:val="20"/>
                <w:szCs w:val="20"/>
                <w:color w:val="auto"/>
              </w:rPr>
            </w:pPr>
            <w:r>
              <w:rPr>
                <w:rFonts w:ascii="Arial" w:cs="Arial" w:eastAsia="Arial" w:hAnsi="Arial"/>
                <w:sz w:val="14"/>
                <w:szCs w:val="14"/>
                <w:color w:val="auto"/>
              </w:rPr>
              <w:t>($ in millions)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1-3 years</w:t>
            </w:r>
          </w:p>
        </w:tc>
        <w:tc>
          <w:tcPr>
            <w:tcW w:w="160" w:type="dxa"/>
            <w:vAlign w:val="bottom"/>
          </w:tcPr>
          <w:p>
            <w:pPr>
              <w:spacing w:after="0"/>
              <w:rPr>
                <w:sz w:val="14"/>
                <w:szCs w:val="14"/>
                <w:color w:val="auto"/>
              </w:rPr>
            </w:pPr>
          </w:p>
        </w:tc>
        <w:tc>
          <w:tcPr>
            <w:tcW w:w="880" w:type="dxa"/>
            <w:vAlign w:val="bottom"/>
          </w:tcPr>
          <w:p>
            <w:pPr>
              <w:jc w:val="right"/>
              <w:ind w:right="153"/>
              <w:spacing w:after="0"/>
              <w:rPr>
                <w:sz w:val="20"/>
                <w:szCs w:val="20"/>
                <w:color w:val="auto"/>
              </w:rPr>
            </w:pPr>
            <w:r>
              <w:rPr>
                <w:rFonts w:ascii="Arial" w:cs="Arial" w:eastAsia="Arial" w:hAnsi="Arial"/>
                <w:sz w:val="14"/>
                <w:szCs w:val="14"/>
                <w:b w:val="1"/>
                <w:bCs w:val="1"/>
                <w:color w:val="auto"/>
              </w:rPr>
              <w:t>3-5 years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After 5 years</w:t>
            </w:r>
          </w:p>
        </w:tc>
      </w:tr>
      <w:tr>
        <w:trPr>
          <w:trHeight w:val="223"/>
        </w:trPr>
        <w:tc>
          <w:tcPr>
            <w:tcW w:w="5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457.3</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457.3</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2019 Convertible Notes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ind w:left="6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2022 Convertible Notes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2023 Notes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ind w:left="6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23"/>
        </w:trPr>
        <w:tc>
          <w:tcPr>
            <w:tcW w:w="52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 Contractual Obligations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right="240" w:firstLine="259"/>
        <w:spacing w:after="0" w:line="342" w:lineRule="auto"/>
        <w:rPr>
          <w:sz w:val="20"/>
          <w:szCs w:val="20"/>
          <w:color w:val="auto"/>
        </w:rPr>
      </w:pPr>
      <w:r>
        <w:rPr>
          <w:rFonts w:ascii="Arial" w:cs="Arial" w:eastAsia="Arial" w:hAnsi="Arial"/>
          <w:sz w:val="16"/>
          <w:szCs w:val="16"/>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16" w:lineRule="exact"/>
        <w:rPr>
          <w:sz w:val="20"/>
          <w:szCs w:val="20"/>
          <w:color w:val="auto"/>
        </w:rPr>
      </w:pPr>
    </w:p>
    <w:p>
      <w:pPr>
        <w:ind w:left="520" w:right="140" w:hanging="255"/>
        <w:spacing w:after="0" w:line="277"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net tax-exempt interest income (which is the excess of our gross tax-exempt interest income over certain disallowed deductions) for such taxable year.</w:t>
      </w:r>
    </w:p>
    <w:p>
      <w:pPr>
        <w:spacing w:after="0" w:line="248"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70" w:lineRule="exact"/>
        <w:rPr>
          <w:sz w:val="20"/>
          <w:szCs w:val="20"/>
          <w:color w:val="auto"/>
        </w:rPr>
      </w:pPr>
    </w:p>
    <w:p>
      <w:pPr>
        <w:jc w:val="both"/>
        <w:ind w:right="440" w:firstLine="259"/>
        <w:spacing w:after="0" w:line="264"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81" w:lineRule="exact"/>
        <w:rPr>
          <w:sz w:val="20"/>
          <w:szCs w:val="20"/>
          <w:color w:val="auto"/>
        </w:rPr>
      </w:pPr>
    </w:p>
    <w:p>
      <w:pPr>
        <w:ind w:right="100" w:firstLine="259"/>
        <w:spacing w:after="0" w:line="342" w:lineRule="auto"/>
        <w:rPr>
          <w:sz w:val="20"/>
          <w:szCs w:val="20"/>
          <w:color w:val="auto"/>
        </w:rPr>
      </w:pPr>
      <w:r>
        <w:rPr>
          <w:rFonts w:ascii="Arial" w:cs="Arial" w:eastAsia="Arial" w:hAnsi="Arial"/>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16" w:lineRule="exact"/>
        <w:rPr>
          <w:sz w:val="20"/>
          <w:szCs w:val="20"/>
          <w:color w:val="auto"/>
        </w:rPr>
      </w:pPr>
    </w:p>
    <w:p>
      <w:pPr>
        <w:ind w:left="520" w:hanging="255"/>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or losses for that calendar year;</w:t>
      </w:r>
    </w:p>
    <w:p>
      <w:pPr>
        <w:spacing w:after="0" w:line="117" w:lineRule="exact"/>
        <w:rPr>
          <w:rFonts w:ascii="Arial" w:cs="Arial" w:eastAsia="Arial" w:hAnsi="Arial"/>
          <w:sz w:val="18"/>
          <w:szCs w:val="18"/>
          <w:color w:val="auto"/>
        </w:rPr>
      </w:pPr>
    </w:p>
    <w:p>
      <w:pPr>
        <w:ind w:left="520" w:right="140" w:hanging="255"/>
        <w:spacing w:after="0" w:line="277"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that calendar year;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81" w:lineRule="exact"/>
        <w:rPr>
          <w:sz w:val="20"/>
          <w:szCs w:val="20"/>
          <w:color w:val="auto"/>
        </w:rPr>
      </w:pPr>
    </w:p>
    <w:p>
      <w:pPr>
        <w:ind w:right="140" w:firstLine="259"/>
        <w:spacing w:after="0" w:line="264"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81"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4" w:name="page65"/>
    <w:bookmarkEnd w:id="64"/>
    <w:p>
      <w:pPr>
        <w:ind w:right="80"/>
        <w:spacing w:after="0" w:line="277" w:lineRule="auto"/>
        <w:rPr>
          <w:sz w:val="20"/>
          <w:szCs w:val="20"/>
          <w:color w:val="auto"/>
        </w:rPr>
      </w:pPr>
      <w:r>
        <w:rPr>
          <w:rFonts w:ascii="Arial" w:cs="Arial" w:eastAsia="Arial" w:hAnsi="Arial"/>
          <w:sz w:val="18"/>
          <w:szCs w:val="18"/>
          <w:color w:val="auto"/>
        </w:rPr>
        <w:t>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70" w:lineRule="exact"/>
        <w:rPr>
          <w:sz w:val="20"/>
          <w:szCs w:val="20"/>
          <w:color w:val="auto"/>
        </w:rPr>
      </w:pPr>
    </w:p>
    <w:p>
      <w:pPr>
        <w:ind w:right="200" w:firstLine="259"/>
        <w:spacing w:after="0" w:line="279" w:lineRule="auto"/>
        <w:rPr>
          <w:sz w:val="20"/>
          <w:szCs w:val="20"/>
          <w:color w:val="auto"/>
        </w:rPr>
      </w:pPr>
      <w:r>
        <w:rPr>
          <w:rFonts w:ascii="Arial" w:cs="Arial" w:eastAsia="Arial" w:hAnsi="Arial"/>
          <w:sz w:val="17"/>
          <w:szCs w:val="17"/>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17" w:lineRule="exact"/>
        <w:rPr>
          <w:sz w:val="20"/>
          <w:szCs w:val="20"/>
          <w:color w:val="auto"/>
        </w:rPr>
      </w:pPr>
    </w:p>
    <w:p>
      <w:pPr>
        <w:ind w:left="520" w:hanging="255"/>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117" w:lineRule="exact"/>
        <w:rPr>
          <w:rFonts w:ascii="Arial" w:cs="Arial" w:eastAsia="Arial" w:hAnsi="Arial"/>
          <w:sz w:val="18"/>
          <w:szCs w:val="18"/>
          <w:color w:val="auto"/>
        </w:rPr>
      </w:pPr>
    </w:p>
    <w:p>
      <w:pPr>
        <w:ind w:left="520" w:right="100" w:hanging="255"/>
        <w:spacing w:after="0" w:line="264"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20" w:firstLine="259"/>
        <w:spacing w:after="0" w:line="302" w:lineRule="auto"/>
        <w:rPr>
          <w:sz w:val="20"/>
          <w:szCs w:val="20"/>
          <w:color w:val="auto"/>
        </w:rPr>
      </w:pPr>
      <w:r>
        <w:rPr>
          <w:rFonts w:ascii="Arial" w:cs="Arial" w:eastAsia="Arial" w:hAnsi="Arial"/>
          <w:sz w:val="16"/>
          <w:szCs w:val="16"/>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in our Annual Report on Form 10-K for the year ended December 31, 2017, filed with the SEC on February 21, 2018, and elsewhere in our filings with the SEC.</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are subject to financial market risks, including valuation risk, interest rate risk and currency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117" w:lineRule="exact"/>
        <w:rPr>
          <w:sz w:val="20"/>
          <w:szCs w:val="20"/>
          <w:color w:val="auto"/>
        </w:rPr>
      </w:pPr>
    </w:p>
    <w:p>
      <w:pPr>
        <w:ind w:right="60" w:firstLine="259"/>
        <w:spacing w:after="0" w:line="255" w:lineRule="auto"/>
        <w:rPr>
          <w:sz w:val="20"/>
          <w:szCs w:val="20"/>
          <w:color w:val="auto"/>
        </w:rPr>
      </w:pPr>
      <w:r>
        <w:rPr>
          <w:rFonts w:ascii="Arial" w:cs="Arial" w:eastAsia="Arial" w:hAnsi="Arial"/>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259"/>
        <w:spacing w:after="0" w:line="312"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47" w:lineRule="exact"/>
        <w:rPr>
          <w:sz w:val="20"/>
          <w:szCs w:val="20"/>
          <w:color w:val="auto"/>
        </w:rPr>
      </w:pPr>
    </w:p>
    <w:p>
      <w:pPr>
        <w:ind w:right="700" w:firstLine="259"/>
        <w:spacing w:after="0" w:line="264"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81" w:lineRule="exact"/>
        <w:rPr>
          <w:sz w:val="20"/>
          <w:szCs w:val="20"/>
          <w:color w:val="auto"/>
        </w:rPr>
      </w:pPr>
    </w:p>
    <w:p>
      <w:pPr>
        <w:ind w:right="240" w:firstLine="259"/>
        <w:spacing w:after="0" w:line="279" w:lineRule="auto"/>
        <w:rPr>
          <w:sz w:val="20"/>
          <w:szCs w:val="20"/>
          <w:color w:val="auto"/>
        </w:rPr>
      </w:pPr>
      <w:r>
        <w:rPr>
          <w:rFonts w:ascii="Arial" w:cs="Arial" w:eastAsia="Arial" w:hAnsi="Arial"/>
          <w:sz w:val="17"/>
          <w:szCs w:val="17"/>
          <w:color w:val="auto"/>
        </w:rPr>
        <w:t>As of September 30, 2018, 99.8% of our debt investments based on fair value in our portfolio bore interest at floating rates (when including investment specific hedges), with 94.2% of these subject to interest rate floors. Our credit facilities also bear interest at floating rates and in connection with our Convertible Notes and 2023 Notes, which bear interest at a fixed rate, we entered into fixed-to-floating interest rate swaps in order to continue to align the nature of interest rates of our liabilities with the nature of interest rates of our investment portfolio.</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5" w:name="page66"/>
    <w:bookmarkEnd w:id="65"/>
    <w:p>
      <w:pPr>
        <w:ind w:right="60" w:firstLine="259"/>
        <w:spacing w:after="0" w:line="264" w:lineRule="auto"/>
        <w:rPr>
          <w:sz w:val="20"/>
          <w:szCs w:val="20"/>
          <w:color w:val="auto"/>
        </w:rPr>
      </w:pPr>
      <w:r>
        <w:rPr>
          <w:rFonts w:ascii="Arial" w:cs="Arial" w:eastAsia="Arial" w:hAnsi="Arial"/>
          <w:sz w:val="18"/>
          <w:szCs w:val="18"/>
          <w:color w:val="auto"/>
        </w:rPr>
        <w:t>Assuming that our consolidated balance sheet as of September 30, 2018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8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Basis Point Change</w:t>
            </w:r>
          </w:p>
        </w:tc>
        <w:tc>
          <w:tcPr>
            <w:tcW w:w="120" w:type="dxa"/>
            <w:vAlign w:val="bottom"/>
          </w:tcPr>
          <w:p>
            <w:pPr>
              <w:spacing w:after="0"/>
              <w:rPr>
                <w:sz w:val="14"/>
                <w:szCs w:val="14"/>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Interest Income</w:t>
            </w:r>
          </w:p>
        </w:tc>
        <w:tc>
          <w:tcPr>
            <w:tcW w:w="8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Interest Expense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Net Income</w:t>
            </w:r>
          </w:p>
        </w:tc>
      </w:tr>
      <w:tr>
        <w:trPr>
          <w:trHeight w:val="223"/>
        </w:trPr>
        <w:tc>
          <w:tcPr>
            <w:tcW w:w="20" w:type="dxa"/>
            <w:vAlign w:val="bottom"/>
          </w:tcPr>
          <w:p>
            <w:pPr>
              <w:spacing w:after="0"/>
              <w:rPr>
                <w:sz w:val="19"/>
                <w:szCs w:val="19"/>
                <w:color w:val="auto"/>
              </w:rPr>
            </w:pPr>
          </w:p>
        </w:tc>
        <w:tc>
          <w:tcPr>
            <w:tcW w:w="5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Up 300 basis points</w:t>
            </w:r>
          </w:p>
        </w:tc>
        <w:tc>
          <w:tcPr>
            <w:tcW w:w="1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Up 200 basis points</w:t>
            </w:r>
          </w:p>
        </w:tc>
        <w:tc>
          <w:tcPr>
            <w:tcW w:w="54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19"/>
                <w:szCs w:val="19"/>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Up 100 basis points</w:t>
            </w:r>
          </w:p>
        </w:tc>
        <w:tc>
          <w:tcPr>
            <w:tcW w:w="540" w:type="dxa"/>
            <w:vAlign w:val="bottom"/>
            <w:gridSpan w:val="2"/>
            <w:shd w:val="clear" w:color="auto" w:fill="CFF0FC"/>
          </w:tcPr>
          <w:p>
            <w:pPr>
              <w:jc w:val="right"/>
              <w:ind w:right="26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Down 25 basis points</w:t>
            </w:r>
          </w:p>
        </w:tc>
        <w:tc>
          <w:tcPr>
            <w:tcW w:w="54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bl>
    <w:p>
      <w:pPr>
        <w:spacing w:after="0" w:line="241" w:lineRule="exact"/>
        <w:rPr>
          <w:sz w:val="20"/>
          <w:szCs w:val="20"/>
          <w:color w:val="auto"/>
        </w:rPr>
      </w:pPr>
    </w:p>
    <w:p>
      <w:pPr>
        <w:ind w:right="220" w:firstLine="259"/>
        <w:spacing w:after="0" w:line="264"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81"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117" w:lineRule="exact"/>
        <w:rPr>
          <w:sz w:val="20"/>
          <w:szCs w:val="20"/>
          <w:color w:val="auto"/>
        </w:rPr>
      </w:pPr>
    </w:p>
    <w:p>
      <w:pPr>
        <w:ind w:right="80" w:firstLine="259"/>
        <w:spacing w:after="0" w:line="271" w:lineRule="auto"/>
        <w:rPr>
          <w:sz w:val="20"/>
          <w:szCs w:val="20"/>
          <w:color w:val="auto"/>
        </w:rPr>
      </w:pPr>
      <w:r>
        <w:rPr>
          <w:rFonts w:ascii="Arial" w:cs="Arial" w:eastAsia="Arial" w:hAnsi="Arial"/>
          <w:sz w:val="17"/>
          <w:szCs w:val="17"/>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an interest rate other than a rate under which we can borrow under our Revolving Credit Facility, we may seek to utilize interest rate derivatives to hedge our exposure to changes in the associated rate.</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b w:val="1"/>
          <w:bCs w:val="1"/>
          <w:i w:val="1"/>
          <w:iCs w:val="1"/>
          <w:color w:val="auto"/>
        </w:rPr>
        <w:t xml:space="preserve">Evaluation of Disclosure Controls and Procedures. </w:t>
      </w:r>
      <w:r>
        <w:rPr>
          <w:rFonts w:ascii="Arial" w:cs="Arial" w:eastAsia="Arial" w:hAnsi="Arial"/>
          <w:sz w:val="17"/>
          <w:szCs w:val="17"/>
          <w:color w:val="auto"/>
        </w:rPr>
        <w:t>As of the end of the period covered by this report, we carried out an evaluation, under the supervision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73"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There have been no changes in our internal control over financial reporting that occurred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most recently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275"/>
        <w:spacing w:after="0" w:line="286" w:lineRule="auto"/>
        <w:rPr>
          <w:sz w:val="20"/>
          <w:szCs w:val="20"/>
          <w:color w:val="auto"/>
        </w:rPr>
      </w:pPr>
      <w:r>
        <w:rPr>
          <w:rFonts w:ascii="Arial" w:cs="Arial" w:eastAsia="Arial" w:hAnsi="Arial"/>
          <w:sz w:val="16"/>
          <w:szCs w:val="16"/>
          <w:color w:val="auto"/>
        </w:rPr>
        <w:t>In addition to the other information set forth in this report, you should carefully consider the risk factors discussed in Part I, “Item 1A. Risk Factors” in our Annual Report on Form 10-K for the fiscal year ended December 31, 2017 and the risk factors set forth below, which could materially affect our business, financial condition and/or operating results. These risks are not the only risks facing our Company. Additional risks and uncertainties not currently known to us or that we currently deem to be immaterial also may materially and adversely affect our business, financial condition and/or operating results.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 allows us to incur additional leverage.</w:t>
      </w:r>
    </w:p>
    <w:p>
      <w:pPr>
        <w:spacing w:after="0" w:line="211" w:lineRule="exact"/>
        <w:rPr>
          <w:sz w:val="20"/>
          <w:szCs w:val="20"/>
          <w:color w:val="auto"/>
        </w:rPr>
      </w:pPr>
    </w:p>
    <w:p>
      <w:pPr>
        <w:ind w:right="200" w:firstLine="761"/>
        <w:spacing w:after="0" w:line="302" w:lineRule="auto"/>
        <w:rPr>
          <w:sz w:val="20"/>
          <w:szCs w:val="20"/>
          <w:color w:val="auto"/>
        </w:rPr>
      </w:pPr>
      <w:r>
        <w:rPr>
          <w:rFonts w:ascii="Arial" w:cs="Arial" w:eastAsia="Arial" w:hAnsi="Arial"/>
          <w:sz w:val="16"/>
          <w:szCs w:val="16"/>
          <w:color w:val="auto"/>
        </w:rPr>
        <w:t>Under the 1940 Act, a BDC generally is not permitted to incur borrowings, issue debt securities or issue preferred stock unless immediately after the borrowing or issuance the ratio of total assets (less total liabilities other than indebtedness) to total indebtedness plus preferred stock is at least 200%. However, under the SBCAA, which became law in March 2018, BDCs have the ability to elect to become subject to a lower asset coverage requirement of 150%, subject to the receipt of the requisite board or stockholder approvals under the SBCAA and satisfaction of certain other conditions.</w:t>
      </w:r>
    </w:p>
    <w:p>
      <w:pPr>
        <w:spacing w:after="0" w:line="154" w:lineRule="exact"/>
        <w:rPr>
          <w:sz w:val="20"/>
          <w:szCs w:val="20"/>
          <w:color w:val="auto"/>
        </w:rPr>
      </w:pPr>
    </w:p>
    <w:p>
      <w:pPr>
        <w:ind w:right="80" w:firstLine="761"/>
        <w:spacing w:after="0" w:line="302" w:lineRule="auto"/>
        <w:rPr>
          <w:sz w:val="20"/>
          <w:szCs w:val="20"/>
          <w:color w:val="auto"/>
        </w:rPr>
      </w:pPr>
      <w:r>
        <w:rPr>
          <w:rFonts w:ascii="Arial" w:cs="Arial" w:eastAsia="Arial" w:hAnsi="Arial"/>
          <w:sz w:val="16"/>
          <w:szCs w:val="16"/>
          <w:color w:val="auto"/>
        </w:rPr>
        <w:t>On October 8, 2018, our stockholders approved the application of the minimum asset coverage ratio of 150% to us, as set forth in Section 61(a)(2) of the 1940 Act, as amended by the SBCAA. As a result and subject to certain additional disclosure requirements, our minimum asset coverage ratio was reduced from 200% to 150% for purposes of the 1940 Act leverage limitation as of October 9, 2018. In other words, pursuant to Section 61(a) of the 1940 Act, as amended by the SBCAA, we are permitted to potentially increase our debt-to-equity ratio from a maximum of 1:1 to a maximum of 2:1.</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a result, you may face increased investment risk.</w:t>
      </w:r>
    </w:p>
    <w:p>
      <w:pPr>
        <w:spacing w:after="0" w:line="200" w:lineRule="exact"/>
        <w:rPr>
          <w:sz w:val="20"/>
          <w:szCs w:val="20"/>
          <w:color w:val="auto"/>
        </w:rPr>
      </w:pPr>
    </w:p>
    <w:p>
      <w:pPr>
        <w:spacing w:after="0" w:line="24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i w:val="1"/>
          <w:iCs w:val="1"/>
          <w:color w:val="auto"/>
        </w:rPr>
        <w:t>In addition, pursuant to Section 61(a)(2)(C)(ii) of the 1940 Act, the principal risk factors associated with our senior securities are set forth below. However, since we already use leverage in optimizing our investment portfolio, the principal risk factors associated with our senior securities do not represent material changes to the risk factors previously disclosed in our Annual Report on Form 10-K for the fiscal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our operation as a BDC affect our ability to, and the way in which we, raise additional capital.</w:t>
      </w:r>
    </w:p>
    <w:p>
      <w:pPr>
        <w:spacing w:after="0" w:line="225" w:lineRule="exact"/>
        <w:rPr>
          <w:sz w:val="20"/>
          <w:szCs w:val="20"/>
          <w:color w:val="auto"/>
        </w:rPr>
      </w:pPr>
    </w:p>
    <w:p>
      <w:pPr>
        <w:ind w:right="40" w:firstLine="761"/>
        <w:spacing w:after="0" w:line="259" w:lineRule="auto"/>
        <w:rPr>
          <w:sz w:val="20"/>
          <w:szCs w:val="20"/>
          <w:color w:val="auto"/>
        </w:rPr>
      </w:pPr>
      <w:r>
        <w:rPr>
          <w:rFonts w:ascii="Arial" w:cs="Arial" w:eastAsia="Arial" w:hAnsi="Arial"/>
          <w:sz w:val="18"/>
          <w:szCs w:val="18"/>
          <w:color w:val="auto"/>
        </w:rPr>
        <w:t>The 1940 Act imposes numerous constraints on the operations of BDCs.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87" w:lineRule="exact"/>
        <w:rPr>
          <w:sz w:val="20"/>
          <w:szCs w:val="20"/>
          <w:color w:val="auto"/>
        </w:rPr>
      </w:pPr>
    </w:p>
    <w:p>
      <w:pPr>
        <w:ind w:firstLine="761"/>
        <w:spacing w:after="0" w:line="264" w:lineRule="auto"/>
        <w:rPr>
          <w:sz w:val="20"/>
          <w:szCs w:val="20"/>
          <w:color w:val="auto"/>
        </w:rPr>
      </w:pPr>
      <w:r>
        <w:rPr>
          <w:rFonts w:ascii="Arial" w:cs="Arial" w:eastAsia="Arial" w:hAnsi="Arial"/>
          <w:sz w:val="18"/>
          <w:szCs w:val="18"/>
          <w:color w:val="auto"/>
        </w:rPr>
        <w:t>We may need to periodically access the debt and equity capital markets to raise cash to fund new investments in excess of our repayments, and we may also need to access the capital markets to refinance existing debt obligations to the extent such maturing obligations are not repaid with availability under our revolving credit facilities or cash flows from operations.</w:t>
      </w:r>
    </w:p>
    <w:p>
      <w:pPr>
        <w:spacing w:after="0" w:line="181" w:lineRule="exact"/>
        <w:rPr>
          <w:sz w:val="20"/>
          <w:szCs w:val="20"/>
          <w:color w:val="auto"/>
        </w:rPr>
      </w:pPr>
    </w:p>
    <w:p>
      <w:pPr>
        <w:ind w:right="20" w:firstLine="761"/>
        <w:spacing w:after="0" w:line="302" w:lineRule="auto"/>
        <w:rPr>
          <w:sz w:val="20"/>
          <w:szCs w:val="20"/>
          <w:color w:val="auto"/>
        </w:rPr>
      </w:pPr>
      <w:r>
        <w:rPr>
          <w:rFonts w:ascii="Arial" w:cs="Arial" w:eastAsia="Arial" w:hAnsi="Arial"/>
          <w:sz w:val="16"/>
          <w:szCs w:val="16"/>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150%.</w:t>
      </w:r>
    </w:p>
    <w:p>
      <w:pPr>
        <w:spacing w:after="0" w:line="154" w:lineRule="exact"/>
        <w:rPr>
          <w:sz w:val="20"/>
          <w:szCs w:val="20"/>
          <w:color w:val="auto"/>
        </w:rPr>
      </w:pPr>
    </w:p>
    <w:p>
      <w:pPr>
        <w:ind w:firstLine="761"/>
        <w:spacing w:after="0" w:line="297" w:lineRule="auto"/>
        <w:rPr>
          <w:sz w:val="20"/>
          <w:szCs w:val="20"/>
          <w:color w:val="auto"/>
        </w:rPr>
      </w:pPr>
      <w:r>
        <w:rPr>
          <w:rFonts w:ascii="Arial" w:cs="Arial" w:eastAsia="Arial" w:hAnsi="Arial"/>
          <w:sz w:val="16"/>
          <w:szCs w:val="16"/>
          <w:color w:val="auto"/>
        </w:rPr>
        <w:t>We may need to continue to borrow from financial institutions and issue additional securities to fund our growth. Unfavorable economic or capital market conditions may increase our funding costs, limit our access to the capital markets or could result in a decision by lenders not to extend credit to us. An inability to successfully access the capital markets may limit our ability to refinance our existing debt obligations as they come due and/or to fully execute our business strategy and could limit our ability to grow or cause us to have to shrink the size of our business, which could decrease our earnings, if any. Consequently, if the value of our assets declines or we are unable to access the capital markets we may be required to sell a portion of our investments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7" w:name="page68"/>
    <w:bookmarkEnd w:id="67"/>
    <w:p>
      <w:pPr>
        <w:ind w:right="200"/>
        <w:spacing w:after="0" w:line="264" w:lineRule="auto"/>
        <w:rPr>
          <w:sz w:val="20"/>
          <w:szCs w:val="20"/>
          <w:color w:val="auto"/>
        </w:rPr>
      </w:pPr>
      <w:r>
        <w:rPr>
          <w:rFonts w:ascii="Arial" w:cs="Arial" w:eastAsia="Arial" w:hAnsi="Arial"/>
          <w:sz w:val="18"/>
          <w:szCs w:val="18"/>
          <w:color w:val="auto"/>
        </w:rPr>
        <w:t>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81" w:lineRule="exact"/>
        <w:rPr>
          <w:sz w:val="20"/>
          <w:szCs w:val="20"/>
          <w:color w:val="auto"/>
        </w:rPr>
      </w:pPr>
    </w:p>
    <w:p>
      <w:pPr>
        <w:ind w:right="40" w:firstLine="761"/>
        <w:spacing w:after="0" w:line="255" w:lineRule="auto"/>
        <w:rPr>
          <w:sz w:val="20"/>
          <w:szCs w:val="20"/>
          <w:color w:val="auto"/>
        </w:rPr>
      </w:pPr>
      <w:r>
        <w:rPr>
          <w:rFonts w:ascii="Arial" w:cs="Arial" w:eastAsia="Arial" w:hAnsi="Arial"/>
          <w:sz w:val="18"/>
          <w:szCs w:val="18"/>
          <w:color w:val="auto"/>
        </w:rPr>
        <w:t>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89" w:lineRule="exact"/>
        <w:rPr>
          <w:sz w:val="20"/>
          <w:szCs w:val="20"/>
          <w:color w:val="auto"/>
        </w:rPr>
      </w:pPr>
    </w:p>
    <w:p>
      <w:pPr>
        <w:ind w:right="40" w:firstLine="761"/>
        <w:spacing w:after="0" w:line="286" w:lineRule="auto"/>
        <w:rPr>
          <w:sz w:val="20"/>
          <w:szCs w:val="20"/>
          <w:color w:val="auto"/>
        </w:rPr>
      </w:pPr>
      <w:r>
        <w:rPr>
          <w:rFonts w:ascii="Arial" w:cs="Arial" w:eastAsia="Arial" w:hAnsi="Arial"/>
          <w:sz w:val="16"/>
          <w:szCs w:val="16"/>
          <w:color w:val="auto"/>
        </w:rPr>
        <w:t>Our Board may decide to issue additional common stock to finance our operations rather than issuing debt or other senior securities. However, we generally are not able to issue and sell our common stock at a price below net asset value per share.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May 17, 2018, we are currently permitted to sell or otherwise issue shares of our common stock at a price below our then-current net asset value per share, subject to the approval of our Board and certain other conditions. Such stockholder approval expires on May 17, 2019.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would cause a proportionately greater decrease in the stockholders’ interest in our earnings and assets and their voting interest in us than the increase in our assets resulting from such issuance. As a result of any such dilution, our market price per share may decline. Because the number of shares of common stock that could be so issued and the timing of any issuance is not currently known, the actual dilutive effect cannot be predicted.</w:t>
      </w:r>
    </w:p>
    <w:p>
      <w:pPr>
        <w:spacing w:after="0" w:line="175" w:lineRule="exact"/>
        <w:rPr>
          <w:sz w:val="20"/>
          <w:szCs w:val="20"/>
          <w:color w:val="auto"/>
        </w:rPr>
      </w:pPr>
    </w:p>
    <w:p>
      <w:pPr>
        <w:ind w:firstLine="761"/>
        <w:spacing w:after="0" w:line="289" w:lineRule="auto"/>
        <w:rPr>
          <w:sz w:val="20"/>
          <w:szCs w:val="20"/>
          <w:color w:val="auto"/>
        </w:rPr>
      </w:pPr>
      <w:r>
        <w:rPr>
          <w:rFonts w:ascii="Arial" w:cs="Arial" w:eastAsia="Arial" w:hAnsi="Arial"/>
          <w:sz w:val="16"/>
          <w:szCs w:val="16"/>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borrow money, which magnifies the potential for gain or loss and increases the risk of investing in us.</w:t>
      </w:r>
    </w:p>
    <w:p>
      <w:pPr>
        <w:spacing w:after="0" w:line="225" w:lineRule="exact"/>
        <w:rPr>
          <w:sz w:val="20"/>
          <w:szCs w:val="20"/>
          <w:color w:val="auto"/>
        </w:rPr>
      </w:pPr>
    </w:p>
    <w:p>
      <w:pPr>
        <w:ind w:firstLine="761"/>
        <w:spacing w:after="0" w:line="270" w:lineRule="auto"/>
        <w:rPr>
          <w:sz w:val="20"/>
          <w:szCs w:val="20"/>
          <w:color w:val="auto"/>
        </w:rPr>
      </w:pPr>
      <w:r>
        <w:rPr>
          <w:rFonts w:ascii="Arial" w:cs="Arial" w:eastAsia="Arial" w:hAnsi="Arial"/>
          <w:sz w:val="17"/>
          <w:szCs w:val="17"/>
          <w:color w:val="auto"/>
        </w:rPr>
        <w:t>As part of our business strategy, we borrow from and may in the future issue additional senior debt securities to banks, insurance companies and other lenders. Holders of these loans or senior securities would have fixed-dollar claims on our assets that have priority over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The amount of leverage that we employ will depend on our Adviser’s and our Board’s assessment of market and other factors at the time of any proposed borrowing. We cannot assure you that we will be able to obtain credit at all or on terms acceptable to us.</w:t>
      </w:r>
    </w:p>
    <w:p>
      <w:pPr>
        <w:spacing w:after="0" w:line="182" w:lineRule="exact"/>
        <w:rPr>
          <w:sz w:val="20"/>
          <w:szCs w:val="20"/>
          <w:color w:val="auto"/>
        </w:rPr>
      </w:pPr>
    </w:p>
    <w:p>
      <w:pPr>
        <w:ind w:right="60" w:firstLine="761"/>
        <w:spacing w:after="0" w:line="264" w:lineRule="auto"/>
        <w:rPr>
          <w:sz w:val="20"/>
          <w:szCs w:val="20"/>
          <w:color w:val="auto"/>
        </w:rPr>
      </w:pPr>
      <w:r>
        <w:rPr>
          <w:rFonts w:ascii="Arial" w:cs="Arial" w:eastAsia="Arial" w:hAnsi="Arial"/>
          <w:sz w:val="18"/>
          <w:szCs w:val="18"/>
          <w:color w:val="auto"/>
        </w:rPr>
        <w:t>Our credit facilities and indentures governing our indebtedness also impose financial and operating covenants that restrict our business activities, remedies on default and similar matters. As of September 30, 2018, we are in compliance with the covenants of our credit facilities and indentures. However, our continued compliance with these covenants depends on many factors, some of which are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8" w:name="page69"/>
    <w:bookmarkEnd w:id="68"/>
    <w:p>
      <w:pPr>
        <w:ind w:right="40"/>
        <w:spacing w:after="0" w:line="257" w:lineRule="auto"/>
        <w:rPr>
          <w:sz w:val="20"/>
          <w:szCs w:val="20"/>
          <w:color w:val="auto"/>
        </w:rPr>
      </w:pPr>
      <w:r>
        <w:rPr>
          <w:rFonts w:ascii="Arial" w:cs="Arial" w:eastAsia="Arial" w:hAnsi="Arial"/>
          <w:sz w:val="18"/>
          <w:szCs w:val="18"/>
          <w:color w:val="auto"/>
        </w:rPr>
        <w:t>beyond our control. Accordingly, although we believe we will continue to be in compliance, we cannot assure you that we will continue to comply with the covenants in our credit facilities and indentures.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88" w:lineRule="exact"/>
        <w:rPr>
          <w:sz w:val="20"/>
          <w:szCs w:val="20"/>
          <w:color w:val="auto"/>
        </w:rPr>
      </w:pPr>
    </w:p>
    <w:p>
      <w:pPr>
        <w:ind w:right="60" w:firstLine="761"/>
        <w:spacing w:after="0" w:line="277" w:lineRule="auto"/>
        <w:rPr>
          <w:sz w:val="20"/>
          <w:szCs w:val="20"/>
          <w:color w:val="auto"/>
        </w:rPr>
      </w:pPr>
      <w:r>
        <w:rPr>
          <w:rFonts w:ascii="Arial" w:cs="Arial" w:eastAsia="Arial" w:hAnsi="Arial"/>
          <w:sz w:val="18"/>
          <w:szCs w:val="18"/>
          <w:color w:val="auto"/>
        </w:rPr>
        <w:t>Lastly, the SEC has issued a proposed rule, Rule 18f-4, that if adopted would potentially constrain our ability to use leverage if we have substantial exposure to swaps and other derivatives, or have significant outstanding financial commitments to our portfolio companies.</w:t>
      </w:r>
    </w:p>
    <w:p>
      <w:pPr>
        <w:spacing w:after="0" w:line="170" w:lineRule="exact"/>
        <w:rPr>
          <w:sz w:val="20"/>
          <w:szCs w:val="20"/>
          <w:color w:val="auto"/>
        </w:rPr>
      </w:pPr>
    </w:p>
    <w:p>
      <w:pPr>
        <w:ind w:right="80" w:firstLine="761"/>
        <w:spacing w:after="0" w:line="276" w:lineRule="auto"/>
        <w:rPr>
          <w:sz w:val="20"/>
          <w:szCs w:val="20"/>
          <w:color w:val="auto"/>
        </w:rPr>
      </w:pPr>
      <w:r>
        <w:rPr>
          <w:rFonts w:ascii="Arial" w:cs="Arial" w:eastAsia="Arial" w:hAnsi="Arial"/>
          <w:sz w:val="17"/>
          <w:szCs w:val="17"/>
          <w:color w:val="auto"/>
        </w:rPr>
        <w:t>As of September 30, 2018, we had $894.8 million of outstanding indebtedness, which had an annualized interest cost of 4.26% under the terms of our debt, excluding fees (such as fees on undrawn amounts and amortization of upfront fees) and giving effect to the swap-adjusted interest rates on our Convertible Notes and 2023 Notes. As of September 30, 2018, the interest rate on the 2019 Convertible Notes, as adjusted to give effect to the interest rate swaps, was three-month London Interbank Offered Rate, or LIBOR, plus 2.86% and the interest rate on the 2022 Convertible Notes was three-month LIBOR plus 2.11% (on a weighted-average basis) and the interest rate on the 2023 Notes was three-month LIBOR plus 1.99%.</w:t>
      </w:r>
    </w:p>
    <w:p>
      <w:pPr>
        <w:spacing w:after="0" w:line="173" w:lineRule="exact"/>
        <w:rPr>
          <w:sz w:val="20"/>
          <w:szCs w:val="20"/>
          <w:color w:val="auto"/>
        </w:rPr>
      </w:pPr>
    </w:p>
    <w:p>
      <w:pPr>
        <w:ind w:right="140" w:firstLine="761"/>
        <w:spacing w:after="0" w:line="264" w:lineRule="auto"/>
        <w:rPr>
          <w:sz w:val="20"/>
          <w:szCs w:val="20"/>
          <w:color w:val="auto"/>
        </w:rPr>
      </w:pPr>
      <w:r>
        <w:rPr>
          <w:rFonts w:ascii="Arial" w:cs="Arial" w:eastAsia="Arial" w:hAnsi="Arial"/>
          <w:sz w:val="18"/>
          <w:szCs w:val="18"/>
          <w:color w:val="auto"/>
        </w:rPr>
        <w:t>For us to cover these annualized interest payments on indebtedness, we must achieve annual returns on our investments of at least 1.9%. Since we generally pay interest at a floating rate on our debt, an increase in interest rates will generally increase our borrowing costs. We expect that our annualized interest cost and returns required to cover interest will increase if we issue additional debt securities.</w:t>
      </w:r>
    </w:p>
    <w:p>
      <w:pPr>
        <w:spacing w:after="0" w:line="181" w:lineRule="exact"/>
        <w:rPr>
          <w:sz w:val="20"/>
          <w:szCs w:val="20"/>
          <w:color w:val="auto"/>
        </w:rPr>
      </w:pPr>
    </w:p>
    <w:p>
      <w:pPr>
        <w:ind w:right="220" w:firstLine="761"/>
        <w:spacing w:after="0" w:line="279" w:lineRule="auto"/>
        <w:rPr>
          <w:sz w:val="20"/>
          <w:szCs w:val="20"/>
          <w:color w:val="auto"/>
        </w:rPr>
      </w:pPr>
      <w:r>
        <w:rPr>
          <w:rFonts w:ascii="Arial" w:cs="Arial" w:eastAsia="Arial" w:hAnsi="Arial"/>
          <w:sz w:val="17"/>
          <w:szCs w:val="17"/>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Effects of Leverage Based on Actual Amount of Borrowings Incurred by us as of September 30,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5420"/>
        <w:spacing w:after="0"/>
        <w:rPr>
          <w:sz w:val="20"/>
          <w:szCs w:val="20"/>
          <w:color w:val="auto"/>
        </w:rPr>
      </w:pPr>
      <w:r>
        <w:rPr>
          <w:rFonts w:ascii="Arial" w:cs="Arial" w:eastAsia="Arial" w:hAnsi="Arial"/>
          <w:sz w:val="18"/>
          <w:szCs w:val="18"/>
          <w:b w:val="1"/>
          <w:bCs w:val="1"/>
          <w:color w:val="auto"/>
        </w:rPr>
        <w:t>Assumed Return on Our Portfolio</w:t>
      </w:r>
    </w:p>
    <w:p>
      <w:pPr>
        <w:spacing w:after="0" w:line="26" w:lineRule="exact"/>
        <w:rPr>
          <w:sz w:val="20"/>
          <w:szCs w:val="20"/>
          <w:color w:val="auto"/>
        </w:rPr>
      </w:pPr>
    </w:p>
    <w:p>
      <w:pPr>
        <w:jc w:val="center"/>
        <w:ind w:left="5420"/>
        <w:spacing w:after="0"/>
        <w:rPr>
          <w:sz w:val="20"/>
          <w:szCs w:val="20"/>
          <w:color w:val="auto"/>
        </w:rPr>
      </w:pPr>
      <w:r>
        <w:rPr>
          <w:rFonts w:ascii="Arial" w:cs="Arial" w:eastAsia="Arial" w:hAnsi="Arial"/>
          <w:sz w:val="18"/>
          <w:szCs w:val="18"/>
          <w:b w:val="1"/>
          <w:bCs w:val="1"/>
          <w:color w:val="auto"/>
        </w:rPr>
        <w:t xml:space="preserve">(net of expenses) </w:t>
      </w:r>
      <w:r>
        <w:rPr>
          <w:rFonts w:ascii="Arial" w:cs="Arial" w:eastAsia="Arial" w:hAnsi="Arial"/>
          <w:sz w:val="15"/>
          <w:szCs w:val="15"/>
          <w:b w:val="1"/>
          <w:bCs w:val="1"/>
          <w:color w:val="auto"/>
        </w:rPr>
        <w:t>(1)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7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-10%</w:t>
            </w:r>
          </w:p>
        </w:tc>
        <w:tc>
          <w:tcPr>
            <w:tcW w:w="5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-5%</w:t>
            </w:r>
          </w:p>
        </w:tc>
        <w:tc>
          <w:tcPr>
            <w:tcW w:w="5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0%</w:t>
            </w:r>
          </w:p>
        </w:tc>
        <w:tc>
          <w:tcPr>
            <w:tcW w:w="5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5%</w:t>
            </w:r>
          </w:p>
        </w:tc>
        <w:tc>
          <w:tcPr>
            <w:tcW w:w="5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10%</w:t>
            </w:r>
          </w:p>
        </w:tc>
        <w:tc>
          <w:tcPr>
            <w:tcW w:w="200" w:type="dxa"/>
            <w:vAlign w:val="bottom"/>
          </w:tcPr>
          <w:p>
            <w:pPr>
              <w:spacing w:after="0"/>
              <w:rPr>
                <w:sz w:val="21"/>
                <w:szCs w:val="21"/>
                <w:color w:val="auto"/>
              </w:rPr>
            </w:pPr>
          </w:p>
        </w:tc>
      </w:tr>
      <w:tr>
        <w:trPr>
          <w:trHeight w:val="198"/>
        </w:trPr>
        <w:tc>
          <w:tcPr>
            <w:tcW w:w="20" w:type="dxa"/>
            <w:vAlign w:val="bottom"/>
          </w:tcPr>
          <w:p>
            <w:pPr>
              <w:spacing w:after="0"/>
              <w:rPr>
                <w:sz w:val="17"/>
                <w:szCs w:val="17"/>
                <w:color w:val="auto"/>
              </w:rPr>
            </w:pPr>
          </w:p>
        </w:tc>
        <w:tc>
          <w:tcPr>
            <w:tcW w:w="56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line="210" w:lineRule="exact"/>
              <w:rPr>
                <w:sz w:val="20"/>
                <w:szCs w:val="20"/>
                <w:color w:val="auto"/>
              </w:rPr>
            </w:pPr>
            <w:r>
              <w:rPr>
                <w:rFonts w:ascii="Arial" w:cs="Arial" w:eastAsia="Arial" w:hAnsi="Arial"/>
                <w:sz w:val="17"/>
                <w:szCs w:val="17"/>
                <w:color w:val="auto"/>
              </w:rPr>
              <w:t xml:space="preserve">Corresponding return to stockholder </w:t>
            </w:r>
            <w:r>
              <w:rPr>
                <w:rFonts w:ascii="Arial" w:cs="Arial" w:eastAsia="Arial" w:hAnsi="Arial"/>
                <w:sz w:val="24"/>
                <w:szCs w:val="24"/>
                <w:color w:val="auto"/>
                <w:vertAlign w:val="superscript"/>
              </w:rPr>
              <w:t>(2)</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-22.3%</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-12.9%</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ind w:left="460" w:right="200" w:hanging="452"/>
        <w:spacing w:after="0" w:line="271" w:lineRule="auto"/>
        <w:tabs>
          <w:tab w:leader="none" w:pos="4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assumed portfolio return is required by SEC regulations and is not a prediction of, and does not represent, our projected or actual performance. Actual returns may be greater or less than those appearing in the table. Pursuant to SEC regulations, this table is calculated as of September 30, 2018. As a result, it has not been updated to take into account any changes in assets or leverage since September 30, 2018.</w:t>
      </w:r>
    </w:p>
    <w:p>
      <w:pPr>
        <w:ind w:left="460" w:right="120"/>
        <w:spacing w:after="0" w:line="281" w:lineRule="auto"/>
        <w:rPr>
          <w:rFonts w:ascii="Arial" w:cs="Arial" w:eastAsia="Arial" w:hAnsi="Arial"/>
          <w:sz w:val="17"/>
          <w:szCs w:val="17"/>
          <w:color w:val="auto"/>
        </w:rPr>
      </w:pPr>
      <w:r>
        <w:rPr>
          <w:rFonts w:ascii="Arial" w:cs="Arial" w:eastAsia="Arial" w:hAnsi="Arial"/>
          <w:sz w:val="16"/>
          <w:szCs w:val="16"/>
          <w:color w:val="auto"/>
        </w:rPr>
        <w:t>In order to compute the "Corresponding return to stockholder," the "Assumed Return on Our Portfolio" is multiplied by the total value of our assets at September 30, 2018 to obtain an assumed return to us. From this amount, the interest expense (calculated by multiplying the weighted average stated interest rate of 4.3% by the approximately $894.8 million of principal debt outstanding) is subtracted to determine the return available to stockholders.</w:t>
      </w:r>
    </w:p>
    <w:p>
      <w:pPr>
        <w:spacing w:after="0" w:line="2" w:lineRule="exact"/>
        <w:rPr>
          <w:rFonts w:ascii="Arial" w:cs="Arial" w:eastAsia="Arial" w:hAnsi="Arial"/>
          <w:sz w:val="17"/>
          <w:szCs w:val="17"/>
          <w:color w:val="auto"/>
        </w:rPr>
      </w:pPr>
    </w:p>
    <w:p>
      <w:pPr>
        <w:ind w:left="460" w:right="20" w:hanging="452"/>
        <w:spacing w:after="0" w:line="261"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return available to stockholders is then divided by the total value of our net assets as of September 30, 2018 to determine the "Corresponding return to stockholder."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Our indebtedness could adversely affect our business, financial conditions or results of operations.</w:t>
      </w:r>
    </w:p>
    <w:p>
      <w:pPr>
        <w:spacing w:after="0" w:line="225" w:lineRule="exact"/>
        <w:rPr>
          <w:sz w:val="20"/>
          <w:szCs w:val="20"/>
          <w:color w:val="auto"/>
        </w:rPr>
      </w:pPr>
    </w:p>
    <w:p>
      <w:pPr>
        <w:ind w:right="60" w:firstLine="761"/>
        <w:spacing w:after="0" w:line="293" w:lineRule="auto"/>
        <w:rPr>
          <w:sz w:val="20"/>
          <w:szCs w:val="20"/>
          <w:color w:val="auto"/>
        </w:rPr>
      </w:pPr>
      <w:r>
        <w:rPr>
          <w:rFonts w:ascii="Arial" w:cs="Arial" w:eastAsia="Arial" w:hAnsi="Arial"/>
          <w:sz w:val="16"/>
          <w:szCs w:val="16"/>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1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170" w:lineRule="exact"/>
        <w:rPr>
          <w:sz w:val="20"/>
          <w:szCs w:val="20"/>
          <w:color w:val="auto"/>
        </w:rPr>
      </w:pPr>
    </w:p>
    <w:p>
      <w:pPr>
        <w:ind w:right="60" w:firstLine="761"/>
        <w:spacing w:after="0" w:line="273" w:lineRule="auto"/>
        <w:rPr>
          <w:sz w:val="20"/>
          <w:szCs w:val="20"/>
          <w:color w:val="auto"/>
        </w:rPr>
      </w:pPr>
      <w:r>
        <w:rPr>
          <w:rFonts w:ascii="Arial" w:cs="Arial" w:eastAsia="Arial" w:hAnsi="Arial"/>
          <w:sz w:val="17"/>
          <w:szCs w:val="17"/>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Given the subjective nature of the investment decisions that our Adviser will make on our behalf, we may not be able to monitor this potential conflict of interest.</w:t>
      </w:r>
    </w:p>
    <w:p>
      <w:pPr>
        <w:spacing w:after="0" w:line="178" w:lineRule="exact"/>
        <w:rPr>
          <w:sz w:val="20"/>
          <w:szCs w:val="20"/>
          <w:color w:val="auto"/>
        </w:rPr>
      </w:pPr>
    </w:p>
    <w:p>
      <w:pPr>
        <w:ind w:right="20" w:firstLine="761"/>
        <w:spacing w:after="0" w:line="291" w:lineRule="auto"/>
        <w:rPr>
          <w:sz w:val="20"/>
          <w:szCs w:val="20"/>
          <w:color w:val="auto"/>
        </w:rPr>
      </w:pPr>
      <w:r>
        <w:rPr>
          <w:rFonts w:ascii="Arial" w:cs="Arial" w:eastAsia="Arial" w:hAnsi="Arial"/>
          <w:sz w:val="16"/>
          <w:szCs w:val="16"/>
          <w:color w:val="auto"/>
        </w:rPr>
        <w:t>The Incentive Fee is calculated as a percentage of pre-Incentive Fee net investment income. Since pre-Incentive Fee net investment income does not include any realized capital gains, realized capital losses or unrealized capital gains or losses,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67" w:lineRule="exact"/>
        <w:rPr>
          <w:sz w:val="20"/>
          <w:szCs w:val="20"/>
          <w:color w:val="auto"/>
        </w:rPr>
      </w:pPr>
    </w:p>
    <w:p>
      <w:pPr>
        <w:ind w:right="100" w:firstLine="761"/>
        <w:spacing w:after="0" w:line="279" w:lineRule="auto"/>
        <w:rPr>
          <w:sz w:val="20"/>
          <w:szCs w:val="20"/>
          <w:color w:val="auto"/>
        </w:rPr>
      </w:pPr>
      <w:r>
        <w:rPr>
          <w:rFonts w:ascii="Arial" w:cs="Arial" w:eastAsia="Arial" w:hAnsi="Arial"/>
          <w:sz w:val="17"/>
          <w:szCs w:val="17"/>
          <w:color w:val="auto"/>
        </w:rPr>
        <w:t>Also, one component of the Incentive Fee is calculated annually based upon our realized capital gains, computed net of realized capital losses and unrealized capital losses on a cumulative basis. As a result, we may owe the Adviser an Incentive Fee during one year as a result of realized capital gains on certain investments, and then incur significant realized capital losses and unrealized capital losses on the remaining investments in our portfolio during subsequent years. Incentive Fees earned in prior years cannot be clawed back even if we later incur losses.</w:t>
      </w:r>
    </w:p>
    <w:p>
      <w:pPr>
        <w:spacing w:after="0" w:line="171" w:lineRule="exact"/>
        <w:rPr>
          <w:sz w:val="20"/>
          <w:szCs w:val="20"/>
          <w:color w:val="auto"/>
        </w:rPr>
      </w:pPr>
    </w:p>
    <w:p>
      <w:pPr>
        <w:ind w:firstLine="761"/>
        <w:spacing w:after="0" w:line="273" w:lineRule="auto"/>
        <w:rPr>
          <w:sz w:val="20"/>
          <w:szCs w:val="20"/>
          <w:color w:val="auto"/>
        </w:rPr>
      </w:pPr>
      <w:r>
        <w:rPr>
          <w:rFonts w:ascii="Arial" w:cs="Arial" w:eastAsia="Arial" w:hAnsi="Arial"/>
          <w:sz w:val="17"/>
          <w:szCs w:val="17"/>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60" w:firstLine="259"/>
        <w:spacing w:after="0" w:line="286" w:lineRule="auto"/>
        <w:rPr>
          <w:sz w:val="20"/>
          <w:szCs w:val="20"/>
          <w:color w:val="auto"/>
        </w:rPr>
      </w:pPr>
      <w:r>
        <w:rPr>
          <w:rFonts w:ascii="Arial" w:cs="Arial" w:eastAsia="Arial" w:hAnsi="Arial"/>
          <w:sz w:val="17"/>
          <w:szCs w:val="17"/>
          <w:color w:val="auto"/>
        </w:rPr>
        <w:t>On November 5, 2018, the Company entered into a seventh amendment (the “Amendment”) to its second amended and restated senior secured revolving credit agreement among the Company, as borrower, the Lenders party thereto, and SunTrust Bank, as administrative agent (as amended, supplemented or otherwise modified and in effect from time to time, the “Revolving Credit Facility”) to, among other things:</w:t>
      </w:r>
    </w:p>
    <w:p>
      <w:pPr>
        <w:spacing w:after="0" w:line="166" w:lineRule="exact"/>
        <w:rPr>
          <w:sz w:val="20"/>
          <w:szCs w:val="20"/>
          <w:color w:val="auto"/>
        </w:rPr>
      </w:pPr>
    </w:p>
    <w:p>
      <w:pPr>
        <w:ind w:left="760" w:hanging="374"/>
        <w:spacing w:after="0"/>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reduce the asset coverage ratio financial covenant from a 2 to 1 test to a 1.5 to 1 test;</w:t>
      </w:r>
    </w:p>
    <w:p>
      <w:pPr>
        <w:spacing w:after="0" w:line="225" w:lineRule="exact"/>
        <w:rPr>
          <w:rFonts w:ascii="Arial" w:cs="Arial" w:eastAsia="Arial" w:hAnsi="Arial"/>
          <w:sz w:val="18"/>
          <w:szCs w:val="18"/>
          <w:color w:val="auto"/>
        </w:rPr>
      </w:pPr>
    </w:p>
    <w:p>
      <w:pPr>
        <w:ind w:left="760" w:right="180" w:hanging="374"/>
        <w:spacing w:after="0" w:line="277" w:lineRule="auto"/>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reset the date for the stockholders’ equity covenant to determine net proceeds of the sale of equity interests from after February 20, 2018 to after November 5, 2018; and</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add two new additional financial covenants that require the Company to:</w:t>
      </w:r>
    </w:p>
    <w:p>
      <w:pPr>
        <w:spacing w:after="0" w:line="225" w:lineRule="exact"/>
        <w:rPr>
          <w:sz w:val="20"/>
          <w:szCs w:val="20"/>
          <w:color w:val="auto"/>
        </w:rPr>
      </w:pPr>
    </w:p>
    <w:p>
      <w:pPr>
        <w:ind w:left="1520" w:hanging="378"/>
        <w:spacing w:after="0" w:line="253" w:lineRule="auto"/>
        <w:tabs>
          <w:tab w:leader="none" w:pos="1520" w:val="left"/>
        </w:tabs>
        <w:numPr>
          <w:ilvl w:val="0"/>
          <w:numId w:val="55"/>
        </w:numPr>
        <w:rPr>
          <w:rFonts w:ascii="Courier New" w:cs="Courier New" w:eastAsia="Courier New" w:hAnsi="Courier New"/>
          <w:sz w:val="18"/>
          <w:szCs w:val="18"/>
          <w:color w:val="auto"/>
        </w:rPr>
      </w:pPr>
      <w:r>
        <w:rPr>
          <w:rFonts w:ascii="Arial" w:cs="Arial" w:eastAsia="Arial" w:hAnsi="Arial"/>
          <w:sz w:val="18"/>
          <w:szCs w:val="18"/>
          <w:color w:val="auto"/>
        </w:rPr>
        <w:t>maintain a 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 and</w:t>
      </w:r>
    </w:p>
    <w:p>
      <w:pPr>
        <w:spacing w:after="0" w:line="190" w:lineRule="exact"/>
        <w:rPr>
          <w:rFonts w:ascii="Courier New" w:cs="Courier New" w:eastAsia="Courier New" w:hAnsi="Courier New"/>
          <w:sz w:val="18"/>
          <w:szCs w:val="18"/>
          <w:color w:val="auto"/>
        </w:rPr>
      </w:pPr>
    </w:p>
    <w:p>
      <w:pPr>
        <w:jc w:val="both"/>
        <w:ind w:left="1520" w:right="80" w:hanging="378"/>
        <w:spacing w:after="0" w:line="254" w:lineRule="auto"/>
        <w:tabs>
          <w:tab w:leader="none" w:pos="1520" w:val="left"/>
        </w:tabs>
        <w:numPr>
          <w:ilvl w:val="0"/>
          <w:numId w:val="55"/>
        </w:numPr>
        <w:rPr>
          <w:rFonts w:ascii="Courier New" w:cs="Courier New" w:eastAsia="Courier New" w:hAnsi="Courier New"/>
          <w:sz w:val="18"/>
          <w:szCs w:val="18"/>
          <w:color w:val="auto"/>
        </w:rPr>
      </w:pPr>
      <w:r>
        <w:rPr>
          <w:rFonts w:ascii="Arial" w:cs="Arial" w:eastAsia="Arial" w:hAnsi="Arial"/>
          <w:sz w:val="18"/>
          <w:szCs w:val="18"/>
          <w:color w:val="auto"/>
        </w:rPr>
        <w:t>maintain minimum consolidated assets of the Company and the subsidiary guarantors (including certain limitations on the contribution of equity in financing subsidiaries), less total secured debt of the Company and the subsidiary guarantors, of at least $350 million at the last day of any fiscal quarter.</w:t>
      </w:r>
    </w:p>
    <w:p>
      <w:pPr>
        <w:spacing w:after="0" w:line="190"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The Amendment also established certain additional concentration limits in connection with the calculation of the borrowing base, based on the Obligor Asset Coverage Ratio. Size, pricing and other significant terms in the Revolving Credit Facility remain unchanged.</w:t>
      </w:r>
    </w:p>
    <w:p>
      <w:pPr>
        <w:spacing w:after="0" w:line="62" w:lineRule="exact"/>
        <w:rPr>
          <w:sz w:val="20"/>
          <w:szCs w:val="20"/>
          <w:color w:val="auto"/>
        </w:rPr>
      </w:pPr>
    </w:p>
    <w:p>
      <w:pPr>
        <w:ind w:right="40" w:firstLine="259"/>
        <w:spacing w:after="0" w:line="342" w:lineRule="auto"/>
        <w:rPr>
          <w:sz w:val="20"/>
          <w:szCs w:val="20"/>
          <w:color w:val="auto"/>
        </w:rPr>
      </w:pPr>
      <w:r>
        <w:rPr>
          <w:rFonts w:ascii="Arial" w:cs="Arial" w:eastAsia="Arial" w:hAnsi="Arial"/>
          <w:sz w:val="16"/>
          <w:szCs w:val="16"/>
          <w:color w:val="auto"/>
        </w:rPr>
        <w:t>The foregoing description is only a summary of certain of the provisions of the Revolving Credit Facility and is qualified in its entirety by the underlying agreement and the Amendment, which is filed as Exhibit 10.1 to this Quarterly Report on Form 10-Q and is incorporated by reference herein.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(a) Exhibits.</w:t>
      </w:r>
    </w:p>
    <w:p>
      <w:pPr>
        <w:spacing w:after="0" w:line="337" w:lineRule="exact"/>
        <w:rPr>
          <w:sz w:val="20"/>
          <w:szCs w:val="20"/>
          <w:color w:val="auto"/>
        </w:rPr>
      </w:pPr>
    </w:p>
    <w:p>
      <w:pPr>
        <w:ind w:left="580" w:right="380" w:hanging="494"/>
        <w:spacing w:after="0" w:line="277" w:lineRule="auto"/>
        <w:tabs>
          <w:tab w:leader="none" w:pos="56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w:anchor="page73">
        <w:r>
          <w:rPr>
            <w:rFonts w:ascii="Arial" w:cs="Arial" w:eastAsia="Arial" w:hAnsi="Arial"/>
            <w:sz w:val="18"/>
            <w:szCs w:val="18"/>
            <w:u w:val="single" w:color="auto"/>
            <w:color w:val="0000EE"/>
          </w:rPr>
          <w:t>Seventh Amendment to Second Amended and Restated Senior Secured Revolving Credit Agreement, dated as of November 5, 2018, among the</w:t>
        </w:r>
      </w:hyperlink>
      <w:r>
        <w:rPr>
          <w:rFonts w:ascii="Arial" w:cs="Arial" w:eastAsia="Arial" w:hAnsi="Arial"/>
          <w:sz w:val="18"/>
          <w:szCs w:val="18"/>
          <w:u w:val="single" w:color="auto"/>
          <w:color w:val="0000EE"/>
        </w:rPr>
        <w:t xml:space="preserve"> </w:t>
      </w:r>
      <w:hyperlink w:anchor="page73">
        <w:r>
          <w:rPr>
            <w:rFonts w:ascii="Arial" w:cs="Arial" w:eastAsia="Arial" w:hAnsi="Arial"/>
            <w:sz w:val="18"/>
            <w:szCs w:val="18"/>
            <w:u w:val="single" w:color="auto"/>
            <w:color w:val="0000EE"/>
          </w:rPr>
          <w:t>Company, as Borrower, the Lenders party thereto and SunTrust Bank, as Administrative Agent</w:t>
        </w:r>
      </w:hyperlink>
    </w:p>
    <w:p>
      <w:pPr>
        <w:spacing w:after="0" w:line="170" w:lineRule="exact"/>
        <w:rPr>
          <w:sz w:val="20"/>
          <w:szCs w:val="20"/>
          <w:color w:val="auto"/>
        </w:rPr>
      </w:pPr>
    </w:p>
    <w:p>
      <w:pPr>
        <w:ind w:left="100"/>
        <w:spacing w:after="0"/>
        <w:tabs>
          <w:tab w:leader="none" w:pos="56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96">
        <w:r>
          <w:rPr>
            <w:rFonts w:ascii="Arial" w:cs="Arial" w:eastAsia="Arial" w:hAnsi="Arial"/>
            <w:sz w:val="16"/>
            <w:szCs w:val="16"/>
            <w:u w:val="single" w:color="auto"/>
            <w:color w:val="0000EE"/>
          </w:rPr>
          <w:t>Certification of Chief Executive Officer Pursuant to 18 U.S.C. Section 1350, as Adopted Pursuant to Section 302 of the Sarbanes-Oxley Act of 2002</w:t>
        </w:r>
      </w:hyperlink>
    </w:p>
    <w:p>
      <w:pPr>
        <w:spacing w:after="0" w:line="131" w:lineRule="exact"/>
        <w:rPr>
          <w:sz w:val="20"/>
          <w:szCs w:val="20"/>
          <w:color w:val="auto"/>
        </w:rPr>
      </w:pPr>
    </w:p>
    <w:p>
      <w:pPr>
        <w:ind w:left="100"/>
        <w:spacing w:after="0"/>
        <w:tabs>
          <w:tab w:leader="none" w:pos="56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97">
        <w:r>
          <w:rPr>
            <w:rFonts w:ascii="Arial" w:cs="Arial" w:eastAsia="Arial" w:hAnsi="Arial"/>
            <w:sz w:val="16"/>
            <w:szCs w:val="16"/>
            <w:u w:val="single" w:color="auto"/>
            <w:color w:val="0000EE"/>
          </w:rPr>
          <w:t>Certification of Chief Financial Officer Pursuant to 18 U.S.C. Section 1350, as Adopted Pursuant to Section 302 of the Sarbanes-Oxley Act of 2002</w:t>
        </w:r>
      </w:hyperlink>
    </w:p>
    <w:p>
      <w:pPr>
        <w:spacing w:after="0" w:line="131" w:lineRule="exact"/>
        <w:rPr>
          <w:sz w:val="20"/>
          <w:szCs w:val="20"/>
          <w:color w:val="auto"/>
        </w:rPr>
      </w:pPr>
    </w:p>
    <w:p>
      <w:pPr>
        <w:ind w:left="580" w:hanging="486"/>
        <w:spacing w:after="0"/>
        <w:tabs>
          <w:tab w:leader="none" w:pos="580" w:val="left"/>
        </w:tabs>
        <w:numPr>
          <w:ilvl w:val="0"/>
          <w:numId w:val="56"/>
        </w:numPr>
        <w:rPr>
          <w:rFonts w:ascii="Arial" w:cs="Arial" w:eastAsia="Arial" w:hAnsi="Arial"/>
          <w:sz w:val="17"/>
          <w:szCs w:val="17"/>
          <w:u w:val="single" w:color="auto"/>
          <w:color w:val="0000EE"/>
        </w:rPr>
      </w:pPr>
      <w:hyperlink w:anchor="page98">
        <w:r>
          <w:rPr>
            <w:rFonts w:ascii="Arial" w:cs="Arial" w:eastAsia="Arial" w:hAnsi="Arial"/>
            <w:sz w:val="17"/>
            <w:szCs w:val="17"/>
            <w:u w:val="single" w:color="auto"/>
            <w:color w:val="0000EE"/>
          </w:rPr>
          <w:t>Certification of CEO and CFO Pursuant to 18 U.S.C. Section 1350, as Adopted Pursuant to Section 906 of the Sarbanes-Oxley Act of 2002</w:t>
        </w:r>
      </w:hyperlink>
    </w:p>
    <w:p>
      <w:pPr>
        <w:spacing w:after="0" w:line="200" w:lineRule="exact"/>
        <w:rPr>
          <w:rFonts w:ascii="Arial" w:cs="Arial" w:eastAsia="Arial" w:hAnsi="Arial"/>
          <w:sz w:val="17"/>
          <w:szCs w:val="17"/>
          <w:u w:val="single" w:color="auto"/>
          <w:color w:val="0000EE"/>
        </w:rPr>
      </w:pPr>
    </w:p>
    <w:p>
      <w:pPr>
        <w:spacing w:after="0" w:line="347" w:lineRule="exact"/>
        <w:rPr>
          <w:rFonts w:ascii="Arial" w:cs="Arial" w:eastAsia="Arial" w:hAnsi="Arial"/>
          <w:sz w:val="17"/>
          <w:szCs w:val="17"/>
          <w:u w:val="single" w:color="auto"/>
          <w:color w:val="0000EE"/>
        </w:rPr>
      </w:pPr>
    </w:p>
    <w:p>
      <w:pPr>
        <w:ind w:left="5620"/>
        <w:spacing w:after="0"/>
        <w:rPr>
          <w:rFonts w:ascii="Arial" w:cs="Arial" w:eastAsia="Arial" w:hAnsi="Arial"/>
          <w:sz w:val="17"/>
          <w:szCs w:val="17"/>
          <w:u w:val="single" w:color="auto"/>
          <w:color w:val="0000EE"/>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7720" w:type="dxa"/>
            <w:vAlign w:val="bottom"/>
            <w:gridSpan w:val="2"/>
          </w:tcPr>
          <w:p>
            <w:pPr>
              <w:ind w:left="3180"/>
              <w:spacing w:after="0"/>
              <w:rPr>
                <w:sz w:val="20"/>
                <w:szCs w:val="20"/>
                <w:color w:val="auto"/>
              </w:rPr>
            </w:pPr>
            <w:r>
              <w:rPr>
                <w:rFonts w:ascii="Arial" w:cs="Arial" w:eastAsia="Arial" w:hAnsi="Arial"/>
                <w:sz w:val="18"/>
                <w:szCs w:val="18"/>
                <w:color w:val="auto"/>
              </w:rPr>
              <w:t>TPG SPECIALTY LENDING, INC.</w:t>
            </w:r>
          </w:p>
        </w:tc>
      </w:tr>
      <w:tr>
        <w:trPr>
          <w:trHeight w:val="459"/>
        </w:trPr>
        <w:tc>
          <w:tcPr>
            <w:tcW w:w="3700" w:type="dxa"/>
            <w:vAlign w:val="bottom"/>
          </w:tcPr>
          <w:p>
            <w:pPr>
              <w:spacing w:after="0"/>
              <w:rPr>
                <w:sz w:val="20"/>
                <w:szCs w:val="20"/>
                <w:color w:val="auto"/>
              </w:rPr>
            </w:pPr>
            <w:r>
              <w:rPr>
                <w:rFonts w:ascii="Arial" w:cs="Arial" w:eastAsia="Arial" w:hAnsi="Arial"/>
                <w:sz w:val="18"/>
                <w:szCs w:val="18"/>
                <w:color w:val="auto"/>
              </w:rPr>
              <w:t>Date: November 6, 2018</w:t>
            </w:r>
          </w:p>
        </w:tc>
        <w:tc>
          <w:tcPr>
            <w:tcW w:w="7720" w:type="dxa"/>
            <w:vAlign w:val="bottom"/>
            <w:gridSpan w:val="2"/>
          </w:tcPr>
          <w:p>
            <w:pPr>
              <w:ind w:left="3180"/>
              <w:spacing w:after="0"/>
              <w:rPr>
                <w:sz w:val="20"/>
                <w:szCs w:val="20"/>
                <w:color w:val="auto"/>
              </w:rPr>
            </w:pPr>
            <w:r>
              <w:rPr>
                <w:rFonts w:ascii="Arial" w:cs="Arial" w:eastAsia="Arial" w:hAnsi="Arial"/>
                <w:sz w:val="18"/>
                <w:szCs w:val="18"/>
                <w:color w:val="auto"/>
              </w:rPr>
              <w:t>By: /s/ Joshua Easterly</w:t>
            </w:r>
          </w:p>
        </w:tc>
      </w:tr>
      <w:tr>
        <w:trPr>
          <w:trHeight w:val="195"/>
        </w:trPr>
        <w:tc>
          <w:tcPr>
            <w:tcW w:w="37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Joshua Easterly</w:t>
            </w:r>
          </w:p>
        </w:tc>
      </w:tr>
      <w:tr>
        <w:trPr>
          <w:trHeight w:val="230"/>
        </w:trPr>
        <w:tc>
          <w:tcPr>
            <w:tcW w:w="37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59"/>
        </w:trPr>
        <w:tc>
          <w:tcPr>
            <w:tcW w:w="3700" w:type="dxa"/>
            <w:vAlign w:val="bottom"/>
          </w:tcPr>
          <w:p>
            <w:pPr>
              <w:spacing w:after="0"/>
              <w:rPr>
                <w:sz w:val="20"/>
                <w:szCs w:val="20"/>
                <w:color w:val="auto"/>
              </w:rPr>
            </w:pPr>
            <w:r>
              <w:rPr>
                <w:rFonts w:ascii="Arial" w:cs="Arial" w:eastAsia="Arial" w:hAnsi="Arial"/>
                <w:sz w:val="18"/>
                <w:szCs w:val="18"/>
                <w:color w:val="auto"/>
              </w:rPr>
              <w:t>Date: November 6, 2018</w:t>
            </w:r>
          </w:p>
        </w:tc>
        <w:tc>
          <w:tcPr>
            <w:tcW w:w="7720" w:type="dxa"/>
            <w:vAlign w:val="bottom"/>
            <w:gridSpan w:val="2"/>
          </w:tcPr>
          <w:p>
            <w:pPr>
              <w:ind w:left="3180"/>
              <w:spacing w:after="0"/>
              <w:rPr>
                <w:sz w:val="20"/>
                <w:szCs w:val="20"/>
                <w:color w:val="auto"/>
              </w:rPr>
            </w:pPr>
            <w:r>
              <w:rPr>
                <w:rFonts w:ascii="Arial" w:cs="Arial" w:eastAsia="Arial" w:hAnsi="Arial"/>
                <w:sz w:val="18"/>
                <w:szCs w:val="18"/>
                <w:color w:val="auto"/>
              </w:rPr>
              <w:t>By: /s/ Ian Simmonds</w:t>
            </w:r>
          </w:p>
        </w:tc>
      </w:tr>
      <w:tr>
        <w:trPr>
          <w:trHeight w:val="195"/>
        </w:trPr>
        <w:tc>
          <w:tcPr>
            <w:tcW w:w="37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7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3700" w:type="dxa"/>
            <w:vAlign w:val="bottom"/>
          </w:tcPr>
          <w:p>
            <w:pPr>
              <w:spacing w:after="0"/>
              <w:rPr>
                <w:sz w:val="24"/>
                <w:szCs w:val="24"/>
                <w:color w:val="auto"/>
              </w:rPr>
            </w:pPr>
          </w:p>
        </w:tc>
        <w:tc>
          <w:tcPr>
            <w:tcW w:w="3540" w:type="dxa"/>
            <w:vAlign w:val="bottom"/>
          </w:tcPr>
          <w:p>
            <w:pPr>
              <w:jc w:val="right"/>
              <w:ind w:right="1350"/>
              <w:spacing w:after="0"/>
              <w:rPr>
                <w:sz w:val="20"/>
                <w:szCs w:val="20"/>
                <w:color w:val="auto"/>
              </w:rPr>
            </w:pPr>
            <w:r>
              <w:rPr>
                <w:rFonts w:ascii="Arial" w:cs="Arial" w:eastAsia="Arial" w:hAnsi="Arial"/>
                <w:sz w:val="18"/>
                <w:szCs w:val="18"/>
                <w:color w:val="auto"/>
              </w:rPr>
              <w:t>72</w:t>
            </w:r>
          </w:p>
        </w:tc>
        <w:tc>
          <w:tcPr>
            <w:tcW w:w="418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22"/>
          <w:szCs w:val="22"/>
          <w:b w:val="1"/>
          <w:bCs w:val="1"/>
          <w:color w:val="auto"/>
        </w:rPr>
        <w:t>Exhibit 10.1</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SEVENTH AMENDMENT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SECOND AMENDED AND RESTATED SENIOR SECURED REVOLVING CREDIT AGREEMENT</w:t>
      </w:r>
    </w:p>
    <w:p>
      <w:pPr>
        <w:spacing w:after="0" w:line="188"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THIS SEVENTH AMENDMENT TO SECOND AMENDED AND RESTATED SENIOR SECURED REVOLVING CREDIT AGREEMENT, dated as of November 5, 2018 (this “</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to the Existing Credit Agreement (capitalized terms used herein and not otherwise defined shall have the meanings given to such terms in </w:t>
      </w:r>
      <w:r>
        <w:rPr>
          <w:rFonts w:ascii="Arial" w:cs="Arial" w:eastAsia="Arial" w:hAnsi="Arial"/>
          <w:sz w:val="22"/>
          <w:szCs w:val="22"/>
          <w:u w:val="single" w:color="auto"/>
          <w:color w:val="auto"/>
        </w:rPr>
        <w:t>Article I</w:t>
      </w:r>
      <w:r>
        <w:rPr>
          <w:rFonts w:ascii="Arial" w:cs="Arial" w:eastAsia="Arial" w:hAnsi="Arial"/>
          <w:sz w:val="22"/>
          <w:szCs w:val="22"/>
          <w:color w:val="auto"/>
        </w:rPr>
        <w:t>) is among TPG SPECIALTY LENDING, INC., a Delaware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the LENDERS party hereto and SUNTRUST BANK, as Administrative Agent.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 I T N E S S E T H</w:t>
      </w:r>
      <w:r>
        <w:rPr>
          <w:rFonts w:ascii="Arial" w:cs="Arial" w:eastAsia="Arial" w:hAnsi="Arial"/>
          <w:sz w:val="22"/>
          <w:szCs w:val="22"/>
          <w:color w:val="auto"/>
        </w:rPr>
        <w:t>:</w:t>
      </w:r>
    </w:p>
    <w:p>
      <w:pPr>
        <w:spacing w:after="0" w:line="206"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9"/>
          <w:szCs w:val="19"/>
          <w:color w:val="auto"/>
        </w:rPr>
        <w:t>WHEREAS, the Borrower, the Lenders party hereto and the Administrative Agent are parties to the Second Amended and Restated Senior Secured Revolving Credit Agreement, dated as of February 27, 2014 (as amended by the First Amendment to Second Amended and Restated Senior Secured Revolving Credit Agreement, dated as of June 3, 2014, the Second Amendment to Second Amended and Restated Senior Secured Revolving Credit Agreement, dated as of June 27, 2014, the Third Amendment to Second Amended and Restated Senior Secured Revolving Credit Agreement, dated as of October 17, 2014, the Fourth Amendment to Second Amended and Restated Senior Secured Revolving Credit Agreement, dated as of October 2, 2015, the Fifth Amendment to Second Amended and Restated Senior Secured Revolving Credit Agreement, dated as of December 22, 2016, and the Sixth Amendment to Second Amended and Restated Senior Secured Revolving Credit Agreement, dated as of February 20, 2018 (the “</w:t>
      </w:r>
      <w:r>
        <w:rPr>
          <w:rFonts w:ascii="Arial" w:cs="Arial" w:eastAsia="Arial" w:hAnsi="Arial"/>
          <w:sz w:val="19"/>
          <w:szCs w:val="19"/>
          <w:u w:val="single" w:color="auto"/>
          <w:color w:val="auto"/>
        </w:rPr>
        <w:t>Existing Credit Agreement</w:t>
      </w:r>
      <w:r>
        <w:rPr>
          <w:rFonts w:ascii="Arial" w:cs="Arial" w:eastAsia="Arial" w:hAnsi="Arial"/>
          <w:sz w:val="19"/>
          <w:szCs w:val="19"/>
          <w:color w:val="auto"/>
        </w:rPr>
        <w:t>”), and by this Amendment and as the same may be further amended, supplemented, amended and restated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and</w:t>
      </w:r>
    </w:p>
    <w:p>
      <w:pPr>
        <w:spacing w:after="0" w:line="162" w:lineRule="exact"/>
        <w:rPr>
          <w:sz w:val="20"/>
          <w:szCs w:val="20"/>
          <w:color w:val="auto"/>
        </w:rPr>
      </w:pPr>
    </w:p>
    <w:p>
      <w:pPr>
        <w:jc w:val="both"/>
        <w:ind w:firstLine="877"/>
        <w:spacing w:after="0"/>
        <w:rPr>
          <w:sz w:val="20"/>
          <w:szCs w:val="20"/>
          <w:color w:val="auto"/>
        </w:rPr>
      </w:pPr>
      <w:r>
        <w:rPr>
          <w:rFonts w:ascii="Arial" w:cs="Arial" w:eastAsia="Arial" w:hAnsi="Arial"/>
          <w:sz w:val="22"/>
          <w:szCs w:val="22"/>
          <w:color w:val="auto"/>
        </w:rPr>
        <w:t>WHEREAS, the Borrower has requested that the Lenders agree to amend the Existing Credit Agreement, and the Lenders party hereto are willing, on the terms and subject to the conditions hereinafter set forth, to agree to the amendment set forth below and the other terms hereof;</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NOW, THEREFORE, the parties hereto hereby covenant and agree as follows: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DEFINITIONS</w:t>
      </w:r>
    </w:p>
    <w:p>
      <w:pPr>
        <w:spacing w:after="0" w:line="206"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Certain Definitions</w:t>
      </w:r>
      <w:r>
        <w:rPr>
          <w:rFonts w:ascii="Arial" w:cs="Arial" w:eastAsia="Arial" w:hAnsi="Arial"/>
          <w:sz w:val="22"/>
          <w:szCs w:val="22"/>
          <w:color w:val="auto"/>
        </w:rPr>
        <w:t>. The following terms when used in this Amendment shall have the following meanings (such meanings to be equally applicable to the singular and plural forms thereof):</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is defined in the </w:t>
      </w:r>
      <w:r>
        <w:rPr>
          <w:rFonts w:ascii="Arial" w:cs="Arial" w:eastAsia="Arial" w:hAnsi="Arial"/>
          <w:sz w:val="22"/>
          <w:szCs w:val="22"/>
          <w:u w:val="single" w:color="auto"/>
          <w:color w:val="auto"/>
        </w:rPr>
        <w:t>preamble</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xml:space="preserve">” is defined in the </w:t>
      </w:r>
      <w:r>
        <w:rPr>
          <w:rFonts w:ascii="Arial" w:cs="Arial" w:eastAsia="Arial" w:hAnsi="Arial"/>
          <w:sz w:val="22"/>
          <w:szCs w:val="22"/>
          <w:u w:val="single" w:color="auto"/>
          <w:color w:val="auto"/>
        </w:rPr>
        <w:t>preamble</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354965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3" w:name="page74"/>
    <w:bookmarkEnd w:id="73"/>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Agreement</w:t>
      </w:r>
      <w:r>
        <w:rPr>
          <w:rFonts w:ascii="Arial" w:cs="Arial" w:eastAsia="Arial" w:hAnsi="Arial"/>
          <w:sz w:val="22"/>
          <w:szCs w:val="22"/>
          <w:color w:val="auto"/>
        </w:rPr>
        <w:t xml:space="preserve">” is defined in the </w:t>
      </w:r>
      <w:r>
        <w:rPr>
          <w:rFonts w:ascii="Arial" w:cs="Arial" w:eastAsia="Arial" w:hAnsi="Arial"/>
          <w:sz w:val="22"/>
          <w:szCs w:val="22"/>
          <w:u w:val="single" w:color="auto"/>
          <w:color w:val="auto"/>
        </w:rPr>
        <w:t>first recital</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 xml:space="preserve">” is defined in the </w:t>
      </w:r>
      <w:r>
        <w:rPr>
          <w:rFonts w:ascii="Arial" w:cs="Arial" w:eastAsia="Arial" w:hAnsi="Arial"/>
          <w:sz w:val="22"/>
          <w:szCs w:val="22"/>
          <w:u w:val="single" w:color="auto"/>
          <w:color w:val="auto"/>
        </w:rPr>
        <w:t>first recital</w:t>
      </w:r>
      <w:r>
        <w:rPr>
          <w:rFonts w:ascii="Arial" w:cs="Arial" w:eastAsia="Arial" w:hAnsi="Arial"/>
          <w:sz w:val="22"/>
          <w:szCs w:val="22"/>
          <w:color w:val="auto"/>
        </w:rPr>
        <w:t>.</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Seventh Amendment Effective Date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Article III</w:t>
      </w:r>
      <w:r>
        <w:rPr>
          <w:rFonts w:ascii="Arial" w:cs="Arial" w:eastAsia="Arial" w:hAnsi="Arial"/>
          <w:sz w:val="22"/>
          <w:szCs w:val="22"/>
          <w:color w:val="auto"/>
        </w:rPr>
        <w:t>.</w:t>
      </w:r>
    </w:p>
    <w:p>
      <w:pPr>
        <w:spacing w:after="0" w:line="206" w:lineRule="exact"/>
        <w:rPr>
          <w:sz w:val="20"/>
          <w:szCs w:val="20"/>
          <w:color w:val="auto"/>
        </w:rPr>
      </w:pPr>
    </w:p>
    <w:p>
      <w:pPr>
        <w:ind w:right="20" w:firstLine="877"/>
        <w:spacing w:after="0" w:line="328"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u w:val="single" w:color="auto"/>
          <w:color w:val="auto"/>
        </w:rPr>
        <w:t>Other Definitions</w:t>
      </w:r>
      <w:r>
        <w:rPr>
          <w:rFonts w:ascii="Arial" w:cs="Arial" w:eastAsia="Arial" w:hAnsi="Arial"/>
          <w:sz w:val="19"/>
          <w:szCs w:val="19"/>
          <w:color w:val="auto"/>
        </w:rPr>
        <w:t>. Capitalized terms for which meanings are provided in the Existing Credit Agreement are, unless otherwise defined herein or the context otherwise requires, used in this Amendment with such meanings.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 TO EXISTING CREDIT AGREEMENT</w:t>
      </w:r>
    </w:p>
    <w:p>
      <w:pPr>
        <w:spacing w:after="0" w:line="206"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Subject to the occurrence of the Seventh Amendment Effective Date (as hereinafter defined), the Existing Credit Agreement is hereby amended as follows:</w:t>
      </w:r>
    </w:p>
    <w:p>
      <w:pPr>
        <w:spacing w:after="0" w:line="173"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SECTION 2.1. The definition of “Asset Coverage Ratio” in Section 1.01 of the Existing Credit Agreement is hereby deleted in its entirety.</w:t>
      </w:r>
    </w:p>
    <w:p>
      <w:pPr>
        <w:spacing w:after="0" w:line="173" w:lineRule="exact"/>
        <w:rPr>
          <w:sz w:val="20"/>
          <w:szCs w:val="20"/>
          <w:color w:val="auto"/>
        </w:rPr>
      </w:pPr>
    </w:p>
    <w:p>
      <w:pPr>
        <w:ind w:right="20" w:firstLine="877"/>
        <w:spacing w:after="0" w:line="251" w:lineRule="auto"/>
        <w:rPr>
          <w:sz w:val="20"/>
          <w:szCs w:val="20"/>
          <w:color w:val="auto"/>
        </w:rPr>
      </w:pPr>
      <w:r>
        <w:rPr>
          <w:rFonts w:ascii="Arial" w:cs="Arial" w:eastAsia="Arial" w:hAnsi="Arial"/>
          <w:sz w:val="22"/>
          <w:szCs w:val="22"/>
          <w:color w:val="auto"/>
        </w:rPr>
        <w:t>SECTION 2.2. The following definitions are hereby incorporated in Section 1.01 of the Existing Credit Agreement in the appropriate alphabetical sequence:</w:t>
      </w:r>
    </w:p>
    <w:p>
      <w:pPr>
        <w:spacing w:after="0" w:line="173" w:lineRule="exact"/>
        <w:rPr>
          <w:sz w:val="20"/>
          <w:szCs w:val="20"/>
          <w:color w:val="auto"/>
        </w:rPr>
      </w:pPr>
    </w:p>
    <w:p>
      <w:pPr>
        <w:jc w:val="both"/>
        <w:ind w:left="880" w:firstLine="810"/>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Borrower Asset Coverage Ratio</w:t>
      </w:r>
      <w:r>
        <w:rPr>
          <w:rFonts w:ascii="Arial" w:cs="Arial" w:eastAsia="Arial" w:hAnsi="Arial"/>
          <w:sz w:val="21"/>
          <w:szCs w:val="21"/>
          <w:color w:val="auto"/>
        </w:rPr>
        <w:t>” means the ratio, determined on a consolidated basis for the Obligors, without duplication, of (a) (i) Total Assets minus (ii) Total Assets Concentration Limitation to (b) (i) Total Secured Debt plus (ii) the aggregate amount of senior securities representing unsecured indebtedness of the Obligors as of such date of determination with a maturity date that is within 90 days of such date of determination.</w:t>
      </w:r>
    </w:p>
    <w:p>
      <w:pPr>
        <w:spacing w:after="0" w:line="174" w:lineRule="exact"/>
        <w:rPr>
          <w:sz w:val="20"/>
          <w:szCs w:val="20"/>
          <w:color w:val="auto"/>
        </w:rPr>
      </w:pPr>
    </w:p>
    <w:p>
      <w:pPr>
        <w:jc w:val="both"/>
        <w:ind w:left="880" w:firstLine="810"/>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Borrower Net Worth</w:t>
      </w:r>
      <w:r>
        <w:rPr>
          <w:rFonts w:ascii="Arial" w:cs="Arial" w:eastAsia="Arial" w:hAnsi="Arial"/>
          <w:sz w:val="21"/>
          <w:szCs w:val="21"/>
          <w:color w:val="auto"/>
        </w:rPr>
        <w:t xml:space="preserve">” means, as of any date of determination, (a) Total Assets as of such date </w:t>
      </w:r>
      <w:r>
        <w:rPr>
          <w:rFonts w:ascii="Arial" w:cs="Arial" w:eastAsia="Arial" w:hAnsi="Arial"/>
          <w:sz w:val="21"/>
          <w:szCs w:val="21"/>
          <w:i w:val="1"/>
          <w:iCs w:val="1"/>
          <w:color w:val="auto"/>
        </w:rPr>
        <w:t>minus</w:t>
      </w:r>
      <w:r>
        <w:rPr>
          <w:rFonts w:ascii="Arial" w:cs="Arial" w:eastAsia="Arial" w:hAnsi="Arial"/>
          <w:sz w:val="21"/>
          <w:szCs w:val="21"/>
          <w:color w:val="auto"/>
        </w:rPr>
        <w:t xml:space="preserve"> (b) the sum of (i) Total Assets Concentration Limitation as of such date </w:t>
      </w:r>
      <w:r>
        <w:rPr>
          <w:rFonts w:ascii="Arial" w:cs="Arial" w:eastAsia="Arial" w:hAnsi="Arial"/>
          <w:sz w:val="21"/>
          <w:szCs w:val="21"/>
          <w:i w:val="1"/>
          <w:iCs w:val="1"/>
          <w:color w:val="auto"/>
        </w:rPr>
        <w:t>plus</w:t>
      </w:r>
      <w:r>
        <w:rPr>
          <w:rFonts w:ascii="Arial" w:cs="Arial" w:eastAsia="Arial" w:hAnsi="Arial"/>
          <w:sz w:val="21"/>
          <w:szCs w:val="21"/>
          <w:color w:val="auto"/>
        </w:rPr>
        <w:t xml:space="preserve"> (ii) Total Secured Debt as of such date.</w:t>
      </w:r>
    </w:p>
    <w:p>
      <w:pPr>
        <w:spacing w:after="0" w:line="151" w:lineRule="exact"/>
        <w:rPr>
          <w:sz w:val="20"/>
          <w:szCs w:val="20"/>
          <w:color w:val="auto"/>
        </w:rPr>
      </w:pPr>
    </w:p>
    <w:p>
      <w:pPr>
        <w:jc w:val="both"/>
        <w:ind w:left="880" w:firstLine="810"/>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Asset Coverage Ratio</w:t>
      </w:r>
      <w:r>
        <w:rPr>
          <w:rFonts w:ascii="Arial" w:cs="Arial" w:eastAsia="Arial" w:hAnsi="Arial"/>
          <w:sz w:val="21"/>
          <w:szCs w:val="21"/>
          <w:color w:val="auto"/>
        </w:rPr>
        <w:t>” means the ratio, determined on a consolidated basis for Borrower and its Subsidiaries, without duplication, (a) the value of total assets of the Borrower and its Subsidiaries, less all liabilities and indebtedness not represented by senior securities to (b) the aggregate amount of senior securities representing indebtedness of Borrower and its Subsidiaries (including this Agreement), in each case as determined pursuant to the Investment Company Act and any orders of the Securities and Exchange Commission issued to or with respect to Borrower thereunder, including any exemptive relief granted by the Securities and Exchange Commission with respect to the indebtedness of any SBIC Subsidiary.</w:t>
      </w:r>
    </w:p>
    <w:p>
      <w:pPr>
        <w:spacing w:after="0" w:line="178"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Seventh Amendment Effective Date</w:t>
      </w:r>
      <w:r>
        <w:rPr>
          <w:rFonts w:ascii="Arial" w:cs="Arial" w:eastAsia="Arial" w:hAnsi="Arial"/>
          <w:sz w:val="22"/>
          <w:szCs w:val="22"/>
          <w:color w:val="auto"/>
        </w:rPr>
        <w:t>” means November 5, 2018.</w:t>
      </w:r>
    </w:p>
    <w:p>
      <w:pPr>
        <w:spacing w:after="0" w:line="206" w:lineRule="exact"/>
        <w:rPr>
          <w:sz w:val="20"/>
          <w:szCs w:val="20"/>
          <w:color w:val="auto"/>
        </w:rPr>
      </w:pPr>
    </w:p>
    <w:p>
      <w:pPr>
        <w:jc w:val="both"/>
        <w:ind w:left="880" w:firstLine="81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Assets</w:t>
      </w:r>
      <w:r>
        <w:rPr>
          <w:rFonts w:ascii="Arial" w:cs="Arial" w:eastAsia="Arial" w:hAnsi="Arial"/>
          <w:sz w:val="22"/>
          <w:szCs w:val="22"/>
          <w:color w:val="auto"/>
        </w:rPr>
        <w:t>” means, as of any date of determination, the value of the total assets of the Obligors on a consolidated basis, less all liabilities and indebtedness not represented by senior securities, in each case, as of such date of determination.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74" w:name="page75"/>
    <w:bookmarkEnd w:id="74"/>
    <w:p>
      <w:pPr>
        <w:jc w:val="both"/>
        <w:ind w:left="880" w:firstLine="81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Assets Concentration Limitation</w:t>
      </w:r>
      <w:r>
        <w:rPr>
          <w:rFonts w:ascii="Arial" w:cs="Arial" w:eastAsia="Arial" w:hAnsi="Arial"/>
          <w:sz w:val="22"/>
          <w:szCs w:val="22"/>
          <w:color w:val="auto"/>
        </w:rPr>
        <w:t>” means, as of any date of determination, the amount by which the aggregate value of Equity Interests in Financing Subsidiaries held by the Obligors as of such date of determination exceeds 10% of the Total Assets as of such date of determination.</w:t>
      </w:r>
    </w:p>
    <w:p>
      <w:pPr>
        <w:spacing w:after="0" w:line="186" w:lineRule="exact"/>
        <w:rPr>
          <w:sz w:val="20"/>
          <w:szCs w:val="20"/>
          <w:color w:val="auto"/>
        </w:rPr>
      </w:pPr>
    </w:p>
    <w:p>
      <w:pPr>
        <w:jc w:val="both"/>
        <w:ind w:left="880" w:firstLine="81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Secured Debt</w:t>
      </w:r>
      <w:r>
        <w:rPr>
          <w:rFonts w:ascii="Arial" w:cs="Arial" w:eastAsia="Arial" w:hAnsi="Arial"/>
          <w:sz w:val="22"/>
          <w:szCs w:val="22"/>
          <w:color w:val="auto"/>
        </w:rPr>
        <w:t>” means, as of any date of determination, the aggregate amount of senior securities representing secured indebtedness of the Obligors as of such date of determination.”.</w:t>
      </w:r>
    </w:p>
    <w:p>
      <w:pPr>
        <w:spacing w:after="0" w:line="173"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SECTION 2.3. The definition of “2022 Convertible Notes” in Section 1.01 of the Existing Credit Agreement is hereby amended and restated in its entirety to read as follows:</w:t>
      </w:r>
    </w:p>
    <w:p>
      <w:pPr>
        <w:spacing w:after="0" w:line="173" w:lineRule="exact"/>
        <w:rPr>
          <w:sz w:val="20"/>
          <w:szCs w:val="20"/>
          <w:color w:val="auto"/>
        </w:rPr>
      </w:pPr>
    </w:p>
    <w:p>
      <w:pPr>
        <w:ind w:left="880" w:firstLine="81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2022 Convertible Notes</w:t>
      </w:r>
      <w:r>
        <w:rPr>
          <w:rFonts w:ascii="Arial" w:cs="Arial" w:eastAsia="Arial" w:hAnsi="Arial"/>
          <w:sz w:val="22"/>
          <w:szCs w:val="22"/>
          <w:color w:val="auto"/>
        </w:rPr>
        <w:t>” means the Borrower’s $172,500,000 aggregate principal amount convertible notes due August 2022.”.</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SECTION 2.4. Section 5.13 of the Existing Credit Agreement is hereby amended by:</w:t>
      </w:r>
    </w:p>
    <w:p>
      <w:pPr>
        <w:spacing w:after="0" w:line="206" w:lineRule="exact"/>
        <w:rPr>
          <w:sz w:val="20"/>
          <w:szCs w:val="20"/>
          <w:color w:val="auto"/>
        </w:rPr>
      </w:pPr>
    </w:p>
    <w:p>
      <w:pPr>
        <w:ind w:left="2660" w:hanging="897"/>
        <w:spacing w:after="0"/>
        <w:tabs>
          <w:tab w:leader="none" w:pos="2660" w:val="left"/>
        </w:tabs>
        <w:numPr>
          <w:ilvl w:val="0"/>
          <w:numId w:val="57"/>
        </w:numPr>
        <w:rPr>
          <w:rFonts w:ascii="Arial" w:cs="Arial" w:eastAsia="Arial" w:hAnsi="Arial"/>
          <w:sz w:val="22"/>
          <w:szCs w:val="22"/>
          <w:color w:val="auto"/>
        </w:rPr>
      </w:pPr>
      <w:r>
        <w:rPr>
          <w:rFonts w:ascii="Arial" w:cs="Arial" w:eastAsia="Arial" w:hAnsi="Arial"/>
          <w:sz w:val="22"/>
          <w:szCs w:val="22"/>
          <w:color w:val="auto"/>
        </w:rPr>
        <w:t>deleting the word “and” at the end of clause (g) thereof;</w:t>
      </w:r>
    </w:p>
    <w:p>
      <w:pPr>
        <w:spacing w:after="0" w:line="206" w:lineRule="exact"/>
        <w:rPr>
          <w:rFonts w:ascii="Arial" w:cs="Arial" w:eastAsia="Arial" w:hAnsi="Arial"/>
          <w:sz w:val="22"/>
          <w:szCs w:val="22"/>
          <w:color w:val="auto"/>
        </w:rPr>
      </w:pPr>
    </w:p>
    <w:p>
      <w:pPr>
        <w:ind w:left="2660" w:hanging="897"/>
        <w:spacing w:after="0"/>
        <w:tabs>
          <w:tab w:leader="none" w:pos="2660" w:val="left"/>
        </w:tabs>
        <w:numPr>
          <w:ilvl w:val="0"/>
          <w:numId w:val="57"/>
        </w:numPr>
        <w:rPr>
          <w:rFonts w:ascii="Arial" w:cs="Arial" w:eastAsia="Arial" w:hAnsi="Arial"/>
          <w:sz w:val="22"/>
          <w:szCs w:val="22"/>
          <w:color w:val="auto"/>
        </w:rPr>
      </w:pPr>
      <w:r>
        <w:rPr>
          <w:rFonts w:ascii="Arial" w:cs="Arial" w:eastAsia="Arial" w:hAnsi="Arial"/>
          <w:sz w:val="22"/>
          <w:szCs w:val="22"/>
          <w:color w:val="auto"/>
        </w:rPr>
        <w:t>inserting a semi-colon at the end of clause (h) thereof;</w:t>
      </w:r>
    </w:p>
    <w:p>
      <w:pPr>
        <w:spacing w:after="0" w:line="206" w:lineRule="exact"/>
        <w:rPr>
          <w:rFonts w:ascii="Arial" w:cs="Arial" w:eastAsia="Arial" w:hAnsi="Arial"/>
          <w:sz w:val="22"/>
          <w:szCs w:val="22"/>
          <w:color w:val="auto"/>
        </w:rPr>
      </w:pPr>
    </w:p>
    <w:p>
      <w:pPr>
        <w:ind w:left="2660" w:hanging="897"/>
        <w:spacing w:after="0"/>
        <w:tabs>
          <w:tab w:leader="none" w:pos="2660" w:val="left"/>
        </w:tabs>
        <w:numPr>
          <w:ilvl w:val="0"/>
          <w:numId w:val="57"/>
        </w:numPr>
        <w:rPr>
          <w:rFonts w:ascii="Arial" w:cs="Arial" w:eastAsia="Arial" w:hAnsi="Arial"/>
          <w:sz w:val="22"/>
          <w:szCs w:val="22"/>
          <w:color w:val="auto"/>
        </w:rPr>
      </w:pPr>
      <w:r>
        <w:rPr>
          <w:rFonts w:ascii="Arial" w:cs="Arial" w:eastAsia="Arial" w:hAnsi="Arial"/>
          <w:sz w:val="22"/>
          <w:szCs w:val="22"/>
          <w:color w:val="auto"/>
        </w:rPr>
        <w:t>inserting new clauses (i) and (j) at the end thereof to read as follows:</w:t>
      </w:r>
    </w:p>
    <w:p>
      <w:pPr>
        <w:spacing w:after="0" w:line="206" w:lineRule="exact"/>
        <w:rPr>
          <w:sz w:val="20"/>
          <w:szCs w:val="20"/>
          <w:color w:val="auto"/>
        </w:rPr>
      </w:pPr>
    </w:p>
    <w:p>
      <w:pPr>
        <w:ind w:left="1760" w:right="100" w:firstLine="743"/>
        <w:spacing w:after="0" w:line="297" w:lineRule="auto"/>
        <w:rPr>
          <w:sz w:val="20"/>
          <w:szCs w:val="20"/>
          <w:color w:val="auto"/>
        </w:rPr>
      </w:pPr>
      <w:r>
        <w:rPr>
          <w:rFonts w:ascii="Arial" w:cs="Arial" w:eastAsia="Arial" w:hAnsi="Arial"/>
          <w:sz w:val="19"/>
          <w:szCs w:val="19"/>
          <w:color w:val="auto"/>
        </w:rPr>
        <w:t>“(i) at any time the Borrower Asset Coverage Ratio as of the end of the most recent fiscal quarter is greater than or equal to 2.00 to 1:00, but less than 2.25 to 1.00, the portion of the Borrowing Base attributable to Portfolio Investments other than Performing First Lien Bank Loans shall not exceed 62.5%; and</w:t>
      </w:r>
    </w:p>
    <w:p>
      <w:pPr>
        <w:spacing w:after="0" w:line="134" w:lineRule="exact"/>
        <w:rPr>
          <w:sz w:val="20"/>
          <w:szCs w:val="20"/>
          <w:color w:val="auto"/>
        </w:rPr>
      </w:pPr>
    </w:p>
    <w:p>
      <w:pPr>
        <w:ind w:left="1760" w:right="20" w:firstLine="746"/>
        <w:spacing w:after="0"/>
        <w:tabs>
          <w:tab w:leader="none" w:pos="3355" w:val="left"/>
        </w:tabs>
        <w:numPr>
          <w:ilvl w:val="0"/>
          <w:numId w:val="58"/>
        </w:numPr>
        <w:rPr>
          <w:rFonts w:ascii="Arial" w:cs="Arial" w:eastAsia="Arial" w:hAnsi="Arial"/>
          <w:sz w:val="22"/>
          <w:szCs w:val="22"/>
          <w:color w:val="auto"/>
        </w:rPr>
      </w:pPr>
      <w:r>
        <w:rPr>
          <w:rFonts w:ascii="Arial" w:cs="Arial" w:eastAsia="Arial" w:hAnsi="Arial"/>
          <w:sz w:val="22"/>
          <w:szCs w:val="22"/>
          <w:color w:val="auto"/>
        </w:rPr>
        <w:t>at any time the Borrower Asset Coverage Ratio as of the end of the most recent fiscal quarter is greater than or equal to 2.25 to 1:00, the portion of the Borrowing Base attributable to Portfolio Investments other than Performing First Lien Bank Loans shall not exceed 67.5%.”.</w:t>
      </w:r>
    </w:p>
    <w:p>
      <w:pPr>
        <w:spacing w:after="0" w:line="186"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SECTION 2.5. Sections 6.01(b), (i), (m) and (n) and 6.02(e) are each hereby amended by replacing the text “</w:t>
      </w:r>
      <w:r>
        <w:rPr>
          <w:rFonts w:ascii="Arial" w:cs="Arial" w:eastAsia="Arial" w:hAnsi="Arial"/>
          <w:sz w:val="22"/>
          <w:szCs w:val="22"/>
          <w:u w:val="single" w:color="auto"/>
          <w:color w:val="auto"/>
        </w:rPr>
        <w:t>Section 6.07(b)</w:t>
      </w:r>
      <w:r>
        <w:rPr>
          <w:rFonts w:ascii="Arial" w:cs="Arial" w:eastAsia="Arial" w:hAnsi="Arial"/>
          <w:sz w:val="22"/>
          <w:szCs w:val="22"/>
          <w:color w:val="auto"/>
        </w:rPr>
        <w:t>” where it appears therein with “</w:t>
      </w:r>
      <w:r>
        <w:rPr>
          <w:rFonts w:ascii="Arial" w:cs="Arial" w:eastAsia="Arial" w:hAnsi="Arial"/>
          <w:sz w:val="22"/>
          <w:szCs w:val="22"/>
          <w:u w:val="single" w:color="auto"/>
          <w:color w:val="auto"/>
        </w:rPr>
        <w:t>Sections 6.07(c)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(d)</w:t>
      </w:r>
      <w:r>
        <w:rPr>
          <w:rFonts w:ascii="Arial" w:cs="Arial" w:eastAsia="Arial" w:hAnsi="Arial"/>
          <w:sz w:val="22"/>
          <w:szCs w:val="22"/>
          <w:color w:val="auto"/>
        </w:rPr>
        <w:t>” in its place.</w:t>
      </w:r>
    </w:p>
    <w:p>
      <w:pPr>
        <w:spacing w:after="0" w:line="173"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SECTION 2.6. Sections 6.01(i) and (o) and 6.02(e) are each hereby amended by replacing the text “Shareholders’ Equity” where it appears therein with “Borrower Net Worth” in its place.</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SECTION 2.7. Section 6.07 is amended and restated in its entirety to read as follows:</w:t>
      </w:r>
    </w:p>
    <w:p>
      <w:pPr>
        <w:spacing w:after="0" w:line="206" w:lineRule="exact"/>
        <w:rPr>
          <w:sz w:val="20"/>
          <w:szCs w:val="20"/>
          <w:color w:val="auto"/>
        </w:rPr>
      </w:pPr>
    </w:p>
    <w:p>
      <w:pPr>
        <w:ind w:left="3240"/>
        <w:spacing w:after="0"/>
        <w:tabs>
          <w:tab w:leader="none" w:pos="5380" w:val="left"/>
        </w:tabs>
        <w:rPr>
          <w:sz w:val="20"/>
          <w:szCs w:val="20"/>
          <w:color w:val="auto"/>
        </w:rPr>
      </w:pPr>
      <w:r>
        <w:rPr>
          <w:rFonts w:ascii="Arial" w:cs="Arial" w:eastAsia="Arial" w:hAnsi="Arial"/>
          <w:sz w:val="22"/>
          <w:szCs w:val="22"/>
          <w:color w:val="auto"/>
        </w:rPr>
        <w:t>“SECTION 6.07</w:t>
      </w:r>
      <w:r>
        <w:rPr>
          <w:sz w:val="20"/>
          <w:szCs w:val="20"/>
          <w:color w:val="auto"/>
        </w:rPr>
        <w:tab/>
      </w:r>
      <w:r>
        <w:rPr>
          <w:rFonts w:ascii="Arial" w:cs="Arial" w:eastAsia="Arial" w:hAnsi="Arial"/>
          <w:sz w:val="19"/>
          <w:szCs w:val="19"/>
          <w:u w:val="single" w:color="auto"/>
          <w:color w:val="auto"/>
        </w:rPr>
        <w:t>Certain Financial Covenants</w:t>
      </w:r>
      <w:r>
        <w:rPr>
          <w:rFonts w:ascii="Arial" w:cs="Arial" w:eastAsia="Arial" w:hAnsi="Arial"/>
          <w:sz w:val="19"/>
          <w:szCs w:val="19"/>
          <w:color w:val="auto"/>
        </w:rPr>
        <w:t>.</w:t>
      </w:r>
    </w:p>
    <w:p>
      <w:pPr>
        <w:spacing w:after="0" w:line="206" w:lineRule="exact"/>
        <w:rPr>
          <w:sz w:val="20"/>
          <w:szCs w:val="20"/>
          <w:color w:val="auto"/>
        </w:rPr>
      </w:pPr>
    </w:p>
    <w:p>
      <w:pPr>
        <w:jc w:val="both"/>
        <w:ind w:left="1760" w:right="20" w:firstLine="1488"/>
        <w:spacing w:after="0"/>
        <w:tabs>
          <w:tab w:leader="none" w:pos="4133"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Minimum Shareholders’ Equity</w:t>
      </w:r>
      <w:r>
        <w:rPr>
          <w:rFonts w:ascii="Arial" w:cs="Arial" w:eastAsia="Arial" w:hAnsi="Arial"/>
          <w:sz w:val="22"/>
          <w:szCs w:val="22"/>
          <w:color w:val="auto"/>
        </w:rPr>
        <w:t>. The Borrower will not permit Shareholders’ Equity at the last day of any fiscal quarter of the Borrower to be less than $500,000,000 plus 25% of the net proceeds of the sale of Equity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75" w:name="page76"/>
    <w:bookmarkEnd w:id="75"/>
    <w:p>
      <w:pPr>
        <w:ind w:left="1760" w:right="20"/>
        <w:spacing w:after="0" w:line="251" w:lineRule="auto"/>
        <w:rPr>
          <w:sz w:val="20"/>
          <w:szCs w:val="20"/>
          <w:color w:val="auto"/>
        </w:rPr>
      </w:pPr>
      <w:r>
        <w:rPr>
          <w:rFonts w:ascii="Arial" w:cs="Arial" w:eastAsia="Arial" w:hAnsi="Arial"/>
          <w:sz w:val="22"/>
          <w:szCs w:val="22"/>
          <w:color w:val="auto"/>
        </w:rPr>
        <w:t>Interests by the Borrower and its Subsidiaries after the Seventh Amendment Effective Date (other than proceeds of sales of Equity Interests by and among the Borrower and its Subsidiaries).</w:t>
      </w:r>
    </w:p>
    <w:p>
      <w:pPr>
        <w:spacing w:after="0" w:line="173" w:lineRule="exact"/>
        <w:rPr>
          <w:sz w:val="20"/>
          <w:szCs w:val="20"/>
          <w:color w:val="auto"/>
        </w:rPr>
      </w:pPr>
    </w:p>
    <w:p>
      <w:pPr>
        <w:ind w:left="1760" w:firstLine="1488"/>
        <w:spacing w:after="0" w:line="251" w:lineRule="auto"/>
        <w:tabs>
          <w:tab w:leader="none" w:pos="4145"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Minimum Borrower Net Worth</w:t>
      </w:r>
      <w:r>
        <w:rPr>
          <w:rFonts w:ascii="Arial" w:cs="Arial" w:eastAsia="Arial" w:hAnsi="Arial"/>
          <w:sz w:val="22"/>
          <w:szCs w:val="22"/>
          <w:color w:val="auto"/>
        </w:rPr>
        <w:t>. The Borrower will not permit Borrower Net Worth at the last day of any fiscal quarter of the Borrower to be less than $350,000,000.</w:t>
      </w:r>
    </w:p>
    <w:p>
      <w:pPr>
        <w:spacing w:after="0" w:line="173" w:lineRule="exact"/>
        <w:rPr>
          <w:rFonts w:ascii="Arial" w:cs="Arial" w:eastAsia="Arial" w:hAnsi="Arial"/>
          <w:sz w:val="22"/>
          <w:szCs w:val="22"/>
          <w:color w:val="auto"/>
        </w:rPr>
      </w:pPr>
    </w:p>
    <w:p>
      <w:pPr>
        <w:ind w:left="1760" w:firstLine="1488"/>
        <w:spacing w:after="0" w:line="328" w:lineRule="auto"/>
        <w:tabs>
          <w:tab w:leader="none" w:pos="4133"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Borrower Asset Coverage Ratio</w:t>
      </w:r>
      <w:r>
        <w:rPr>
          <w:rFonts w:ascii="Arial" w:cs="Arial" w:eastAsia="Arial" w:hAnsi="Arial"/>
          <w:sz w:val="19"/>
          <w:szCs w:val="19"/>
          <w:color w:val="auto"/>
        </w:rPr>
        <w:t>. The Borrower will not permit the Borrower Asset Coverage Ratio at the last day of any fiscal quarter of the Borrower to be less than 2.00 to 1 at any time.</w:t>
      </w:r>
    </w:p>
    <w:p>
      <w:pPr>
        <w:spacing w:after="0" w:line="105" w:lineRule="exact"/>
        <w:rPr>
          <w:rFonts w:ascii="Arial" w:cs="Arial" w:eastAsia="Arial" w:hAnsi="Arial"/>
          <w:sz w:val="19"/>
          <w:szCs w:val="19"/>
          <w:color w:val="auto"/>
        </w:rPr>
      </w:pPr>
    </w:p>
    <w:p>
      <w:pPr>
        <w:jc w:val="both"/>
        <w:ind w:left="1760" w:firstLine="1488"/>
        <w:spacing w:after="0"/>
        <w:tabs>
          <w:tab w:leader="none" w:pos="4145"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Consolidated Asset Coverage Ratio</w:t>
      </w:r>
      <w:r>
        <w:rPr>
          <w:rFonts w:ascii="Arial" w:cs="Arial" w:eastAsia="Arial" w:hAnsi="Arial"/>
          <w:sz w:val="22"/>
          <w:szCs w:val="22"/>
          <w:color w:val="auto"/>
        </w:rPr>
        <w:t>. The Borrower will not permit the Consolidated Asset Coverage Ratio at the last day of any fiscal quarter of the Borrower to be less than 1.50 to 1 at any time.</w:t>
      </w:r>
    </w:p>
    <w:p>
      <w:pPr>
        <w:spacing w:after="0" w:line="186" w:lineRule="exact"/>
        <w:rPr>
          <w:rFonts w:ascii="Arial" w:cs="Arial" w:eastAsia="Arial" w:hAnsi="Arial"/>
          <w:sz w:val="22"/>
          <w:szCs w:val="22"/>
          <w:color w:val="auto"/>
        </w:rPr>
      </w:pPr>
    </w:p>
    <w:p>
      <w:pPr>
        <w:jc w:val="both"/>
        <w:ind w:left="1760" w:firstLine="1488"/>
        <w:spacing w:after="0" w:line="279" w:lineRule="auto"/>
        <w:tabs>
          <w:tab w:leader="none" w:pos="4133"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Liquidity Test</w:t>
      </w:r>
      <w:r>
        <w:rPr>
          <w:rFonts w:ascii="Arial" w:cs="Arial" w:eastAsia="Arial" w:hAnsi="Arial"/>
          <w:sz w:val="19"/>
          <w:szCs w:val="19"/>
          <w:color w:val="auto"/>
        </w:rPr>
        <w:t>. The Borrower will not permit (a) the sum of (i) the aggregate Value of the Portfolio Investments that are Cash (excluding Cash Collateral for outstanding Letters of Credit) or that can be converted to Cash in fewer than 10 Business Days without more than a 5% change in price, plus (ii) the aggregate amount of Relevant Available Funds that can be converted to Cash in fewer than 10 Business Days, to be less than (b) 10% of the Covered Debt Amount, for more than 30 consecutive Business Days during any period when the Adjusted Covered Debt Balance is greater than 90% of the Adjusted Borrowing Base.”.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CONDITIONS TO EFFECTIVENESS</w:t>
      </w:r>
    </w:p>
    <w:p>
      <w:pPr>
        <w:spacing w:after="0" w:line="206"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 xml:space="preserve">SECTION 3.1. </w:t>
      </w:r>
      <w:r>
        <w:rPr>
          <w:rFonts w:ascii="Arial" w:cs="Arial" w:eastAsia="Arial" w:hAnsi="Arial"/>
          <w:sz w:val="22"/>
          <w:szCs w:val="22"/>
          <w:u w:val="single" w:color="auto"/>
          <w:color w:val="auto"/>
        </w:rPr>
        <w:t>Effective Date</w:t>
      </w:r>
      <w:r>
        <w:rPr>
          <w:rFonts w:ascii="Arial" w:cs="Arial" w:eastAsia="Arial" w:hAnsi="Arial"/>
          <w:sz w:val="22"/>
          <w:szCs w:val="22"/>
          <w:color w:val="auto"/>
        </w:rPr>
        <w:t>. This Amendment shall become effective on the date (the “</w:t>
      </w:r>
      <w:r>
        <w:rPr>
          <w:rFonts w:ascii="Arial" w:cs="Arial" w:eastAsia="Arial" w:hAnsi="Arial"/>
          <w:sz w:val="22"/>
          <w:szCs w:val="22"/>
          <w:u w:val="single" w:color="auto"/>
          <w:color w:val="auto"/>
        </w:rPr>
        <w:t>Seventh Amendment Effective</w:t>
      </w:r>
      <w:r>
        <w:rPr>
          <w:rFonts w:ascii="Arial" w:cs="Arial" w:eastAsia="Arial" w:hAnsi="Arial"/>
          <w:sz w:val="22"/>
          <w:szCs w:val="22"/>
          <w:color w:val="auto"/>
        </w:rPr>
        <w:t xml:space="preserve"> </w:t>
      </w:r>
      <w:r>
        <w:rPr>
          <w:rFonts w:ascii="Arial" w:cs="Arial" w:eastAsia="Arial" w:hAnsi="Arial"/>
          <w:sz w:val="22"/>
          <w:szCs w:val="22"/>
          <w:u w:val="single" w:color="auto"/>
          <w:color w:val="auto"/>
        </w:rPr>
        <w:t>Date</w:t>
      </w:r>
      <w:r>
        <w:rPr>
          <w:rFonts w:ascii="Arial" w:cs="Arial" w:eastAsia="Arial" w:hAnsi="Arial"/>
          <w:sz w:val="22"/>
          <w:szCs w:val="22"/>
          <w:color w:val="auto"/>
        </w:rPr>
        <w:t>”) when the Administrative Agent shall have received (a) counterparts of this Amendment duly executed and delivered on behalf of the Borrower and each of the Lenders party hereto and (b) for the benefit of Administrative Agent and each of the Lenders party hereto, as applicable, fees and expenses owing by the Borrower in connection with this Amendment as of the date hereof.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MISCELLANEOUS</w:t>
      </w:r>
    </w:p>
    <w:p>
      <w:pPr>
        <w:spacing w:after="0" w:line="206" w:lineRule="exact"/>
        <w:rPr>
          <w:sz w:val="20"/>
          <w:szCs w:val="20"/>
          <w:color w:val="auto"/>
        </w:rPr>
      </w:pPr>
    </w:p>
    <w:p>
      <w:pPr>
        <w:jc w:val="both"/>
        <w:ind w:firstLine="877"/>
        <w:spacing w:after="0" w:line="234" w:lineRule="auto"/>
        <w:rPr>
          <w:sz w:val="20"/>
          <w:szCs w:val="20"/>
          <w:color w:val="auto"/>
        </w:rPr>
      </w:pPr>
      <w:r>
        <w:rPr>
          <w:rFonts w:ascii="Arial" w:cs="Arial" w:eastAsia="Arial" w:hAnsi="Arial"/>
          <w:sz w:val="22"/>
          <w:szCs w:val="22"/>
          <w:color w:val="auto"/>
        </w:rPr>
        <w:t xml:space="preserve">SECTION 4.1. </w:t>
      </w:r>
      <w:r>
        <w:rPr>
          <w:rFonts w:ascii="Arial" w:cs="Arial" w:eastAsia="Arial" w:hAnsi="Arial"/>
          <w:sz w:val="22"/>
          <w:szCs w:val="22"/>
          <w:u w:val="single" w:color="auto"/>
          <w:color w:val="auto"/>
        </w:rPr>
        <w:t>Representations</w:t>
      </w:r>
      <w:r>
        <w:rPr>
          <w:rFonts w:ascii="Arial" w:cs="Arial" w:eastAsia="Arial" w:hAnsi="Arial"/>
          <w:sz w:val="22"/>
          <w:szCs w:val="22"/>
          <w:color w:val="auto"/>
        </w:rPr>
        <w:t>. The Borrower hereby represents and warrants that (i) this Amendment constitutes a legal, valid and binding obligation of it, enforceable against it in accordance with its terms, (ii) upon the effectiveness of this Amendment, no Default or Event of Default shall exist and (iii) its representations and warranties as set forth in the Loan Documents, as applicable, are true and correct in all material respects (except those representations and warranties qualified by materiality or by reference to a material adverse effect, which are true and correct in all respects) on and as of the date hereof as though made on and as of the date hereof (unless such representations and warranties specifically refer to a previous day, in which case, they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76" w:name="page77"/>
    <w:bookmarkEnd w:id="76"/>
    <w:p>
      <w:pPr>
        <w:jc w:val="both"/>
        <w:spacing w:after="0" w:line="328" w:lineRule="auto"/>
        <w:rPr>
          <w:sz w:val="20"/>
          <w:szCs w:val="20"/>
          <w:color w:val="auto"/>
        </w:rPr>
      </w:pPr>
      <w:r>
        <w:rPr>
          <w:rFonts w:ascii="Arial" w:cs="Arial" w:eastAsia="Arial" w:hAnsi="Arial"/>
          <w:sz w:val="19"/>
          <w:szCs w:val="19"/>
          <w:color w:val="auto"/>
        </w:rPr>
        <w:t>shall be complete and correct in all material respects (or, with respect to such representations or warranties qualified by materiality or by reference to a material adverse effect, complete and correct in all respects) on and as of such previous day).</w:t>
      </w:r>
    </w:p>
    <w:p>
      <w:pPr>
        <w:spacing w:after="0" w:line="105" w:lineRule="exact"/>
        <w:rPr>
          <w:sz w:val="20"/>
          <w:szCs w:val="20"/>
          <w:color w:val="auto"/>
        </w:rPr>
      </w:pPr>
    </w:p>
    <w:p>
      <w:pPr>
        <w:jc w:val="both"/>
        <w:ind w:right="20" w:firstLine="877"/>
        <w:spacing w:after="0" w:line="251" w:lineRule="auto"/>
        <w:rPr>
          <w:sz w:val="20"/>
          <w:szCs w:val="20"/>
          <w:color w:val="auto"/>
        </w:rPr>
      </w:pPr>
      <w:r>
        <w:rPr>
          <w:rFonts w:ascii="Arial" w:cs="Arial" w:eastAsia="Arial" w:hAnsi="Arial"/>
          <w:sz w:val="22"/>
          <w:szCs w:val="22"/>
          <w:color w:val="auto"/>
        </w:rPr>
        <w:t xml:space="preserve">SECTION 4.2. </w:t>
      </w:r>
      <w:r>
        <w:rPr>
          <w:rFonts w:ascii="Arial" w:cs="Arial" w:eastAsia="Arial" w:hAnsi="Arial"/>
          <w:sz w:val="22"/>
          <w:szCs w:val="22"/>
          <w:u w:val="single" w:color="auto"/>
          <w:color w:val="auto"/>
        </w:rPr>
        <w:t>Cross-References</w:t>
      </w:r>
      <w:r>
        <w:rPr>
          <w:rFonts w:ascii="Arial" w:cs="Arial" w:eastAsia="Arial" w:hAnsi="Arial"/>
          <w:sz w:val="22"/>
          <w:szCs w:val="22"/>
          <w:color w:val="auto"/>
        </w:rPr>
        <w:t>. References in this Amendment to any Article or Section are, unless otherwise specified, to such Article or Section of this Amendment.</w:t>
      </w:r>
    </w:p>
    <w:p>
      <w:pPr>
        <w:spacing w:after="0" w:line="173"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 xml:space="preserve">SECTION 4.3. </w:t>
      </w:r>
      <w:r>
        <w:rPr>
          <w:rFonts w:ascii="Arial" w:cs="Arial" w:eastAsia="Arial" w:hAnsi="Arial"/>
          <w:sz w:val="22"/>
          <w:szCs w:val="22"/>
          <w:u w:val="single" w:color="auto"/>
          <w:color w:val="auto"/>
        </w:rPr>
        <w:t>Loan Document Pursuant to Existing Credit Agreement</w:t>
      </w:r>
      <w:r>
        <w:rPr>
          <w:rFonts w:ascii="Arial" w:cs="Arial" w:eastAsia="Arial" w:hAnsi="Arial"/>
          <w:sz w:val="22"/>
          <w:szCs w:val="22"/>
          <w:color w:val="auto"/>
        </w:rPr>
        <w:t>. This Amendment is a Loan Document executed pursuant to the Existing Credit Agreement and shall (unless otherwise expressly indicated therein) be construed, administered and applied in accordance with all of the terms and provisions of the Existing Credit Agreement, as amended hereby, including Article IX thereof.</w:t>
      </w:r>
    </w:p>
    <w:p>
      <w:pPr>
        <w:spacing w:after="0" w:line="185"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 xml:space="preserve">SECTION 4.4.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The provisions of this Amendment shall be binding upon and inure to the benefit of the parties hereto and their respective successors and assigns.</w:t>
      </w:r>
    </w:p>
    <w:p>
      <w:pPr>
        <w:spacing w:after="0" w:line="173"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 xml:space="preserve">SECTION 4.5. </w:t>
      </w: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Amendment by telecopy or electronically (e.g. pdf) shall be effective as delivery of a manually executed counterpart of this Amendment.</w:t>
      </w:r>
    </w:p>
    <w:p>
      <w:pPr>
        <w:spacing w:after="0" w:line="185"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 xml:space="preserve">SECTION 4.6.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shall be governed by and construed in accordance with the laws of the State of New York.</w:t>
      </w:r>
    </w:p>
    <w:p>
      <w:pPr>
        <w:spacing w:after="0" w:line="173" w:lineRule="exact"/>
        <w:rPr>
          <w:sz w:val="20"/>
          <w:szCs w:val="20"/>
          <w:color w:val="auto"/>
        </w:rPr>
      </w:pPr>
    </w:p>
    <w:p>
      <w:pPr>
        <w:jc w:val="both"/>
        <w:ind w:firstLine="877"/>
        <w:spacing w:after="0" w:line="273" w:lineRule="auto"/>
        <w:rPr>
          <w:sz w:val="20"/>
          <w:szCs w:val="20"/>
          <w:color w:val="auto"/>
        </w:rPr>
      </w:pPr>
      <w:r>
        <w:rPr>
          <w:rFonts w:ascii="Arial" w:cs="Arial" w:eastAsia="Arial" w:hAnsi="Arial"/>
          <w:sz w:val="19"/>
          <w:szCs w:val="19"/>
          <w:color w:val="auto"/>
        </w:rPr>
        <w:t xml:space="preserve">SECTION 4.7. </w:t>
      </w:r>
      <w:r>
        <w:rPr>
          <w:rFonts w:ascii="Arial" w:cs="Arial" w:eastAsia="Arial" w:hAnsi="Arial"/>
          <w:sz w:val="19"/>
          <w:szCs w:val="19"/>
          <w:u w:val="single" w:color="auto"/>
          <w:color w:val="auto"/>
        </w:rPr>
        <w:t>Full Force and Effect; Limited Amendment</w:t>
      </w:r>
      <w:r>
        <w:rPr>
          <w:rFonts w:ascii="Arial" w:cs="Arial" w:eastAsia="Arial" w:hAnsi="Arial"/>
          <w:sz w:val="19"/>
          <w:szCs w:val="19"/>
          <w:color w:val="auto"/>
        </w:rPr>
        <w:t>. Except as expressly amended hereby, all of the representations, warranties, terms, covenants, conditions and other provisions of the Existing Credit Agreement and the other Loan Documents shall remain unchanged and shall continue to be, and shall remain, in full force and effect in accordance with their respective terms. The amendment set forth herein shall be limited precisely as provided for herein to the provisions expressly amended herein and shall not be deemed to be an amendment to, waiver of, consent to or modification of any other terms or provisions of the Existing Credit Agreement or any other Loan Document or of any transaction or further or future action on the part of the Borrower. Upon and after the execution of this Amendment by each of the parties hereto, each reference in the Credit Agreement to “this Agreement”, “hereunder”, “hereof” or words of like import referring to the Credit Agreement, and each reference in the other Loan Documents to “the Credit Agreement”, “thereunder”, “thereof” or words of like import referring to the Credit Agreement, shall mean and be a reference to the Credit Agreement as modified hereby.</w:t>
      </w:r>
    </w:p>
    <w:p>
      <w:pPr>
        <w:spacing w:after="0" w:line="162" w:lineRule="exact"/>
        <w:rPr>
          <w:sz w:val="20"/>
          <w:szCs w:val="20"/>
          <w:color w:val="auto"/>
        </w:rPr>
      </w:pPr>
    </w:p>
    <w:p>
      <w:pPr>
        <w:jc w:val="both"/>
        <w:ind w:firstLine="877"/>
        <w:spacing w:after="0" w:line="297" w:lineRule="auto"/>
        <w:rPr>
          <w:sz w:val="20"/>
          <w:szCs w:val="20"/>
          <w:color w:val="auto"/>
        </w:rPr>
      </w:pPr>
      <w:r>
        <w:rPr>
          <w:rFonts w:ascii="Arial" w:cs="Arial" w:eastAsia="Arial" w:hAnsi="Arial"/>
          <w:sz w:val="19"/>
          <w:szCs w:val="19"/>
          <w:color w:val="auto"/>
        </w:rPr>
        <w:t xml:space="preserve">SECTION 4.8. </w:t>
      </w:r>
      <w:r>
        <w:rPr>
          <w:rFonts w:ascii="Arial" w:cs="Arial" w:eastAsia="Arial" w:hAnsi="Arial"/>
          <w:sz w:val="19"/>
          <w:szCs w:val="19"/>
          <w:u w:val="single" w:color="auto"/>
          <w:color w:val="auto"/>
        </w:rPr>
        <w:t>Reaffirmation</w:t>
      </w:r>
      <w:r>
        <w:rPr>
          <w:rFonts w:ascii="Arial" w:cs="Arial" w:eastAsia="Arial" w:hAnsi="Arial"/>
          <w:sz w:val="19"/>
          <w:szCs w:val="19"/>
          <w:color w:val="auto"/>
        </w:rPr>
        <w:t>. Each of TSL MR, LLC, TC Lending, LLC and TPG SL SPV, LLC hereby consents to the terms of this Amendment, confirms that its Guarantee under the Guarantee and Security Agreement remains unaltered and in full force and effect and hereby reaffirms, ratifies and confirms the terms and conditions of the Guarantee and Security Agreement.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22"/>
          <w:szCs w:val="22"/>
          <w:color w:val="auto"/>
        </w:rPr>
        <w:t>IN WITNESS WHEREOF, the parties hereto have executed and delivered this Amendment as of the date first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above written.</w:t>
      </w:r>
    </w:p>
    <w:p>
      <w:pPr>
        <w:spacing w:after="0" w:line="182" w:lineRule="exact"/>
        <w:rPr>
          <w:sz w:val="20"/>
          <w:szCs w:val="20"/>
          <w:color w:val="auto"/>
        </w:rPr>
      </w:pPr>
    </w:p>
    <w:p>
      <w:pPr>
        <w:spacing w:after="0"/>
        <w:tabs>
          <w:tab w:leader="none" w:pos="5240" w:val="left"/>
        </w:tabs>
        <w:rPr>
          <w:sz w:val="20"/>
          <w:szCs w:val="20"/>
          <w:color w:val="auto"/>
        </w:rPr>
      </w:pPr>
      <w:r>
        <w:rPr>
          <w:rFonts w:ascii="Arial" w:cs="Arial" w:eastAsia="Arial" w:hAnsi="Arial"/>
          <w:sz w:val="22"/>
          <w:szCs w:val="22"/>
          <w:u w:val="single" w:color="auto"/>
          <w:color w:val="auto"/>
        </w:rPr>
        <w:t>BORROWER</w:t>
      </w:r>
      <w:r>
        <w:rPr>
          <w:rFonts w:ascii="Arial" w:cs="Arial" w:eastAsia="Arial" w:hAnsi="Arial"/>
          <w:sz w:val="22"/>
          <w:szCs w:val="22"/>
          <w:color w:val="auto"/>
        </w:rPr>
        <w:t>:</w:t>
      </w:r>
      <w:r>
        <w:rPr>
          <w:sz w:val="20"/>
          <w:szCs w:val="20"/>
          <w:color w:val="auto"/>
        </w:rPr>
        <w:tab/>
      </w:r>
      <w:r>
        <w:rPr>
          <w:rFonts w:ascii="Arial" w:cs="Arial" w:eastAsia="Arial" w:hAnsi="Arial"/>
          <w:sz w:val="21"/>
          <w:szCs w:val="21"/>
          <w:b w:val="1"/>
          <w:bCs w:val="1"/>
          <w:color w:val="auto"/>
        </w:rPr>
        <w:t>TPG SPECIALTY LENDING, INC.</w:t>
      </w:r>
    </w:p>
    <w:p>
      <w:pPr>
        <w:spacing w:after="0" w:line="212"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3582035</wp:posOffset>
            </wp:positionH>
            <wp:positionV relativeFrom="paragraph">
              <wp:posOffset>-17780</wp:posOffset>
            </wp:positionV>
            <wp:extent cx="19208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ind w:left="5280"/>
        <w:spacing w:after="0" w:line="238" w:lineRule="auto"/>
        <w:rPr>
          <w:sz w:val="20"/>
          <w:szCs w:val="20"/>
          <w:color w:val="auto"/>
        </w:rPr>
      </w:pPr>
      <w:r>
        <w:rPr>
          <w:rFonts w:ascii="Arial" w:cs="Arial" w:eastAsia="Arial" w:hAnsi="Arial"/>
          <w:sz w:val="22"/>
          <w:szCs w:val="22"/>
          <w:color w:val="auto"/>
        </w:rPr>
        <w:t>Name: Ian Simmonds</w:t>
      </w:r>
    </w:p>
    <w:p>
      <w:pPr>
        <w:ind w:left="528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540"/>
        <w:spacing w:after="0"/>
        <w:rPr>
          <w:sz w:val="20"/>
          <w:szCs w:val="20"/>
          <w:color w:val="auto"/>
        </w:rPr>
      </w:pPr>
      <w:r>
        <w:rPr>
          <w:rFonts w:ascii="Arial" w:cs="Arial" w:eastAsia="Arial" w:hAnsi="Arial"/>
          <w:sz w:val="16"/>
          <w:szCs w:val="16"/>
          <w:i w:val="1"/>
          <w:iCs w:val="1"/>
          <w:color w:val="auto"/>
        </w:rPr>
        <w:t>SIGNATURE PAGE TO SEVENTH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53"/>
        </w:trPr>
        <w:tc>
          <w:tcPr>
            <w:tcW w:w="3160" w:type="dxa"/>
            <w:vAlign w:val="bottom"/>
            <w:gridSpan w:val="2"/>
          </w:tcPr>
          <w:p>
            <w:pPr>
              <w:spacing w:after="0"/>
              <w:rPr>
                <w:sz w:val="20"/>
                <w:szCs w:val="20"/>
                <w:color w:val="auto"/>
              </w:rPr>
            </w:pPr>
            <w:r>
              <w:rPr>
                <w:rFonts w:ascii="Arial" w:cs="Arial" w:eastAsia="Arial" w:hAnsi="Arial"/>
                <w:sz w:val="22"/>
                <w:szCs w:val="22"/>
                <w:color w:val="auto"/>
              </w:rPr>
              <w:t>LENDERS:</w:t>
            </w:r>
          </w:p>
        </w:tc>
        <w:tc>
          <w:tcPr>
            <w:tcW w:w="7840" w:type="dxa"/>
            <w:vAlign w:val="bottom"/>
            <w:gridSpan w:val="3"/>
          </w:tcPr>
          <w:p>
            <w:pPr>
              <w:ind w:left="2100"/>
              <w:spacing w:after="0"/>
              <w:rPr>
                <w:sz w:val="20"/>
                <w:szCs w:val="20"/>
                <w:color w:val="auto"/>
              </w:rPr>
            </w:pPr>
            <w:r>
              <w:rPr>
                <w:rFonts w:ascii="Arial" w:cs="Arial" w:eastAsia="Arial" w:hAnsi="Arial"/>
                <w:sz w:val="22"/>
                <w:szCs w:val="22"/>
                <w:b w:val="1"/>
                <w:bCs w:val="1"/>
                <w:color w:val="auto"/>
              </w:rPr>
              <w:t>SUNTRUST BANK</w:t>
            </w:r>
          </w:p>
        </w:tc>
      </w:tr>
      <w:tr>
        <w:trPr>
          <w:trHeight w:val="242"/>
        </w:trPr>
        <w:tc>
          <w:tcPr>
            <w:tcW w:w="980" w:type="dxa"/>
            <w:vAlign w:val="bottom"/>
            <w:tcBorders>
              <w:top w:val="single" w:sz="8" w:color="auto"/>
            </w:tcBorders>
          </w:tcPr>
          <w:p>
            <w:pPr>
              <w:spacing w:after="0"/>
              <w:rPr>
                <w:sz w:val="21"/>
                <w:szCs w:val="21"/>
                <w:color w:val="auto"/>
              </w:rPr>
            </w:pPr>
          </w:p>
        </w:tc>
        <w:tc>
          <w:tcPr>
            <w:tcW w:w="2180" w:type="dxa"/>
            <w:vAlign w:val="bottom"/>
          </w:tcPr>
          <w:p>
            <w:pPr>
              <w:spacing w:after="0"/>
              <w:rPr>
                <w:sz w:val="21"/>
                <w:szCs w:val="21"/>
                <w:color w:val="auto"/>
              </w:rPr>
            </w:pPr>
          </w:p>
        </w:tc>
        <w:tc>
          <w:tcPr>
            <w:tcW w:w="7840" w:type="dxa"/>
            <w:vAlign w:val="bottom"/>
            <w:gridSpan w:val="3"/>
          </w:tcPr>
          <w:p>
            <w:pPr>
              <w:ind w:left="2100"/>
              <w:spacing w:after="0" w:line="242" w:lineRule="exact"/>
              <w:rPr>
                <w:sz w:val="20"/>
                <w:szCs w:val="20"/>
                <w:color w:val="auto"/>
              </w:rPr>
            </w:pPr>
            <w:r>
              <w:rPr>
                <w:rFonts w:ascii="Arial" w:cs="Arial" w:eastAsia="Arial" w:hAnsi="Arial"/>
                <w:sz w:val="22"/>
                <w:szCs w:val="22"/>
                <w:color w:val="auto"/>
                <w:w w:val="89"/>
              </w:rPr>
              <w:t>as Administrative Agent, Swingline Lender, Issuing Bank and as a</w:t>
            </w:r>
          </w:p>
        </w:tc>
      </w:tr>
      <w:tr>
        <w:trPr>
          <w:trHeight w:val="275"/>
        </w:trPr>
        <w:tc>
          <w:tcPr>
            <w:tcW w:w="9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7840" w:type="dxa"/>
            <w:vAlign w:val="bottom"/>
            <w:gridSpan w:val="3"/>
          </w:tcPr>
          <w:p>
            <w:pPr>
              <w:ind w:left="2100"/>
              <w:spacing w:after="0"/>
              <w:rPr>
                <w:sz w:val="20"/>
                <w:szCs w:val="20"/>
                <w:color w:val="auto"/>
              </w:rPr>
            </w:pPr>
            <w:r>
              <w:rPr>
                <w:rFonts w:ascii="Arial" w:cs="Arial" w:eastAsia="Arial" w:hAnsi="Arial"/>
                <w:sz w:val="22"/>
                <w:szCs w:val="22"/>
                <w:color w:val="auto"/>
              </w:rPr>
              <w:t>Lender</w:t>
            </w:r>
          </w:p>
        </w:tc>
      </w:tr>
      <w:tr>
        <w:trPr>
          <w:trHeight w:val="409"/>
        </w:trPr>
        <w:tc>
          <w:tcPr>
            <w:tcW w:w="9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840" w:type="dxa"/>
            <w:vAlign w:val="bottom"/>
            <w:gridSpan w:val="3"/>
          </w:tcPr>
          <w:p>
            <w:pPr>
              <w:ind w:left="2120"/>
              <w:spacing w:after="0"/>
              <w:rPr>
                <w:sz w:val="20"/>
                <w:szCs w:val="20"/>
                <w:color w:val="auto"/>
              </w:rPr>
            </w:pPr>
            <w:r>
              <w:rPr>
                <w:rFonts w:ascii="Arial" w:cs="Arial" w:eastAsia="Arial" w:hAnsi="Arial"/>
                <w:sz w:val="22"/>
                <w:szCs w:val="22"/>
                <w:color w:val="auto"/>
              </w:rPr>
              <w:t>By: /s/ Doug Kennedy</w:t>
            </w:r>
          </w:p>
        </w:tc>
      </w:tr>
      <w:tr>
        <w:trPr>
          <w:trHeight w:val="20"/>
        </w:trPr>
        <w:tc>
          <w:tcPr>
            <w:tcW w:w="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1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42"/>
        </w:trPr>
        <w:tc>
          <w:tcPr>
            <w:tcW w:w="98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7840" w:type="dxa"/>
            <w:vAlign w:val="bottom"/>
            <w:gridSpan w:val="3"/>
          </w:tcPr>
          <w:p>
            <w:pPr>
              <w:ind w:left="2120"/>
              <w:spacing w:after="0" w:line="242" w:lineRule="exact"/>
              <w:rPr>
                <w:sz w:val="20"/>
                <w:szCs w:val="20"/>
                <w:color w:val="auto"/>
              </w:rPr>
            </w:pPr>
            <w:r>
              <w:rPr>
                <w:rFonts w:ascii="Arial" w:cs="Arial" w:eastAsia="Arial" w:hAnsi="Arial"/>
                <w:sz w:val="22"/>
                <w:szCs w:val="22"/>
                <w:color w:val="auto"/>
              </w:rPr>
              <w:t>Name: Doug Kennedy</w:t>
            </w:r>
          </w:p>
        </w:tc>
      </w:tr>
      <w:tr>
        <w:trPr>
          <w:trHeight w:val="275"/>
        </w:trPr>
        <w:tc>
          <w:tcPr>
            <w:tcW w:w="9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7840" w:type="dxa"/>
            <w:vAlign w:val="bottom"/>
            <w:gridSpan w:val="3"/>
          </w:tcPr>
          <w:p>
            <w:pPr>
              <w:ind w:left="2120"/>
              <w:spacing w:after="0"/>
              <w:rPr>
                <w:sz w:val="20"/>
                <w:szCs w:val="20"/>
                <w:color w:val="auto"/>
              </w:rPr>
            </w:pPr>
            <w:r>
              <w:rPr>
                <w:rFonts w:ascii="Arial" w:cs="Arial" w:eastAsia="Arial" w:hAnsi="Arial"/>
                <w:sz w:val="22"/>
                <w:szCs w:val="22"/>
                <w:color w:val="auto"/>
              </w:rPr>
              <w:t>Title: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540"/>
        <w:spacing w:after="0"/>
        <w:rPr>
          <w:sz w:val="20"/>
          <w:szCs w:val="20"/>
          <w:color w:val="auto"/>
        </w:rPr>
      </w:pPr>
      <w:r>
        <w:rPr>
          <w:rFonts w:ascii="Arial" w:cs="Arial" w:eastAsia="Arial" w:hAnsi="Arial"/>
          <w:sz w:val="16"/>
          <w:szCs w:val="16"/>
          <w:i w:val="1"/>
          <w:iCs w:val="1"/>
          <w:color w:val="auto"/>
        </w:rPr>
        <w:t>SIGNATURE PAGE TO SEVENTH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00"/>
          </w:cols>
          <w:pgMar w:left="240" w:top="332" w:right="659" w:bottom="1440" w:gutter="0" w:footer="0" w:header="0"/>
        </w:sectPr>
      </w:pPr>
    </w:p>
    <w:bookmarkStart w:id="79" w:name="page80"/>
    <w:bookmarkEnd w:id="79"/>
    <w:p>
      <w:pPr>
        <w:jc w:val="right"/>
        <w:spacing w:after="0"/>
        <w:rPr>
          <w:sz w:val="20"/>
          <w:szCs w:val="20"/>
          <w:color w:val="auto"/>
        </w:rPr>
      </w:pPr>
      <w:r>
        <w:rPr>
          <w:rFonts w:ascii="Arial" w:cs="Arial" w:eastAsia="Arial" w:hAnsi="Arial"/>
          <w:sz w:val="22"/>
          <w:szCs w:val="22"/>
          <w:color w:val="auto"/>
        </w:rPr>
        <w:t>JPMORGAN CHASE BANK, N.A., as Issuing Bank and as a Lender</w:t>
      </w:r>
    </w:p>
    <w:p>
      <w:pPr>
        <w:spacing w:after="0" w:line="206"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Matthew Griffith</w:t>
      </w:r>
    </w:p>
    <w:p>
      <w:pPr>
        <w:ind w:left="4080"/>
        <w:spacing w:after="0" w:line="238" w:lineRule="auto"/>
        <w:rPr>
          <w:sz w:val="20"/>
          <w:szCs w:val="20"/>
          <w:color w:val="auto"/>
        </w:rPr>
      </w:pPr>
      <w:r>
        <w:rPr>
          <w:rFonts w:ascii="Arial" w:cs="Arial" w:eastAsia="Arial" w:hAnsi="Arial"/>
          <w:sz w:val="22"/>
          <w:szCs w:val="22"/>
          <w:color w:val="auto"/>
        </w:rPr>
        <w:t>Name: Matthew Griffith</w:t>
      </w:r>
    </w:p>
    <w:p>
      <w:pPr>
        <w:ind w:left="4080"/>
        <w:spacing w:after="0"/>
        <w:rPr>
          <w:sz w:val="20"/>
          <w:szCs w:val="20"/>
          <w:color w:val="auto"/>
        </w:rPr>
      </w:pPr>
      <w:r>
        <w:rPr>
          <w:rFonts w:ascii="Arial" w:cs="Arial" w:eastAsia="Arial" w:hAnsi="Arial"/>
          <w:sz w:val="22"/>
          <w:szCs w:val="22"/>
          <w:color w:val="auto"/>
        </w:rPr>
        <w:t>Title: Executive Director – J.P Morgan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SIGNATURE PAGE TO SEVENTH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73660</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080"/>
          </w:cols>
          <w:pgMar w:left="1440" w:top="361" w:right="379" w:bottom="1440" w:gutter="0" w:footer="0" w:header="0"/>
        </w:sectPr>
      </w:pPr>
    </w:p>
    <w:bookmarkStart w:id="80" w:name="page81"/>
    <w:bookmarkEnd w:id="80"/>
    <w:p>
      <w:pPr>
        <w:jc w:val="right"/>
        <w:ind w:right="1819"/>
        <w:spacing w:after="0"/>
        <w:rPr>
          <w:sz w:val="20"/>
          <w:szCs w:val="20"/>
          <w:color w:val="auto"/>
        </w:rPr>
      </w:pPr>
      <w:r>
        <w:rPr>
          <w:rFonts w:ascii="Arial" w:cs="Arial" w:eastAsia="Arial" w:hAnsi="Arial"/>
          <w:sz w:val="22"/>
          <w:szCs w:val="22"/>
          <w:color w:val="auto"/>
        </w:rPr>
        <w:t>Bank of America, N.A., as a Lender</w:t>
      </w:r>
    </w:p>
    <w:p>
      <w:pPr>
        <w:spacing w:after="0" w:line="206"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Manisha Kumar</w:t>
      </w:r>
    </w:p>
    <w:p>
      <w:pPr>
        <w:ind w:left="4080"/>
        <w:spacing w:after="0" w:line="238" w:lineRule="auto"/>
        <w:rPr>
          <w:sz w:val="20"/>
          <w:szCs w:val="20"/>
          <w:color w:val="auto"/>
        </w:rPr>
      </w:pPr>
      <w:r>
        <w:rPr>
          <w:rFonts w:ascii="Arial" w:cs="Arial" w:eastAsia="Arial" w:hAnsi="Arial"/>
          <w:sz w:val="22"/>
          <w:szCs w:val="22"/>
          <w:color w:val="auto"/>
        </w:rPr>
        <w:t>Name: Manisha Kumar</w:t>
      </w:r>
    </w:p>
    <w:p>
      <w:pPr>
        <w:ind w:left="408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SIGNATURE PAGE TO SEVENTH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73660</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81" w:name="page82"/>
    <w:bookmarkEnd w:id="81"/>
    <w:p>
      <w:pPr>
        <w:jc w:val="right"/>
        <w:ind w:right="2259"/>
        <w:spacing w:after="0"/>
        <w:rPr>
          <w:sz w:val="20"/>
          <w:szCs w:val="20"/>
          <w:color w:val="auto"/>
        </w:rPr>
      </w:pPr>
      <w:r>
        <w:rPr>
          <w:rFonts w:ascii="Arial" w:cs="Arial" w:eastAsia="Arial" w:hAnsi="Arial"/>
          <w:sz w:val="22"/>
          <w:szCs w:val="22"/>
          <w:color w:val="auto"/>
        </w:rPr>
        <w:t>BankUnited, N.A., as a Lender</w:t>
      </w:r>
    </w:p>
    <w:p>
      <w:pPr>
        <w:spacing w:after="0" w:line="206"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Paul Ferrara</w:t>
      </w:r>
    </w:p>
    <w:p>
      <w:pPr>
        <w:ind w:left="4080"/>
        <w:spacing w:after="0" w:line="238" w:lineRule="auto"/>
        <w:rPr>
          <w:sz w:val="20"/>
          <w:szCs w:val="20"/>
          <w:color w:val="auto"/>
        </w:rPr>
      </w:pPr>
      <w:r>
        <w:rPr>
          <w:rFonts w:ascii="Arial" w:cs="Arial" w:eastAsia="Arial" w:hAnsi="Arial"/>
          <w:sz w:val="22"/>
          <w:szCs w:val="22"/>
          <w:color w:val="auto"/>
        </w:rPr>
        <w:t>Name: Paul Ferrara</w:t>
      </w:r>
    </w:p>
    <w:p>
      <w:pPr>
        <w:ind w:left="408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SIGNATURE PAGE TO SEVENTH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73660</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82" w:name="page83"/>
    <w:bookmarkEnd w:id="82"/>
    <w:p>
      <w:pPr>
        <w:jc w:val="right"/>
        <w:ind w:right="2299"/>
        <w:spacing w:after="0"/>
        <w:rPr>
          <w:sz w:val="20"/>
          <w:szCs w:val="20"/>
          <w:color w:val="auto"/>
        </w:rPr>
      </w:pPr>
      <w:r>
        <w:rPr>
          <w:rFonts w:ascii="Arial" w:cs="Arial" w:eastAsia="Arial" w:hAnsi="Arial"/>
          <w:sz w:val="22"/>
          <w:szCs w:val="22"/>
          <w:color w:val="auto"/>
        </w:rPr>
        <w:t>CIT Finance LLC, as a Lender</w:t>
      </w:r>
    </w:p>
    <w:p>
      <w:pPr>
        <w:spacing w:after="0" w:line="206"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Robert L. Klein</w:t>
      </w:r>
    </w:p>
    <w:p>
      <w:pPr>
        <w:ind w:left="4080"/>
        <w:spacing w:after="0" w:line="238" w:lineRule="auto"/>
        <w:rPr>
          <w:sz w:val="20"/>
          <w:szCs w:val="20"/>
          <w:color w:val="auto"/>
        </w:rPr>
      </w:pPr>
      <w:r>
        <w:rPr>
          <w:rFonts w:ascii="Arial" w:cs="Arial" w:eastAsia="Arial" w:hAnsi="Arial"/>
          <w:sz w:val="22"/>
          <w:szCs w:val="22"/>
          <w:color w:val="auto"/>
        </w:rPr>
        <w:t>Name: Robert L. Klein</w:t>
      </w:r>
    </w:p>
    <w:p>
      <w:pPr>
        <w:ind w:left="408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SIGNATURE PAGE TO SEVENTH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73660</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83" w:name="page84"/>
    <w:bookmarkEnd w:id="83"/>
    <w:p>
      <w:pPr>
        <w:jc w:val="right"/>
        <w:ind w:right="2559"/>
        <w:spacing w:after="0"/>
        <w:rPr>
          <w:sz w:val="20"/>
          <w:szCs w:val="20"/>
          <w:color w:val="auto"/>
        </w:rPr>
      </w:pPr>
      <w:r>
        <w:rPr>
          <w:rFonts w:ascii="Arial" w:cs="Arial" w:eastAsia="Arial" w:hAnsi="Arial"/>
          <w:sz w:val="22"/>
          <w:szCs w:val="22"/>
          <w:color w:val="auto"/>
        </w:rPr>
        <w:t>Citibank, N.A., as a Lender</w:t>
      </w:r>
    </w:p>
    <w:p>
      <w:pPr>
        <w:spacing w:after="0" w:line="206"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Erik Andersen</w:t>
      </w:r>
    </w:p>
    <w:p>
      <w:pPr>
        <w:ind w:left="4080"/>
        <w:spacing w:after="0" w:line="238" w:lineRule="auto"/>
        <w:rPr>
          <w:sz w:val="20"/>
          <w:szCs w:val="20"/>
          <w:color w:val="auto"/>
        </w:rPr>
      </w:pPr>
      <w:r>
        <w:rPr>
          <w:rFonts w:ascii="Arial" w:cs="Arial" w:eastAsia="Arial" w:hAnsi="Arial"/>
          <w:sz w:val="22"/>
          <w:szCs w:val="22"/>
          <w:color w:val="auto"/>
        </w:rPr>
        <w:t>Name: Erik Andersen</w:t>
      </w:r>
    </w:p>
    <w:p>
      <w:pPr>
        <w:ind w:left="408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SIGNATURE PAGE TO SEVENTH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73660</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84" w:name="page85"/>
    <w:bookmarkEnd w:id="84"/>
    <w:p>
      <w:pPr>
        <w:jc w:val="right"/>
        <w:ind w:right="999"/>
        <w:spacing w:after="0"/>
        <w:rPr>
          <w:sz w:val="20"/>
          <w:szCs w:val="20"/>
          <w:color w:val="auto"/>
        </w:rPr>
      </w:pPr>
      <w:r>
        <w:rPr>
          <w:rFonts w:ascii="Arial" w:cs="Arial" w:eastAsia="Arial" w:hAnsi="Arial"/>
          <w:sz w:val="22"/>
          <w:szCs w:val="22"/>
          <w:color w:val="auto"/>
        </w:rPr>
        <w:t>CITY NATIONAL BANK, N.A., as a Lender</w:t>
      </w:r>
    </w:p>
    <w:p>
      <w:pPr>
        <w:spacing w:after="0" w:line="206"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Brandon L. Feitelson</w:t>
      </w:r>
    </w:p>
    <w:p>
      <w:pPr>
        <w:ind w:left="4080"/>
        <w:spacing w:after="0" w:line="238" w:lineRule="auto"/>
        <w:rPr>
          <w:sz w:val="20"/>
          <w:szCs w:val="20"/>
          <w:color w:val="auto"/>
        </w:rPr>
      </w:pPr>
      <w:r>
        <w:rPr>
          <w:rFonts w:ascii="Arial" w:cs="Arial" w:eastAsia="Arial" w:hAnsi="Arial"/>
          <w:sz w:val="22"/>
          <w:szCs w:val="22"/>
          <w:color w:val="auto"/>
        </w:rPr>
        <w:t>Name: Brandon L. Feitelson, C.F.A.</w:t>
      </w:r>
    </w:p>
    <w:p>
      <w:pPr>
        <w:ind w:left="408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SIGNATURE PAGE TO SEVENTH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73660</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85" w:name="page86"/>
    <w:bookmarkEnd w:id="85"/>
    <w:p>
      <w:pPr>
        <w:jc w:val="right"/>
        <w:ind w:right="2499"/>
        <w:spacing w:after="0"/>
        <w:rPr>
          <w:sz w:val="20"/>
          <w:szCs w:val="20"/>
          <w:color w:val="auto"/>
        </w:rPr>
      </w:pPr>
      <w:r>
        <w:rPr>
          <w:rFonts w:ascii="Arial" w:cs="Arial" w:eastAsia="Arial" w:hAnsi="Arial"/>
          <w:sz w:val="22"/>
          <w:szCs w:val="22"/>
          <w:color w:val="auto"/>
        </w:rPr>
        <w:t>Comerica Bank, as a Lender</w:t>
      </w:r>
    </w:p>
    <w:p>
      <w:pPr>
        <w:spacing w:after="0" w:line="206"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Robert Wilson</w:t>
      </w:r>
    </w:p>
    <w:p>
      <w:pPr>
        <w:ind w:left="4080"/>
        <w:spacing w:after="0" w:line="238" w:lineRule="auto"/>
        <w:rPr>
          <w:sz w:val="20"/>
          <w:szCs w:val="20"/>
          <w:color w:val="auto"/>
        </w:rPr>
      </w:pPr>
      <w:r>
        <w:rPr>
          <w:rFonts w:ascii="Arial" w:cs="Arial" w:eastAsia="Arial" w:hAnsi="Arial"/>
          <w:sz w:val="22"/>
          <w:szCs w:val="22"/>
          <w:color w:val="auto"/>
        </w:rPr>
        <w:t>Name: Robert Wilson</w:t>
      </w:r>
    </w:p>
    <w:p>
      <w:pPr>
        <w:ind w:left="408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SIGNATURE PAGE TO SEVENTH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73660</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86" w:name="page87"/>
    <w:bookmarkEnd w:id="86"/>
    <w:p>
      <w:pPr>
        <w:jc w:val="right"/>
        <w:ind w:right="839"/>
        <w:spacing w:after="0"/>
        <w:rPr>
          <w:sz w:val="20"/>
          <w:szCs w:val="20"/>
          <w:color w:val="auto"/>
        </w:rPr>
      </w:pPr>
      <w:r>
        <w:rPr>
          <w:rFonts w:ascii="Arial" w:cs="Arial" w:eastAsia="Arial" w:hAnsi="Arial"/>
          <w:sz w:val="22"/>
          <w:szCs w:val="22"/>
          <w:color w:val="auto"/>
        </w:rPr>
        <w:t>GOLDMAN SACHS BANK USA, as a Lender</w:t>
      </w:r>
    </w:p>
    <w:p>
      <w:pPr>
        <w:spacing w:after="0" w:line="206"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Jamie Minieri</w:t>
      </w:r>
    </w:p>
    <w:p>
      <w:pPr>
        <w:ind w:left="4080"/>
        <w:spacing w:after="0" w:line="238" w:lineRule="auto"/>
        <w:rPr>
          <w:sz w:val="20"/>
          <w:szCs w:val="20"/>
          <w:color w:val="auto"/>
        </w:rPr>
      </w:pPr>
      <w:r>
        <w:rPr>
          <w:rFonts w:ascii="Arial" w:cs="Arial" w:eastAsia="Arial" w:hAnsi="Arial"/>
          <w:sz w:val="22"/>
          <w:szCs w:val="22"/>
          <w:color w:val="auto"/>
        </w:rPr>
        <w:t>Name: Jamie Minieri</w:t>
      </w:r>
    </w:p>
    <w:p>
      <w:pPr>
        <w:ind w:left="408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SIGNATURE PAGE TO SEVENTH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73660</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87" w:name="page88"/>
    <w:bookmarkEnd w:id="87"/>
    <w:p>
      <w:pPr>
        <w:jc w:val="right"/>
        <w:ind w:right="1759"/>
        <w:spacing w:after="0"/>
        <w:rPr>
          <w:sz w:val="20"/>
          <w:szCs w:val="20"/>
          <w:color w:val="auto"/>
        </w:rPr>
      </w:pPr>
      <w:r>
        <w:rPr>
          <w:rFonts w:ascii="Arial" w:cs="Arial" w:eastAsia="Arial" w:hAnsi="Arial"/>
          <w:sz w:val="22"/>
          <w:szCs w:val="22"/>
          <w:color w:val="auto"/>
        </w:rPr>
        <w:t>HSBC Bank USA, N.A., as a Lender</w:t>
      </w:r>
    </w:p>
    <w:p>
      <w:pPr>
        <w:spacing w:after="0" w:line="206"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Shubhendu Kudaisya</w:t>
      </w:r>
    </w:p>
    <w:p>
      <w:pPr>
        <w:ind w:left="4080"/>
        <w:spacing w:after="0" w:line="238" w:lineRule="auto"/>
        <w:rPr>
          <w:sz w:val="20"/>
          <w:szCs w:val="20"/>
          <w:color w:val="auto"/>
        </w:rPr>
      </w:pPr>
      <w:r>
        <w:rPr>
          <w:rFonts w:ascii="Arial" w:cs="Arial" w:eastAsia="Arial" w:hAnsi="Arial"/>
          <w:sz w:val="22"/>
          <w:szCs w:val="22"/>
          <w:color w:val="auto"/>
        </w:rPr>
        <w:t>Name: Shubhendu Kudaisya</w:t>
      </w:r>
    </w:p>
    <w:p>
      <w:pPr>
        <w:ind w:left="4080"/>
        <w:spacing w:after="0"/>
        <w:rPr>
          <w:sz w:val="20"/>
          <w:szCs w:val="20"/>
          <w:color w:val="auto"/>
        </w:rPr>
      </w:pPr>
      <w:r>
        <w:rPr>
          <w:rFonts w:ascii="Arial" w:cs="Arial" w:eastAsia="Arial" w:hAnsi="Arial"/>
          <w:sz w:val="22"/>
          <w:szCs w:val="22"/>
          <w:color w:val="auto"/>
        </w:rPr>
        <w:t>Title: SVP, Structured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SIGNATURE PAGE TO SEVENTH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73660</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88" w:name="page89"/>
    <w:bookmarkEnd w:id="88"/>
    <w:p>
      <w:pPr>
        <w:jc w:val="right"/>
        <w:ind w:right="2199"/>
        <w:spacing w:after="0"/>
        <w:rPr>
          <w:sz w:val="20"/>
          <w:szCs w:val="20"/>
          <w:color w:val="auto"/>
        </w:rPr>
      </w:pPr>
      <w:r>
        <w:rPr>
          <w:rFonts w:ascii="Arial" w:cs="Arial" w:eastAsia="Arial" w:hAnsi="Arial"/>
          <w:sz w:val="22"/>
          <w:szCs w:val="22"/>
          <w:color w:val="auto"/>
        </w:rPr>
        <w:t>Mizuho Bank, Ltd., as a Lender</w:t>
      </w:r>
    </w:p>
    <w:p>
      <w:pPr>
        <w:spacing w:after="0" w:line="206"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Raymond Ventura</w:t>
      </w:r>
    </w:p>
    <w:p>
      <w:pPr>
        <w:ind w:left="4080"/>
        <w:spacing w:after="0" w:line="238" w:lineRule="auto"/>
        <w:rPr>
          <w:sz w:val="20"/>
          <w:szCs w:val="20"/>
          <w:color w:val="auto"/>
        </w:rPr>
      </w:pPr>
      <w:r>
        <w:rPr>
          <w:rFonts w:ascii="Arial" w:cs="Arial" w:eastAsia="Arial" w:hAnsi="Arial"/>
          <w:sz w:val="22"/>
          <w:szCs w:val="22"/>
          <w:color w:val="auto"/>
        </w:rPr>
        <w:t>Name: Raymond Ventura</w:t>
      </w:r>
    </w:p>
    <w:p>
      <w:pPr>
        <w:ind w:left="408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SIGNATURE PAGE TO SEVENTH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73660</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89" w:name="page90"/>
    <w:bookmarkEnd w:id="89"/>
    <w:p>
      <w:pPr>
        <w:jc w:val="right"/>
        <w:ind w:right="1419"/>
        <w:spacing w:after="0"/>
        <w:rPr>
          <w:sz w:val="20"/>
          <w:szCs w:val="20"/>
          <w:color w:val="auto"/>
        </w:rPr>
      </w:pPr>
      <w:r>
        <w:rPr>
          <w:rFonts w:ascii="Arial" w:cs="Arial" w:eastAsia="Arial" w:hAnsi="Arial"/>
          <w:sz w:val="22"/>
          <w:szCs w:val="22"/>
          <w:color w:val="auto"/>
        </w:rPr>
        <w:t>Morgan Stanley Bank, N.A., as a Lender</w:t>
      </w:r>
    </w:p>
    <w:p>
      <w:pPr>
        <w:spacing w:after="0" w:line="206"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Emanuel Ma</w:t>
      </w:r>
    </w:p>
    <w:p>
      <w:pPr>
        <w:ind w:left="4080"/>
        <w:spacing w:after="0" w:line="238" w:lineRule="auto"/>
        <w:rPr>
          <w:sz w:val="20"/>
          <w:szCs w:val="20"/>
          <w:color w:val="auto"/>
        </w:rPr>
      </w:pPr>
      <w:r>
        <w:rPr>
          <w:rFonts w:ascii="Arial" w:cs="Arial" w:eastAsia="Arial" w:hAnsi="Arial"/>
          <w:sz w:val="22"/>
          <w:szCs w:val="22"/>
          <w:color w:val="auto"/>
        </w:rPr>
        <w:t>Name: Emanuel Ma</w:t>
      </w:r>
    </w:p>
    <w:p>
      <w:pPr>
        <w:ind w:left="408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SIGNATURE PAGE TO SEVENTH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73660</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90" w:name="page91"/>
    <w:bookmarkEnd w:id="90"/>
    <w:p>
      <w:pPr>
        <w:jc w:val="right"/>
        <w:ind w:right="1939"/>
        <w:spacing w:after="0"/>
        <w:rPr>
          <w:sz w:val="20"/>
          <w:szCs w:val="20"/>
          <w:color w:val="auto"/>
        </w:rPr>
      </w:pPr>
      <w:r>
        <w:rPr>
          <w:rFonts w:ascii="Arial" w:cs="Arial" w:eastAsia="Arial" w:hAnsi="Arial"/>
          <w:sz w:val="22"/>
          <w:szCs w:val="22"/>
          <w:color w:val="auto"/>
        </w:rPr>
        <w:t>Santander Bank, N.A., as a Lender</w:t>
      </w:r>
    </w:p>
    <w:p>
      <w:pPr>
        <w:spacing w:after="0" w:line="206"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Pierre A Desbiens</w:t>
      </w:r>
    </w:p>
    <w:p>
      <w:pPr>
        <w:ind w:left="4080"/>
        <w:spacing w:after="0" w:line="238" w:lineRule="auto"/>
        <w:rPr>
          <w:sz w:val="20"/>
          <w:szCs w:val="20"/>
          <w:color w:val="auto"/>
        </w:rPr>
      </w:pPr>
      <w:r>
        <w:rPr>
          <w:rFonts w:ascii="Arial" w:cs="Arial" w:eastAsia="Arial" w:hAnsi="Arial"/>
          <w:sz w:val="22"/>
          <w:szCs w:val="22"/>
          <w:color w:val="auto"/>
        </w:rPr>
        <w:t>Name: Pierre A Desbiens</w:t>
      </w:r>
    </w:p>
    <w:p>
      <w:pPr>
        <w:ind w:left="4080"/>
        <w:spacing w:after="0"/>
        <w:rPr>
          <w:sz w:val="20"/>
          <w:szCs w:val="20"/>
          <w:color w:val="auto"/>
        </w:rPr>
      </w:pPr>
      <w:r>
        <w:rPr>
          <w:rFonts w:ascii="Arial" w:cs="Arial" w:eastAsia="Arial" w:hAnsi="Arial"/>
          <w:sz w:val="22"/>
          <w:szCs w:val="22"/>
          <w:color w:val="auto"/>
        </w:rPr>
        <w:t>Title: SVP</w:t>
      </w:r>
    </w:p>
    <w:p>
      <w:pPr>
        <w:spacing w:after="0" w:line="200" w:lineRule="exact"/>
        <w:rPr>
          <w:sz w:val="20"/>
          <w:szCs w:val="20"/>
          <w:color w:val="auto"/>
        </w:rPr>
      </w:pPr>
    </w:p>
    <w:p>
      <w:pPr>
        <w:spacing w:after="0" w:line="204"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Mark Metsky</w:t>
      </w:r>
    </w:p>
    <w:p>
      <w:pPr>
        <w:ind w:left="4080"/>
        <w:spacing w:after="0" w:line="238" w:lineRule="auto"/>
        <w:rPr>
          <w:sz w:val="20"/>
          <w:szCs w:val="20"/>
          <w:color w:val="auto"/>
        </w:rPr>
      </w:pPr>
      <w:r>
        <w:rPr>
          <w:rFonts w:ascii="Arial" w:cs="Arial" w:eastAsia="Arial" w:hAnsi="Arial"/>
          <w:sz w:val="22"/>
          <w:szCs w:val="22"/>
          <w:color w:val="auto"/>
        </w:rPr>
        <w:t>Name: Mark Metsky</w:t>
      </w:r>
    </w:p>
    <w:p>
      <w:pPr>
        <w:ind w:left="4080"/>
        <w:spacing w:after="0"/>
        <w:rPr>
          <w:sz w:val="20"/>
          <w:szCs w:val="20"/>
          <w:color w:val="auto"/>
        </w:rPr>
      </w:pPr>
      <w:r>
        <w:rPr>
          <w:rFonts w:ascii="Arial" w:cs="Arial" w:eastAsia="Arial" w:hAnsi="Arial"/>
          <w:sz w:val="22"/>
          <w:szCs w:val="22"/>
          <w:color w:val="auto"/>
        </w:rPr>
        <w:t>Title: SVP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SIGNATURE PAGE TO SEVENTH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73660</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91" w:name="page92"/>
    <w:bookmarkEnd w:id="91"/>
    <w:p>
      <w:pPr>
        <w:ind w:left="4080"/>
        <w:spacing w:after="0"/>
        <w:rPr>
          <w:sz w:val="20"/>
          <w:szCs w:val="20"/>
          <w:color w:val="auto"/>
        </w:rPr>
      </w:pPr>
      <w:r>
        <w:rPr>
          <w:rFonts w:ascii="Arial" w:cs="Arial" w:eastAsia="Arial" w:hAnsi="Arial"/>
          <w:sz w:val="19"/>
          <w:szCs w:val="19"/>
          <w:color w:val="auto"/>
        </w:rPr>
        <w:t>Signature Bank, as a Lender</w:t>
      </w:r>
    </w:p>
    <w:p>
      <w:pPr>
        <w:spacing w:after="0" w:line="241" w:lineRule="exact"/>
        <w:rPr>
          <w:sz w:val="20"/>
          <w:szCs w:val="20"/>
          <w:color w:val="auto"/>
        </w:rPr>
      </w:pPr>
    </w:p>
    <w:p>
      <w:pPr>
        <w:ind w:left="408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Charles W. Newcomb</w:t>
      </w:r>
    </w:p>
    <w:p>
      <w:pPr>
        <w:spacing w:after="0" w:line="43" w:lineRule="exact"/>
        <w:rPr>
          <w:sz w:val="20"/>
          <w:szCs w:val="20"/>
          <w:color w:val="auto"/>
        </w:rPr>
      </w:pPr>
    </w:p>
    <w:p>
      <w:pPr>
        <w:ind w:left="4080"/>
        <w:spacing w:after="0"/>
        <w:rPr>
          <w:sz w:val="20"/>
          <w:szCs w:val="20"/>
          <w:color w:val="auto"/>
        </w:rPr>
      </w:pPr>
      <w:r>
        <w:rPr>
          <w:rFonts w:ascii="Arial" w:cs="Arial" w:eastAsia="Arial" w:hAnsi="Arial"/>
          <w:sz w:val="19"/>
          <w:szCs w:val="19"/>
          <w:color w:val="auto"/>
        </w:rPr>
        <w:t>Name: Charles W. Newcomb</w:t>
      </w:r>
    </w:p>
    <w:p>
      <w:pPr>
        <w:spacing w:after="0" w:line="25"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SIGNATURE PAGE TO SEVENTH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73660</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92" w:name="page93"/>
    <w:bookmarkEnd w:id="92"/>
    <w:p>
      <w:pPr>
        <w:jc w:val="right"/>
        <w:spacing w:after="0"/>
        <w:rPr>
          <w:sz w:val="20"/>
          <w:szCs w:val="20"/>
          <w:color w:val="auto"/>
        </w:rPr>
      </w:pPr>
      <w:r>
        <w:rPr>
          <w:rFonts w:ascii="Arial" w:cs="Arial" w:eastAsia="Arial" w:hAnsi="Arial"/>
          <w:sz w:val="22"/>
          <w:szCs w:val="22"/>
          <w:color w:val="auto"/>
        </w:rPr>
        <w:t>STATE STREET BANK AND TRUST COMPANY, as a Lender</w:t>
      </w:r>
    </w:p>
    <w:p>
      <w:pPr>
        <w:spacing w:after="0" w:line="206"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Pallo Blum-Tucker</w:t>
      </w:r>
    </w:p>
    <w:p>
      <w:pPr>
        <w:ind w:left="4080"/>
        <w:spacing w:after="0" w:line="238" w:lineRule="auto"/>
        <w:rPr>
          <w:sz w:val="20"/>
          <w:szCs w:val="20"/>
          <w:color w:val="auto"/>
        </w:rPr>
      </w:pPr>
      <w:r>
        <w:rPr>
          <w:rFonts w:ascii="Arial" w:cs="Arial" w:eastAsia="Arial" w:hAnsi="Arial"/>
          <w:sz w:val="22"/>
          <w:szCs w:val="22"/>
          <w:color w:val="auto"/>
        </w:rPr>
        <w:t>Name: Pallo Blum-Tucker</w:t>
      </w:r>
    </w:p>
    <w:p>
      <w:pPr>
        <w:ind w:left="408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SIGNATURE PAGE TO SEVENTH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73660</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660"/>
          </w:cols>
          <w:pgMar w:left="1440" w:top="361" w:right="799" w:bottom="1440" w:gutter="0" w:footer="0" w:header="0"/>
        </w:sectPr>
      </w:pPr>
    </w:p>
    <w:bookmarkStart w:id="93" w:name="page94"/>
    <w:bookmarkEnd w:id="93"/>
    <w:p>
      <w:pPr>
        <w:jc w:val="right"/>
        <w:ind w:right="2139"/>
        <w:spacing w:after="0"/>
        <w:rPr>
          <w:sz w:val="20"/>
          <w:szCs w:val="20"/>
          <w:color w:val="auto"/>
        </w:rPr>
      </w:pPr>
      <w:r>
        <w:rPr>
          <w:rFonts w:ascii="Arial" w:cs="Arial" w:eastAsia="Arial" w:hAnsi="Arial"/>
          <w:sz w:val="22"/>
          <w:szCs w:val="22"/>
          <w:color w:val="auto"/>
        </w:rPr>
        <w:t>Stifel Bank &amp; Trust, as a Lender</w:t>
      </w:r>
    </w:p>
    <w:p>
      <w:pPr>
        <w:spacing w:after="0" w:line="206"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Joseph L. Sooter, Jr.</w:t>
      </w:r>
    </w:p>
    <w:p>
      <w:pPr>
        <w:ind w:left="4080"/>
        <w:spacing w:after="0" w:line="238" w:lineRule="auto"/>
        <w:rPr>
          <w:sz w:val="20"/>
          <w:szCs w:val="20"/>
          <w:color w:val="auto"/>
        </w:rPr>
      </w:pPr>
      <w:r>
        <w:rPr>
          <w:rFonts w:ascii="Arial" w:cs="Arial" w:eastAsia="Arial" w:hAnsi="Arial"/>
          <w:sz w:val="22"/>
          <w:szCs w:val="22"/>
          <w:color w:val="auto"/>
        </w:rPr>
        <w:t>Name: Joseph L. Sooter, Jr.</w:t>
      </w:r>
    </w:p>
    <w:p>
      <w:pPr>
        <w:ind w:left="408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SIGNATURE PAGE TO SEVENTH AMENDMENT – TPG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73660</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94" w:name="page95"/>
    <w:bookmarkEnd w:id="94"/>
    <w:p>
      <w:pPr>
        <w:jc w:val="right"/>
        <w:spacing w:after="0"/>
        <w:rPr>
          <w:sz w:val="20"/>
          <w:szCs w:val="20"/>
          <w:color w:val="auto"/>
        </w:rPr>
      </w:pPr>
      <w:r>
        <w:rPr>
          <w:rFonts w:ascii="Arial" w:cs="Arial" w:eastAsia="Arial" w:hAnsi="Arial"/>
          <w:sz w:val="22"/>
          <w:szCs w:val="22"/>
          <w:color w:val="auto"/>
        </w:rPr>
        <w:t xml:space="preserve">Agreed and acknowledged solely with respect to </w:t>
      </w:r>
      <w:r>
        <w:rPr>
          <w:rFonts w:ascii="Arial" w:cs="Arial" w:eastAsia="Arial" w:hAnsi="Arial"/>
          <w:sz w:val="22"/>
          <w:szCs w:val="22"/>
          <w:u w:val="single" w:color="auto"/>
          <w:color w:val="auto"/>
        </w:rPr>
        <w:t>Section 4.8</w:t>
      </w:r>
    </w:p>
    <w:p>
      <w:pPr>
        <w:spacing w:after="0" w:line="200"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TC LENDING, LLC</w:t>
      </w:r>
    </w:p>
    <w:p>
      <w:pPr>
        <w:spacing w:after="0" w:line="212"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2785745</wp:posOffset>
            </wp:positionH>
            <wp:positionV relativeFrom="paragraph">
              <wp:posOffset>-17780</wp:posOffset>
            </wp:positionV>
            <wp:extent cx="99504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ind w:left="4080"/>
        <w:spacing w:after="0" w:line="238" w:lineRule="auto"/>
        <w:rPr>
          <w:sz w:val="20"/>
          <w:szCs w:val="20"/>
          <w:color w:val="auto"/>
        </w:rPr>
      </w:pPr>
      <w:r>
        <w:rPr>
          <w:rFonts w:ascii="Arial" w:cs="Arial" w:eastAsia="Arial" w:hAnsi="Arial"/>
          <w:sz w:val="22"/>
          <w:szCs w:val="22"/>
          <w:color w:val="auto"/>
        </w:rPr>
        <w:t>Name: Ian Simmonds</w:t>
      </w:r>
    </w:p>
    <w:p>
      <w:pPr>
        <w:ind w:left="408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25"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TSL MR, LLC</w:t>
      </w:r>
    </w:p>
    <w:p>
      <w:pPr>
        <w:spacing w:after="0" w:line="212"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2785745</wp:posOffset>
            </wp:positionH>
            <wp:positionV relativeFrom="paragraph">
              <wp:posOffset>-17780</wp:posOffset>
            </wp:positionV>
            <wp:extent cx="99504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ind w:left="4080"/>
        <w:spacing w:after="0" w:line="238" w:lineRule="auto"/>
        <w:rPr>
          <w:sz w:val="20"/>
          <w:szCs w:val="20"/>
          <w:color w:val="auto"/>
        </w:rPr>
      </w:pPr>
      <w:r>
        <w:rPr>
          <w:rFonts w:ascii="Arial" w:cs="Arial" w:eastAsia="Arial" w:hAnsi="Arial"/>
          <w:sz w:val="22"/>
          <w:szCs w:val="22"/>
          <w:color w:val="auto"/>
        </w:rPr>
        <w:t>Name: Ian Simmonds</w:t>
      </w:r>
    </w:p>
    <w:p>
      <w:pPr>
        <w:ind w:left="408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TPG SL SPV, LLC</w:t>
      </w:r>
    </w:p>
    <w:p>
      <w:pPr>
        <w:spacing w:after="0" w:line="212"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Ian Simmonds</w:t>
      </w:r>
    </w:p>
    <w:p>
      <w:pPr>
        <w:ind w:left="4080"/>
        <w:spacing w:after="0" w:line="238" w:lineRule="auto"/>
        <w:rPr>
          <w:sz w:val="20"/>
          <w:szCs w:val="20"/>
          <w:color w:val="auto"/>
        </w:rPr>
      </w:pPr>
      <w:r>
        <w:rPr>
          <w:rFonts w:ascii="Arial" w:cs="Arial" w:eastAsia="Arial" w:hAnsi="Arial"/>
          <w:sz w:val="22"/>
          <w:szCs w:val="22"/>
          <w:color w:val="auto"/>
        </w:rPr>
        <w:t>Name: Ian Simmonds</w:t>
      </w:r>
    </w:p>
    <w:p>
      <w:pPr>
        <w:ind w:left="408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SIGNATURE PAGE TO SEVENTH AMENDMENT – TPG</w:t>
      </w:r>
    </w:p>
    <w:p>
      <w:pPr>
        <w:sectPr>
          <w:pgSz w:w="11900" w:h="16838" w:orient="portrait"/>
          <w:cols w:equalWidth="0" w:num="1">
            <w:col w:w="9360"/>
          </w:cols>
          <w:pgMar w:left="1440" w:top="361" w:right="109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Joshua Easterly, certify that:</w:t>
      </w:r>
    </w:p>
    <w:p>
      <w:pPr>
        <w:spacing w:after="0" w:line="117" w:lineRule="exact"/>
        <w:rPr>
          <w:sz w:val="20"/>
          <w:szCs w:val="20"/>
          <w:color w:val="auto"/>
        </w:rPr>
      </w:pPr>
    </w:p>
    <w:p>
      <w:pPr>
        <w:ind w:left="780" w:hanging="515"/>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117" w:lineRule="exact"/>
        <w:rPr>
          <w:rFonts w:ascii="Arial" w:cs="Arial" w:eastAsia="Arial" w:hAnsi="Arial"/>
          <w:sz w:val="18"/>
          <w:szCs w:val="18"/>
          <w:color w:val="auto"/>
        </w:rPr>
      </w:pPr>
    </w:p>
    <w:p>
      <w:pPr>
        <w:jc w:val="both"/>
        <w:ind w:left="780" w:right="180" w:hanging="515"/>
        <w:spacing w:after="0" w:line="264" w:lineRule="auto"/>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80" w:right="140" w:hanging="515"/>
        <w:spacing w:after="0" w:line="308" w:lineRule="auto"/>
        <w:tabs>
          <w:tab w:leader="none" w:pos="7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80" w:right="160" w:hanging="515"/>
        <w:spacing w:after="0" w:line="264" w:lineRule="auto"/>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100" w:hanging="522"/>
        <w:spacing w:after="0" w:line="264"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40" w:hanging="522"/>
        <w:spacing w:after="0" w:line="264"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400" w:hanging="522"/>
        <w:spacing w:after="0" w:line="342" w:lineRule="auto"/>
        <w:tabs>
          <w:tab w:leader="none" w:pos="13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60" w:hanging="522"/>
        <w:spacing w:after="0" w:line="264"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80" w:right="60" w:hanging="515"/>
        <w:spacing w:after="0" w:line="308" w:lineRule="auto"/>
        <w:tabs>
          <w:tab w:leader="none" w:pos="7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640" w:hanging="522"/>
        <w:spacing w:after="0" w:line="342" w:lineRule="auto"/>
        <w:tabs>
          <w:tab w:leader="none" w:pos="13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40" w:hanging="522"/>
        <w:spacing w:after="0" w:line="277"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Date: November 6, 2018</w:t>
            </w:r>
          </w:p>
        </w:tc>
        <w:tc>
          <w:tcPr>
            <w:tcW w:w="7100" w:type="dxa"/>
            <w:vAlign w:val="bottom"/>
            <w:gridSpan w:val="2"/>
          </w:tcPr>
          <w:p>
            <w:pPr>
              <w:ind w:left="2540"/>
              <w:spacing w:after="0"/>
              <w:rPr>
                <w:sz w:val="20"/>
                <w:szCs w:val="20"/>
                <w:color w:val="auto"/>
              </w:rPr>
            </w:pPr>
            <w:r>
              <w:rPr>
                <w:rFonts w:ascii="Arial" w:cs="Arial" w:eastAsia="Arial" w:hAnsi="Arial"/>
                <w:sz w:val="18"/>
                <w:szCs w:val="18"/>
                <w:color w:val="auto"/>
              </w:rPr>
              <w:t>By:  /s/ Joshua Easterly</w:t>
            </w:r>
          </w:p>
        </w:tc>
      </w:tr>
      <w:tr>
        <w:trPr>
          <w:trHeight w:val="195"/>
        </w:trPr>
        <w:tc>
          <w:tcPr>
            <w:tcW w:w="43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Joshua Easterly</w:t>
            </w:r>
          </w:p>
        </w:tc>
      </w:tr>
      <w:tr>
        <w:trPr>
          <w:trHeight w:val="230"/>
        </w:trPr>
        <w:tc>
          <w:tcPr>
            <w:tcW w:w="4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1"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Ian Simmonds, certify that:</w:t>
      </w:r>
    </w:p>
    <w:p>
      <w:pPr>
        <w:spacing w:after="0" w:line="117" w:lineRule="exact"/>
        <w:rPr>
          <w:sz w:val="20"/>
          <w:szCs w:val="20"/>
          <w:color w:val="auto"/>
        </w:rPr>
      </w:pPr>
    </w:p>
    <w:p>
      <w:pPr>
        <w:ind w:left="780" w:hanging="515"/>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117" w:lineRule="exact"/>
        <w:rPr>
          <w:rFonts w:ascii="Arial" w:cs="Arial" w:eastAsia="Arial" w:hAnsi="Arial"/>
          <w:sz w:val="18"/>
          <w:szCs w:val="18"/>
          <w:color w:val="auto"/>
        </w:rPr>
      </w:pPr>
    </w:p>
    <w:p>
      <w:pPr>
        <w:jc w:val="both"/>
        <w:ind w:left="780" w:right="180" w:hanging="515"/>
        <w:spacing w:after="0" w:line="264"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80" w:right="140" w:hanging="515"/>
        <w:spacing w:after="0" w:line="308" w:lineRule="auto"/>
        <w:tabs>
          <w:tab w:leader="none" w:pos="7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80" w:right="160" w:hanging="515"/>
        <w:spacing w:after="0" w:line="264"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100" w:hanging="522"/>
        <w:spacing w:after="0" w:line="264"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40" w:hanging="522"/>
        <w:spacing w:after="0" w:line="264"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400" w:hanging="522"/>
        <w:spacing w:after="0" w:line="342" w:lineRule="auto"/>
        <w:tabs>
          <w:tab w:leader="none" w:pos="13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60" w:hanging="522"/>
        <w:spacing w:after="0" w:line="264"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80" w:right="60" w:hanging="515"/>
        <w:spacing w:after="0" w:line="308" w:lineRule="auto"/>
        <w:tabs>
          <w:tab w:leader="none" w:pos="7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640" w:hanging="522"/>
        <w:spacing w:after="0" w:line="342" w:lineRule="auto"/>
        <w:tabs>
          <w:tab w:leader="none" w:pos="13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40" w:hanging="522"/>
        <w:spacing w:after="0" w:line="277"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Date: November 6, 2018</w:t>
            </w:r>
          </w:p>
        </w:tc>
        <w:tc>
          <w:tcPr>
            <w:tcW w:w="7080" w:type="dxa"/>
            <w:vAlign w:val="bottom"/>
            <w:gridSpan w:val="2"/>
          </w:tcPr>
          <w:p>
            <w:pPr>
              <w:ind w:left="2540"/>
              <w:spacing w:after="0"/>
              <w:rPr>
                <w:sz w:val="20"/>
                <w:szCs w:val="20"/>
                <w:color w:val="auto"/>
              </w:rPr>
            </w:pPr>
            <w:r>
              <w:rPr>
                <w:rFonts w:ascii="Arial" w:cs="Arial" w:eastAsia="Arial" w:hAnsi="Arial"/>
                <w:sz w:val="18"/>
                <w:szCs w:val="18"/>
                <w:color w:val="auto"/>
              </w:rPr>
              <w:t>By:  /</w:t>
            </w:r>
            <w:r>
              <w:rPr>
                <w:rFonts w:ascii="Arial" w:cs="Arial" w:eastAsia="Arial" w:hAnsi="Arial"/>
                <w:sz w:val="13"/>
                <w:szCs w:val="13"/>
                <w:color w:val="auto"/>
              </w:rPr>
              <w:t>S</w:t>
            </w:r>
            <w:r>
              <w:rPr>
                <w:rFonts w:ascii="Arial" w:cs="Arial" w:eastAsia="Arial" w:hAnsi="Arial"/>
                <w:sz w:val="18"/>
                <w:szCs w:val="18"/>
                <w:color w:val="auto"/>
              </w:rPr>
              <w:t>/ Ian Simmonds</w:t>
            </w:r>
          </w:p>
        </w:tc>
      </w:tr>
      <w:tr>
        <w:trPr>
          <w:trHeight w:val="195"/>
        </w:trPr>
        <w:tc>
          <w:tcPr>
            <w:tcW w:w="43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43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35"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In connection with the quarterly report on Form 10-Q of TPG Specialty Lending, Inc. (the “Company”) for the quarterly period ended September 30, 2018, as filed with the Securities and Exchange Commission on the date hereof (the “Report”), Joshua Easterly as Chief Executive Officer of the Company, and Ian Simmonds, as Chief Financial Officer of the Company, each hereby certifies, pursuant to 18 U.S.C. § 1350, as adopted pursuant to § 906 of the Sarbanes-Oxley Act of 2002, that, to such officer’s knowledge:</w:t>
      </w:r>
    </w:p>
    <w:p>
      <w:pPr>
        <w:spacing w:after="0" w:line="79" w:lineRule="exact"/>
        <w:rPr>
          <w:sz w:val="20"/>
          <w:szCs w:val="20"/>
          <w:color w:val="auto"/>
        </w:rPr>
      </w:pPr>
    </w:p>
    <w:p>
      <w:pPr>
        <w:ind w:left="780" w:hanging="254"/>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Joshua Easterly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Joshua Easterly</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ind w:left="100"/>
              <w:spacing w:after="0"/>
              <w:rPr>
                <w:sz w:val="20"/>
                <w:szCs w:val="20"/>
                <w:color w:val="auto"/>
              </w:rPr>
            </w:pPr>
            <w:r>
              <w:rPr>
                <w:rFonts w:ascii="Arial" w:cs="Arial" w:eastAsia="Arial" w:hAnsi="Arial"/>
                <w:sz w:val="18"/>
                <w:szCs w:val="18"/>
                <w:color w:val="auto"/>
              </w:rPr>
              <w:t>November 6, 2018</w:t>
            </w:r>
          </w:p>
        </w:tc>
      </w:tr>
      <w:tr>
        <w:trPr>
          <w:trHeight w:val="459"/>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Ian Simmonds</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ind w:left="320"/>
              <w:spacing w:after="0" w:line="195" w:lineRule="exact"/>
              <w:rPr>
                <w:sz w:val="20"/>
                <w:szCs w:val="20"/>
                <w:color w:val="auto"/>
              </w:rPr>
            </w:pPr>
            <w:r>
              <w:rPr>
                <w:rFonts w:ascii="Arial" w:cs="Arial" w:eastAsia="Arial" w:hAnsi="Arial"/>
                <w:sz w:val="18"/>
                <w:szCs w:val="18"/>
                <w:color w:val="auto"/>
              </w:rPr>
              <w:t>Ian Simmonds</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320"/>
              <w:spacing w:after="0"/>
              <w:rPr>
                <w:sz w:val="20"/>
                <w:szCs w:val="20"/>
                <w:color w:val="auto"/>
              </w:rPr>
            </w:pPr>
            <w:r>
              <w:rPr>
                <w:rFonts w:ascii="Arial" w:cs="Arial" w:eastAsia="Arial" w:hAnsi="Arial"/>
                <w:sz w:val="18"/>
                <w:szCs w:val="18"/>
                <w:color w:val="auto"/>
              </w:rPr>
              <w:t>Chief Financial Officer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ind w:left="320"/>
              <w:spacing w:after="0"/>
              <w:rPr>
                <w:sz w:val="20"/>
                <w:szCs w:val="20"/>
                <w:color w:val="auto"/>
              </w:rPr>
            </w:pPr>
            <w:r>
              <w:rPr>
                <w:rFonts w:ascii="Arial" w:cs="Arial" w:eastAsia="Arial" w:hAnsi="Arial"/>
                <w:sz w:val="18"/>
                <w:szCs w:val="18"/>
                <w:color w:val="auto"/>
              </w:rPr>
              <w:t>November 6, 2018</w:t>
            </w:r>
          </w:p>
        </w:tc>
      </w:tr>
    </w:tbl>
    <w:p>
      <w:pPr>
        <w:spacing w:after="0" w:line="202"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1"/>
      <w:numFmt w:val="decimal"/>
      <w:start w:val="1"/>
    </w:lvl>
    <w:lvl w:ilvl="1">
      <w:lvlJc w:val="left"/>
      <w:lvlText w:val="(%2)"/>
      <w:numFmt w:val="lowerLetter"/>
      <w:start w:val="1"/>
    </w:lvl>
  </w:abstractNum>
  <w:abstractNum w:abstractNumId="4">
    <w:nsid w:val="614FD4A1"/>
    <w:multiLevelType w:val="hybridMultilevel"/>
    <w:lvl w:ilvl="0">
      <w:lvlJc w:val="left"/>
      <w:lvlText w:val="(%1)"/>
      <w:numFmt w:val="decimal"/>
      <w:start w:val="1"/>
    </w:lvl>
    <w:lvl w:ilvl="1">
      <w:lvlJc w:val="left"/>
      <w:lvlText w:val="%2"/>
      <w:numFmt w:val="lowerLetter"/>
      <w:start w:val="1"/>
    </w:lvl>
  </w:abstractNum>
  <w:abstractNum w:abstractNumId="5">
    <w:nsid w:val="419AC241"/>
    <w:multiLevelType w:val="hybridMultilevel"/>
    <w:lvl w:ilvl="0">
      <w:lvlJc w:val="left"/>
      <w:lvlText w:val="%1"/>
      <w:numFmt w:val="decimal"/>
      <w:start w:val="1"/>
    </w:lvl>
    <w:lvl w:ilvl="1">
      <w:lvlJc w:val="left"/>
      <w:lvlText w:val="(%2)"/>
      <w:numFmt w:val="lowerLetter"/>
      <w:start w:val="1"/>
    </w:lvl>
  </w:abstractNum>
  <w:abstractNum w:abstractNumId="6">
    <w:nsid w:val="5577F8E1"/>
    <w:multiLevelType w:val="hybridMultilevel"/>
    <w:lvl w:ilvl="0">
      <w:lvlJc w:val="left"/>
      <w:lvlText w:val="(%1)"/>
      <w:numFmt w:val="decimal"/>
      <w:start w:val="7"/>
    </w:lvl>
    <w:lvl w:ilvl="1">
      <w:lvlJc w:val="left"/>
      <w:lvlText w:val="%2"/>
      <w:numFmt w:val="lowerLetter"/>
      <w:start w:val="1"/>
    </w:lvl>
  </w:abstractNum>
  <w:abstractNum w:abstractNumId="7">
    <w:nsid w:val="440BADFC"/>
    <w:multiLevelType w:val="hybridMultilevel"/>
    <w:lvl w:ilvl="0">
      <w:lvlJc w:val="left"/>
      <w:lvlText w:val="%1"/>
      <w:numFmt w:val="decimal"/>
      <w:start w:val="1"/>
    </w:lvl>
    <w:lvl w:ilvl="1">
      <w:lvlJc w:val="left"/>
      <w:lvlText w:val="(%2)"/>
      <w:numFmt w:val="lowerLetter"/>
      <w:start w:val="1"/>
    </w:lvl>
  </w:abstractNum>
  <w:abstractNum w:abstractNumId="8">
    <w:nsid w:val="5072367"/>
    <w:multiLevelType w:val="hybridMultilevel"/>
    <w:lvl w:ilvl="0">
      <w:lvlJc w:val="left"/>
      <w:lvlText w:val="(%1)"/>
      <w:numFmt w:val="decimal"/>
      <w:start w:val="8"/>
    </w:lvl>
    <w:lvl w:ilvl="1">
      <w:lvlJc w:val="left"/>
      <w:lvlText w:val="%2"/>
      <w:numFmt w:val="lowerLetter"/>
      <w:start w:val="1"/>
    </w:lvl>
  </w:abstractNum>
  <w:abstractNum w:abstractNumId="9">
    <w:nsid w:val="3804823E"/>
    <w:multiLevelType w:val="hybridMultilevel"/>
    <w:lvl w:ilvl="0">
      <w:lvlJc w:val="left"/>
      <w:lvlText w:val="%1"/>
      <w:numFmt w:val="decimal"/>
      <w:start w:val="1"/>
    </w:lvl>
    <w:lvl w:ilvl="1">
      <w:lvlJc w:val="left"/>
      <w:lvlText w:val="(%2)"/>
      <w:numFmt w:val="lowerLetter"/>
      <w:start w:val="1"/>
    </w:lvl>
  </w:abstractNum>
  <w:abstractNum w:abstractNumId="10">
    <w:nsid w:val="77465F01"/>
    <w:multiLevelType w:val="hybridMultilevel"/>
    <w:lvl w:ilvl="0">
      <w:lvlJc w:val="left"/>
      <w:lvlText w:val="(%1)"/>
      <w:numFmt w:val="decimal"/>
      <w:start w:val="1"/>
    </w:lvl>
    <w:lvl w:ilvl="1">
      <w:lvlJc w:val="left"/>
      <w:lvlText w:val="%2"/>
      <w:numFmt w:val="lowerLetter"/>
      <w:start w:val="1"/>
    </w:lvl>
  </w:abstractNum>
  <w:abstractNum w:abstractNumId="11">
    <w:nsid w:val="7724C67E"/>
    <w:multiLevelType w:val="hybridMultilevel"/>
    <w:lvl w:ilvl="0">
      <w:lvlJc w:val="left"/>
      <w:lvlText w:val="(%1)"/>
      <w:numFmt w:val="decimal"/>
      <w:start w:val="5"/>
    </w:lvl>
  </w:abstractNum>
  <w:abstractNum w:abstractNumId="12">
    <w:nsid w:val="5C482A97"/>
    <w:multiLevelType w:val="hybridMultilevel"/>
    <w:lvl w:ilvl="0">
      <w:lvlJc w:val="left"/>
      <w:lvlText w:val="%1"/>
      <w:numFmt w:val="decimal"/>
      <w:start w:val="1"/>
    </w:lvl>
    <w:lvl w:ilvl="1">
      <w:lvlJc w:val="left"/>
      <w:lvlText w:val="(%2)"/>
      <w:numFmt w:val="lowerLetter"/>
      <w:start w:val="1"/>
    </w:lvl>
  </w:abstractNum>
  <w:abstractNum w:abstractNumId="13">
    <w:nsid w:val="2463B9EA"/>
    <w:multiLevelType w:val="hybridMultilevel"/>
    <w:lvl w:ilvl="0">
      <w:lvlJc w:val="left"/>
      <w:lvlText w:val="(%1)"/>
      <w:numFmt w:val="decimal"/>
      <w:start w:val="7"/>
    </w:lvl>
    <w:lvl w:ilvl="1">
      <w:lvlJc w:val="left"/>
      <w:lvlText w:val="%2"/>
      <w:numFmt w:val="lowerLetter"/>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1)"/>
      <w:numFmt w:val="lowerRoman"/>
      <w:start w:val="1"/>
    </w:lvl>
  </w:abstractNum>
  <w:abstractNum w:abstractNumId="19">
    <w:nsid w:val="3855585C"/>
    <w:multiLevelType w:val="hybridMultilevel"/>
    <w:lvl w:ilvl="0">
      <w:lvlJc w:val="left"/>
      <w:lvlText w:val="(%1)"/>
      <w:numFmt w:val="decimal"/>
      <w:start w:val="1"/>
    </w:lvl>
  </w:abstractNum>
  <w:abstractNum w:abstractNumId="20">
    <w:nsid w:val="70A64E2A"/>
    <w:multiLevelType w:val="hybridMultilevel"/>
    <w:lvl w:ilvl="0">
      <w:lvlJc w:val="left"/>
      <w:lvlText w:val="(%1)"/>
      <w:numFmt w:val="decimal"/>
      <w:start w:val="1"/>
    </w:lvl>
  </w:abstractNum>
  <w:abstractNum w:abstractNumId="21">
    <w:nsid w:val="6A2342EC"/>
    <w:multiLevelType w:val="hybridMultilevel"/>
    <w:lvl w:ilvl="0">
      <w:lvlJc w:val="left"/>
      <w:lvlText w:val="(%1)"/>
      <w:numFmt w:val="decimal"/>
      <w:start w:val="1"/>
    </w:lvl>
  </w:abstractNum>
  <w:abstractNum w:abstractNumId="22">
    <w:nsid w:val="2A487CB0"/>
    <w:multiLevelType w:val="hybridMultilevel"/>
    <w:lvl w:ilvl="0">
      <w:lvlJc w:val="left"/>
      <w:lvlText w:val="(%1)"/>
      <w:numFmt w:val="decimal"/>
      <w:start w:val="1"/>
    </w:lvl>
  </w:abstractNum>
  <w:abstractNum w:abstractNumId="23">
    <w:nsid w:val="1D4ED43B"/>
    <w:multiLevelType w:val="hybridMultilevel"/>
    <w:lvl w:ilvl="0">
      <w:lvlJc w:val="left"/>
      <w:lvlText w:val="(%1)"/>
      <w:numFmt w:val="decimal"/>
      <w:start w:val="1"/>
    </w:lvl>
  </w:abstractNum>
  <w:abstractNum w:abstractNumId="24">
    <w:nsid w:val="725A06FB"/>
    <w:multiLevelType w:val="hybridMultilevel"/>
    <w:lvl w:ilvl="0">
      <w:lvlJc w:val="left"/>
      <w:lvlText w:val="(%1)"/>
      <w:numFmt w:val="decimal"/>
      <w:start w:val="1"/>
    </w:lvl>
  </w:abstractNum>
  <w:abstractNum w:abstractNumId="25">
    <w:nsid w:val="2CD89A32"/>
    <w:multiLevelType w:val="hybridMultilevel"/>
    <w:lvl w:ilvl="0">
      <w:lvlJc w:val="left"/>
      <w:lvlText w:val="(%1)"/>
      <w:numFmt w:val="decimal"/>
      <w:start w:val="1"/>
    </w:lvl>
  </w:abstractNum>
  <w:abstractNum w:abstractNumId="26">
    <w:nsid w:val="57E4CCAF"/>
    <w:multiLevelType w:val="hybridMultilevel"/>
    <w:lvl w:ilvl="0">
      <w:lvlJc w:val="left"/>
      <w:lvlText w:val="(%1)"/>
      <w:numFmt w:val="decimal"/>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1)"/>
      <w:numFmt w:val="decimal"/>
      <w:start w:val="1"/>
    </w:lvl>
  </w:abstractNum>
  <w:abstractNum w:abstractNumId="29">
    <w:nsid w:val="542289EC"/>
    <w:multiLevelType w:val="hybridMultilevel"/>
    <w:lvl w:ilvl="0">
      <w:lvlJc w:val="left"/>
      <w:lvlText w:val="%1."/>
      <w:numFmt w:val="decimal"/>
      <w:start w:val="10"/>
    </w:lvl>
  </w:abstractNum>
  <w:abstractNum w:abstractNumId="30">
    <w:nsid w:val="6DE91B18"/>
    <w:multiLevelType w:val="hybridMultilevel"/>
    <w:lvl w:ilvl="0">
      <w:lvlJc w:val="left"/>
      <w:lvlText w:val="(%1)"/>
      <w:numFmt w:val="decimal"/>
      <w:start w:val="1"/>
    </w:lvl>
  </w:abstractNum>
  <w:abstractNum w:abstractNumId="31">
    <w:nsid w:val="38437FDB"/>
    <w:multiLevelType w:val="hybridMultilevel"/>
    <w:lvl w:ilvl="0">
      <w:lvlJc w:val="left"/>
      <w:lvlText w:val="(%1)"/>
      <w:numFmt w:val="decimal"/>
      <w:start w:val="1"/>
    </w:lvl>
  </w:abstractNum>
  <w:abstractNum w:abstractNumId="32">
    <w:nsid w:val="7644A45C"/>
    <w:multiLevelType w:val="hybridMultilevel"/>
    <w:lvl w:ilvl="0">
      <w:lvlJc w:val="left"/>
      <w:lvlText w:val="(%1)"/>
      <w:numFmt w:val="decimal"/>
      <w:start w:val="4"/>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o"/>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1)"/>
      <w:numFmt w:val="decimal"/>
      <w:start w:val="1"/>
    </w:lvl>
  </w:abstractNum>
  <w:abstractNum w:abstractNumId="39">
    <w:nsid w:val="79A1DEAA"/>
    <w:multiLevelType w:val="hybridMultilevel"/>
    <w:lvl w:ilvl="0">
      <w:lvlJc w:val="left"/>
      <w:lvlText w:val="(%1)"/>
      <w:numFmt w:val="decimal"/>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1)"/>
      <w:numFmt w:val="decimal"/>
      <w:start w:val="1"/>
    </w:lvl>
  </w:abstractNum>
  <w:abstractNum w:abstractNumId="45">
    <w:nsid w:val="4F4EF005"/>
    <w:multiLevelType w:val="hybridMultilevel"/>
    <w:lvl w:ilvl="0">
      <w:lvlJc w:val="left"/>
      <w:lvlText w:val="(%1)"/>
      <w:numFmt w:val="decimal"/>
      <w:start w:val="1"/>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o"/>
      <w:numFmt w:val="bullet"/>
      <w:start w:val="1"/>
    </w:lvl>
  </w:abstractNum>
  <w:abstractNum w:abstractNumId="49">
    <w:nsid w:val="39386575"/>
    <w:multiLevelType w:val="hybridMultilevel"/>
    <w:lvl w:ilvl="0">
      <w:lvlJc w:val="left"/>
      <w:lvlText w:val="•"/>
      <w:numFmt w:val="bullet"/>
      <w:start w:val="1"/>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1)"/>
      <w:numFmt w:val="decimal"/>
      <w:start w:val="1"/>
    </w:lvl>
  </w:abstractNum>
  <w:abstractNum w:abstractNumId="53">
    <w:nsid w:val="47398C89"/>
    <w:multiLevelType w:val="hybridMultilevel"/>
    <w:lvl w:ilvl="0">
      <w:lvlJc w:val="left"/>
      <w:lvlText w:val="•"/>
      <w:numFmt w:val="bullet"/>
      <w:start w:val="1"/>
    </w:lvl>
  </w:abstractNum>
  <w:abstractNum w:abstractNumId="54">
    <w:nsid w:val="354FE9F9"/>
    <w:multiLevelType w:val="hybridMultilevel"/>
    <w:lvl w:ilvl="0">
      <w:lvlJc w:val="left"/>
      <w:lvlText w:val="o"/>
      <w:numFmt w:val="bullet"/>
      <w:start w:val="1"/>
    </w:lvl>
  </w:abstractNum>
  <w:abstractNum w:abstractNumId="55">
    <w:nsid w:val="15B5AF5C"/>
    <w:multiLevelType w:val="hybridMultilevel"/>
    <w:lvl w:ilvl="0">
      <w:lvlJc w:val="left"/>
      <w:lvlText w:val="%1"/>
      <w:numFmt w:val="decimal"/>
      <w:start w:val="32"/>
    </w:lvl>
  </w:abstractNum>
  <w:abstractNum w:abstractNumId="56">
    <w:nsid w:val="741226BB"/>
    <w:multiLevelType w:val="hybridMultilevel"/>
    <w:lvl w:ilvl="0">
      <w:lvlJc w:val="left"/>
      <w:lvlText w:val="(%1)"/>
      <w:numFmt w:val="decimal"/>
      <w:start w:val="1"/>
    </w:lvl>
  </w:abstractNum>
  <w:abstractNum w:abstractNumId="57">
    <w:nsid w:val="D34B6A8"/>
    <w:multiLevelType w:val="hybridMultilevel"/>
    <w:lvl w:ilvl="0">
      <w:lvlJc w:val="left"/>
      <w:lvlText w:val="(%1)"/>
      <w:numFmt w:val="lowerLetter"/>
      <w:start w:val="10"/>
    </w:lvl>
  </w:abstractNum>
  <w:abstractNum w:abstractNumId="58">
    <w:nsid w:val="10233C99"/>
    <w:multiLevelType w:val="hybridMultilevel"/>
    <w:lvl w:ilvl="0">
      <w:lvlJc w:val="left"/>
      <w:lvlText w:val="(%1)"/>
      <w:numFmt w:val="lowerLetter"/>
      <w:start w:val="1"/>
    </w:lvl>
  </w:abstractNum>
  <w:abstractNum w:abstractNumId="59">
    <w:nsid w:val="3F6AB60F"/>
    <w:multiLevelType w:val="hybridMultilevel"/>
    <w:lvl w:ilvl="0">
      <w:lvlJc w:val="left"/>
      <w:lvlText w:val="(%1)"/>
      <w:numFmt w:val="lowerLetter"/>
      <w:start w:val="2"/>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2019-12-28T18:25:26Z</dcterms:created>
  <dcterms:modified xsi:type="dcterms:W3CDTF">2019-12-28T18:25:26Z</dcterms:modified>
</cp:coreProperties>
</file>