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right="300" w:hanging="572"/>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-3980815</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-3535045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-2951480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-2505710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-2059940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-584835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00"/>
          </w:cols>
          <w:pgMar w:left="240" w:top="517" w:right="259" w:bottom="0" w:gutter="0" w:footer="0" w:header="0"/>
        </w:sectPr>
      </w:pPr>
    </w:p>
    <w:bookmarkStart w:id="1" w:name="page2"/>
    <w:bookmarkEnd w:id="1"/>
    <w:p>
      <w:pPr>
        <w:ind w:left="571" w:hanging="571"/>
        <w:spacing w:after="0"/>
        <w:tabs>
          <w:tab w:leader="none" w:pos="571"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886460</wp:posOffset>
            </wp:positionH>
            <wp:positionV relativeFrom="page">
              <wp:posOffset>226060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321310</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382"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November 29, 2015, TPG Specialty Lending, Inc. issued the following press release:</w:t>
      </w:r>
    </w:p>
    <w:p>
      <w:pPr>
        <w:spacing w:after="0" w:line="221" w:lineRule="exact"/>
        <w:rPr>
          <w:sz w:val="20"/>
          <w:szCs w:val="20"/>
          <w:color w:val="auto"/>
        </w:rPr>
      </w:pPr>
    </w:p>
    <w:p>
      <w:pPr>
        <w:spacing w:after="0" w:line="503" w:lineRule="auto"/>
        <w:rPr>
          <w:sz w:val="20"/>
          <w:szCs w:val="20"/>
          <w:color w:val="auto"/>
        </w:rPr>
      </w:pPr>
      <w:r>
        <w:rPr>
          <w:rFonts w:ascii="Arial" w:cs="Arial" w:eastAsia="Arial" w:hAnsi="Arial"/>
          <w:sz w:val="18"/>
          <w:szCs w:val="18"/>
          <w:b w:val="1"/>
          <w:bCs w:val="1"/>
          <w:color w:val="auto"/>
        </w:rPr>
        <w:t xml:space="preserve">TPG Specialty Lending, Inc. Sends Letter to TICC Board of Directors Calling on TICC to Deliver Clarity and Meaningful Change to Stockholders </w:t>
      </w:r>
      <w:r>
        <w:rPr>
          <w:rFonts w:ascii="Arial" w:cs="Arial" w:eastAsia="Arial" w:hAnsi="Arial"/>
          <w:sz w:val="18"/>
          <w:szCs w:val="18"/>
          <w:b w:val="1"/>
          <w:bCs w:val="1"/>
          <w:i w:val="1"/>
          <w:iCs w:val="1"/>
          <w:color w:val="auto"/>
        </w:rPr>
        <w:t>TSLX Stands Ready and Willing to Engage with TICC Toward Making the TSLX Proposal a Reality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TSLX Calls on TICC to Commit to Changes Endorsed by TICC Special Committee Should BSP Transaction Not Move Forward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29, 2015 04:30 PM Eastern Standard Time</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NEW YORK—(</w:t>
      </w:r>
      <w:r>
        <w:rPr>
          <w:rFonts w:ascii="Arial" w:cs="Arial" w:eastAsia="Arial" w:hAnsi="Arial"/>
          <w:sz w:val="17"/>
          <w:szCs w:val="17"/>
          <w:u w:val="single" w:color="auto"/>
          <w:color w:val="auto"/>
        </w:rPr>
        <w:t>BUSINESS WIRE</w:t>
      </w:r>
      <w:r>
        <w:rPr>
          <w:rFonts w:ascii="Arial" w:cs="Arial" w:eastAsia="Arial" w:hAnsi="Arial"/>
          <w:sz w:val="17"/>
          <w:szCs w:val="17"/>
          <w:color w:val="auto"/>
        </w:rPr>
        <w:t>)—TPG Specialty Lending, Inc. (“TSLX”; NYSE:TSLX), a specialty finance company focused on lending to middle-market companies, today sent a letter to the Board of Directors of TICC Capital Corp. (“TICC”; Nasdaq: TICC) in which TSLX urged TICC to provide an update to stockholders regarding the status of the proposed transaction with Benefit Street Partners L.L.C. (“BSP”), the associated special meeting of stockholders and whether TICC intends to change the status quo at the company should the BSP transaction not move forward.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ectPr>
          <w:pgSz w:w="11900" w:h="16838" w:orient="portrait"/>
          <w:cols w:equalWidth="0" w:num="1">
            <w:col w:w="11260"/>
          </w:cols>
          <w:pgMar w:left="240" w:top="274"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TICC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 Sound Shore Drive, Suite 255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CT 06830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writing both as a stockholder of TICC Capital Corp. (“TICC”) and in the greater interest of all stockholders to urge you to address the true owners of TICC and provide an update on the status of our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 October 27, 2015, more than a month ago, you have not publicly discussed:</w:t>
      </w:r>
    </w:p>
    <w:p>
      <w:pPr>
        <w:spacing w:after="0" w:line="131" w:lineRule="exact"/>
        <w:rPr>
          <w:sz w:val="20"/>
          <w:szCs w:val="20"/>
          <w:color w:val="auto"/>
        </w:rPr>
      </w:pPr>
    </w:p>
    <w:p>
      <w:pPr>
        <w:ind w:left="460" w:right="44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status of the proposed transaction with Benefit Street Partners L.L.C. (“BSP”), a Providence Equity Partners L.L.C. affiliate or the associated Special Meeting,</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TPG Specialty Lending, Inc.’s (“TSLX”) revised offer for TICC, 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Plans to change the status quo at TICC should the BSP transaction fail to be approved.</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surprised and disappointed that the members of the Special Committee continue to ignore our proposal and have failed to acknowledge or respond to our revised offer, which we publicly announced on November 2, 2015, approximately one month ago.</w:t>
      </w:r>
    </w:p>
    <w:p>
      <w:pPr>
        <w:spacing w:after="0" w:line="17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Your silence has undoubtedly left the impression with your stockholders that you are negotiating a material transaction as evidenced by the recent movement in TICC’s stock price from $6.39 per share to $6.93 per share.</w:t>
      </w:r>
      <w:r>
        <w:rPr>
          <w:rFonts w:ascii="Arial" w:cs="Arial" w:eastAsia="Arial" w:hAnsi="Arial"/>
          <w:sz w:val="14"/>
          <w:szCs w:val="14"/>
          <w:color w:val="auto"/>
        </w:rPr>
        <w:t>1</w:t>
      </w:r>
      <w:r>
        <w:rPr>
          <w:rFonts w:ascii="Arial" w:cs="Arial" w:eastAsia="Arial" w:hAnsi="Arial"/>
          <w:sz w:val="17"/>
          <w:szCs w:val="17"/>
          <w:color w:val="auto"/>
        </w:rPr>
        <w:t xml:space="preserve"> Knowing we have the only credible proposal on the table and you are not negotiating with us, we presume your silence means that the BSP transaction is dead and you wish to return to the status quo.</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Despite your lack of direct engagement, we and our fellow stockholders remain resolute in making this transaction a reality. As the Special Committee has made clear, the status quo is simply unacceptable.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updated proposal adds certainty for TICC stockholders by indexing the value of TSLX’s proposal to 90% of TICC’s most recently reported net asset value at the time of execution of a definitive agreement. Most importantly, the TSLX proposal delivers immediate and upfront value to TICC stockholders for their investment. Throughout the last few months, you have repeatedly outlined four primary reasons as support for the sale of TICC’s adviser to BSP. These reasons are as follows:</w:t>
      </w:r>
    </w:p>
    <w:p>
      <w:pPr>
        <w:spacing w:after="0" w:line="9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fees under the BSP transaction would be reduced to 1.5%, which is lower than the current rate and also below that of most</w:t>
      </w:r>
    </w:p>
    <w:p>
      <w:pPr>
        <w:spacing w:after="0" w:line="23" w:lineRule="exact"/>
        <w:rPr>
          <w:rFonts w:ascii="Arial" w:cs="Arial" w:eastAsia="Arial" w:hAnsi="Arial"/>
          <w:sz w:val="18"/>
          <w:szCs w:val="18"/>
          <w:color w:val="auto"/>
        </w:rPr>
      </w:pPr>
    </w:p>
    <w:p>
      <w:pPr>
        <w:ind w:left="460" w:right="300"/>
        <w:spacing w:after="0" w:line="261" w:lineRule="auto"/>
        <w:rPr>
          <w:rFonts w:ascii="Arial" w:cs="Arial" w:eastAsia="Arial" w:hAnsi="Arial"/>
          <w:sz w:val="18"/>
          <w:szCs w:val="18"/>
          <w:color w:val="auto"/>
        </w:rPr>
      </w:pPr>
      <w:r>
        <w:rPr>
          <w:rFonts w:ascii="Arial" w:cs="Arial" w:eastAsia="Arial" w:hAnsi="Arial"/>
          <w:sz w:val="18"/>
          <w:szCs w:val="18"/>
          <w:color w:val="auto"/>
        </w:rPr>
        <w:t>BDCs.</w:t>
      </w:r>
      <w:r>
        <w:rPr>
          <w:rFonts w:ascii="Arial" w:cs="Arial" w:eastAsia="Arial" w:hAnsi="Arial"/>
          <w:sz w:val="15"/>
          <w:szCs w:val="15"/>
          <w:color w:val="auto"/>
        </w:rPr>
        <w:t>23</w:t>
      </w:r>
      <w:r>
        <w:rPr>
          <w:rFonts w:ascii="Arial" w:cs="Arial" w:eastAsia="Arial" w:hAnsi="Arial"/>
          <w:sz w:val="18"/>
          <w:szCs w:val="18"/>
          <w:color w:val="auto"/>
        </w:rPr>
        <w:t xml:space="preserve"> Under the current terms of the agreement, management fees under the BSP transaction would be further reduced to 1.25% for twenty-four months.</w:t>
      </w:r>
    </w:p>
    <w:p>
      <w:pPr>
        <w:spacing w:after="0" w:line="89" w:lineRule="exact"/>
        <w:rPr>
          <w:rFonts w:ascii="Arial" w:cs="Arial" w:eastAsia="Arial" w:hAnsi="Arial"/>
          <w:sz w:val="18"/>
          <w:szCs w:val="18"/>
          <w:color w:val="auto"/>
        </w:rPr>
      </w:pPr>
    </w:p>
    <w:p>
      <w:pPr>
        <w:ind w:left="460" w:right="540" w:hanging="452"/>
        <w:spacing w:after="0" w:line="308"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Under the BSP transaction, the gap between net asset value and market value would be reduced via a $50 million to $100 million tender offer or repurchase program for TICC shares. The tender offer would be at a minimum price of ~90% of TICC net asset value.</w:t>
      </w:r>
      <w:r>
        <w:rPr>
          <w:rFonts w:ascii="Arial" w:cs="Arial" w:eastAsia="Arial" w:hAnsi="Arial"/>
          <w:sz w:val="14"/>
          <w:szCs w:val="14"/>
          <w:color w:val="auto"/>
        </w:rPr>
        <w:t>4</w:t>
      </w:r>
    </w:p>
    <w:p>
      <w:pPr>
        <w:spacing w:after="0" w:line="51" w:lineRule="exact"/>
        <w:rPr>
          <w:rFonts w:ascii="Arial" w:cs="Arial" w:eastAsia="Arial" w:hAnsi="Arial"/>
          <w:sz w:val="17"/>
          <w:szCs w:val="17"/>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BSP would significantly change TICC’s investment strategy to primarily focus on private debt investments.</w:t>
      </w:r>
      <w:r>
        <w:rPr>
          <w:rFonts w:ascii="Arial" w:cs="Arial" w:eastAsia="Arial" w:hAnsi="Arial"/>
          <w:sz w:val="15"/>
          <w:szCs w:val="15"/>
          <w:color w:val="auto"/>
        </w:rPr>
        <w:t>5</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BSP transaction would change TICC’s Board, through the expansion and addition of four new independent directors.</w:t>
      </w:r>
      <w:r>
        <w:rPr>
          <w:rFonts w:ascii="Arial" w:cs="Arial" w:eastAsia="Arial" w:hAnsi="Arial"/>
          <w:sz w:val="15"/>
          <w:szCs w:val="15"/>
          <w:color w:val="auto"/>
        </w:rPr>
        <w:t>6</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we have made clear many times, our proposal more than adequately addresses these points and offers many other important benefits for stockholders.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Again, we outline these aspects of our proposal below:</w:t>
      </w:r>
    </w:p>
    <w:p>
      <w:pPr>
        <w:spacing w:after="0" w:line="116" w:lineRule="exact"/>
        <w:rPr>
          <w:sz w:val="20"/>
          <w:szCs w:val="20"/>
          <w:color w:val="auto"/>
        </w:rPr>
      </w:pPr>
    </w:p>
    <w:p>
      <w:pPr>
        <w:ind w:left="460" w:right="2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Whereas the share repurchase program under the BSP transaction would result in the acquisition of only $50-$100 million of shares at 90% of net asset value, representing only a quarter of TICC’s outstanding shares (based on its October 30, 2015 closing stock price of $6.39 per share), the TSLX proposal would pay ALL TICC stockholders 90% of net asset value for their shares.</w:t>
      </w:r>
    </w:p>
    <w:p>
      <w:pPr>
        <w:spacing w:after="0" w:line="86" w:lineRule="exact"/>
        <w:rPr>
          <w:rFonts w:ascii="Arial" w:cs="Arial" w:eastAsia="Arial" w:hAnsi="Arial"/>
          <w:sz w:val="18"/>
          <w:szCs w:val="18"/>
          <w:color w:val="auto"/>
        </w:rPr>
      </w:pPr>
    </w:p>
    <w:p>
      <w:pPr>
        <w:ind w:left="460" w:right="20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addition, TSLX has a stockholder-friendly approach to share buybacks and is committed to repurchasing its stock if the share price falls below net asset value. We are confident stockholders recognize the strength and clarity of our approach and value this above TICC’s long history of never meaningfully executing a buyback program.</w:t>
      </w:r>
    </w:p>
    <w:p>
      <w:pPr>
        <w:spacing w:after="0" w:line="86" w:lineRule="exact"/>
        <w:rPr>
          <w:rFonts w:ascii="Arial" w:cs="Arial" w:eastAsia="Arial" w:hAnsi="Arial"/>
          <w:sz w:val="18"/>
          <w:szCs w:val="18"/>
          <w:color w:val="auto"/>
        </w:rPr>
      </w:pPr>
    </w:p>
    <w:p>
      <w:pPr>
        <w:ind w:left="460" w:right="1240" w:hanging="452"/>
        <w:spacing w:after="0" w:line="34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TSLX has a proven record of delivering superior returns to stockholders, consistently generating total returns over and above the BDC Composite.</w:t>
      </w:r>
      <w:r>
        <w:rPr>
          <w:rFonts w:ascii="Arial" w:cs="Arial" w:eastAsia="Arial" w:hAnsi="Arial"/>
          <w:sz w:val="13"/>
          <w:szCs w:val="13"/>
          <w:color w:val="auto"/>
        </w:rPr>
        <w:t>7</w:t>
      </w:r>
      <w:r>
        <w:rPr>
          <w:rFonts w:ascii="Arial" w:cs="Arial" w:eastAsia="Arial" w:hAnsi="Arial"/>
          <w:sz w:val="16"/>
          <w:szCs w:val="16"/>
          <w:color w:val="auto"/>
        </w:rPr>
        <w:t xml:space="preserve"> TICC stockholders would benefit from TSLX’s ability to generate industry-leading return on equity for stockholders.</w:t>
      </w:r>
    </w:p>
    <w:p>
      <w:pPr>
        <w:spacing w:after="0" w:line="124"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Board has a fiduciary duty to make the right choice and act in the best interest of stockholders by engaging in substantive discussions with us. In the meantime, we think it is imperative that the TICC Board act now to protect the interests of stockholders by making improvements in the management and governance of TICC.</w:t>
      </w:r>
    </w:p>
    <w:p>
      <w:pPr>
        <w:sectPr>
          <w:pgSz w:w="11900" w:h="16838" w:orient="portrait"/>
          <w:cols w:equalWidth="0" w:num="1">
            <w:col w:w="11380"/>
          </w:cols>
          <w:pgMar w:left="240" w:top="274" w:right="279" w:bottom="1440" w:gutter="0" w:footer="0" w:header="0"/>
        </w:sectPr>
      </w:pPr>
    </w:p>
    <w:bookmarkStart w:id="4" w:name="page5"/>
    <w:bookmarkEnd w:id="4"/>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light of this reality, we are astounded by the silence from the Board. You have clearly acknowledged that the status quo at TICC is unsustainable and publicly stated your intentions to pursue change at TICC. It’s time to stand by these words. With the Board’s insistence that change is a clear priority, stockholders deserve a much more detailed understanding of the status and future of their investment. The company’s lack of communication this past month, especially the stunning refusal to take questions from investors or analysts on your quarterly earnings call — breaking years of tradition — is simply unacceptable.</w:t>
      </w:r>
    </w:p>
    <w:p>
      <w:pPr>
        <w:spacing w:after="0" w:line="18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More than words, however, TICC’s stockholders are entitled to actual change. First and foremost, there must be an immediate termination of the existing investment advisory agreement. If the TICC Board is unwilling to fulfill its fiduciary duty, stockholders will be forced to consider exercising their rights to take direct action to change the manager.</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TICC’s Special Committee has endorsed the need for change, as outlined in their argument in support of the BSP transaction, and can make these changes independent of the transaction. Given the uncertainty around the future of the BSP transaction, we encourage the Board to confirm the following actions will be taken even if the BSP transaction does not proceed:</w:t>
      </w:r>
    </w:p>
    <w:p>
      <w:pPr>
        <w:spacing w:after="0" w:line="8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Permanently reduce management fees to 1.5% and further reduce such fees for the next 24 months to 1.25%;</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a 10b5-1 share buyback plan that repurchases $100MM of stock at a price up to 90% of the most recently reported NAV;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Reconstitute the existing Board in a meaningful fashion.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TICC Special Committee does not enact such changes immediately, it will be clear that such endorsements were not genuine and were only promised to facilitate a value transfer from stockholders to the other members of the Board.</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To be absolutely clear, we do not think any of these changes will produce certain value over and above what we have presented to stockholders through our proposal. We implore you not to stand idly by while the power to enact meaningful change at TICC rests in your hands.</w:t>
      </w:r>
    </w:p>
    <w:p>
      <w:pPr>
        <w:spacing w:after="0" w:line="14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believe strongly that you should do what is right for TICC’s stockholders and pursue a transaction with TSLX. There is no other proposal currently on the table for TICC stockholders that would deliver the significant and tangible benefits provided by our superior proposal. We stand by our proposal and remain confident that, as revised, it is the most compelling option for TICC stockholders. And, as a current TICC stockholder owning approximately 3% of TICC’s outstanding common stock, we have a strong interest in delivering real value to all TICC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At a minimum, with the current future of TICC unclear for stockholders, this Board must communicate clearly and frequently with its stockholders.</w:t>
      </w:r>
    </w:p>
    <w:p>
      <w:pPr>
        <w:spacing w:after="0" w:line="23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trust that you will ultimately see the clear and compelling value our proposal offers and will engage with us to deliver that value to TICC stockholders who, we believe, are strongly in support of our proposal. We look forward to hearing from you, and stand ready and willing to immediately engage in a constructive dialogue and to address any questions or concerns you may have.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Michael Fishman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380"/>
          </w:cols>
          <w:pgMar w:left="240" w:top="274"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TPG Specialty Lending</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$12 billion of assets under management, and the broader TPG platform, a global private investment firm with over $74 billion of assets under management. For more information, visit the Company’s website at </w:t>
      </w:r>
      <w:r>
        <w:rPr>
          <w:rFonts w:ascii="Arial" w:cs="Arial" w:eastAsia="Arial" w:hAnsi="Arial"/>
          <w:sz w:val="17"/>
          <w:szCs w:val="17"/>
          <w:u w:val="single" w:color="auto"/>
          <w:color w:val="auto"/>
        </w:rPr>
        <w:t>www.tpgspecialtylending.com</w:t>
      </w:r>
      <w:r>
        <w:rPr>
          <w:rFonts w:ascii="Arial" w:cs="Arial" w:eastAsia="Arial" w:hAnsi="Arial"/>
          <w:sz w:val="17"/>
          <w:szCs w:val="17"/>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Information set forth herein includes forward-looking statements. These forward-looking statements include, but are not limited to, statements regarding TSLX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w:t>
      </w:r>
    </w:p>
    <w:p>
      <w:pPr>
        <w:spacing w:after="0" w:line="19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any financing required in connection with the consummation of the transaction are not obtained or are obtained 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w:t>
      </w:r>
    </w:p>
    <w:p>
      <w:pPr>
        <w:spacing w:after="0" w:line="1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ectPr>
          <w:pgSz w:w="11900" w:h="16838" w:orient="portrait"/>
          <w:cols w:equalWidth="0" w:num="1">
            <w:col w:w="11400"/>
          </w:cols>
          <w:pgMar w:left="240" w:top="27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Party-Sourced Statements and Information</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information set forth herein is provided for informational purposes only and does not constitute an offer to purchase or the solicitation of an offer to sell any securities. TSLX has filed with the SEC and mailed to TICC stockholders a definitive proxy statement and accompanying GOLD proxy card to be used to solicit votes at a special meeting of stockholders of TICC originally scheduled for October 27, 2015 against (a) approval of the new advisory agreement between TICC and TICC Management, LLC (the “Adviser”), to take effect upon a change of control of the Adviser in connection with the entrance of the Adviser into a purchase agreement with an affiliate of Benefit Street Partners L.L.C. (“BSP”), pursuant to which BSP will acquire control of the Adviser,</w:t>
      </w:r>
    </w:p>
    <w:p>
      <w:pPr>
        <w:spacing w:after="0" w:line="2" w:lineRule="exact"/>
        <w:rPr>
          <w:sz w:val="20"/>
          <w:szCs w:val="20"/>
          <w:color w:val="auto"/>
        </w:rPr>
      </w:pPr>
    </w:p>
    <w:p>
      <w:pPr>
        <w:ind w:right="440" w:firstLine="8"/>
        <w:spacing w:after="0" w:line="261"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election of six directors nominated by TICC’s board of directors, and (c) the proposal to adjourn the meeting if necessary or appropriate to solicit additional votes.</w:t>
      </w:r>
    </w:p>
    <w:p>
      <w:pPr>
        <w:spacing w:after="0" w:line="18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TSLX STRONGLY ADVISES ALL STOCKHOLDERS OF TICC TO READ THE TSLX PROXY STATEMENT AND ITS OTHER PROXY MATERIALS AS THEY BECOME AVAILABLE BECAUSE THEY CONTAIN IMPORTANT INFORMATION. SUCH TSLX PROXY MATERIALS ARE AND WILL BECOME AVAILABLE AT NO CHARGE ON THE 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AT TSLX’S WEBSITE</w:t>
      </w:r>
    </w:p>
    <w:p>
      <w:pPr>
        <w:ind w:right="440"/>
        <w:spacing w:after="0" w:line="255"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1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participant in the solicitation is TSLX and certain of its directors and executive officers may also be deemed to be participants in the solicitation. As of the date hereof, TSLX directly beneficially owned 1,633,660 shares of common stock of TICC.</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2014, which was filed with the SEC on February 24, 2015, its proxy statement for the 2015 Annual Meeting, which was filed with the SEC on April 10, 2015,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pacing w:after="0" w:line="220"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6"/>
          <w:szCs w:val="16"/>
          <w:color w:val="auto"/>
        </w:rPr>
        <w:t>Represents closing price on October 30, 2015 (the day before the revised TSLX offer was publically announced) and November 27, 2015, respectively.</w:t>
      </w:r>
    </w:p>
    <w:p>
      <w:pPr>
        <w:spacing w:after="0" w:line="45"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7"/>
          <w:szCs w:val="17"/>
          <w:color w:val="auto"/>
        </w:rPr>
        <w:t>TICC Sends Letter to Stockholders Highlighting the Five Most Important and Undisputed Points in Support of the BSP Agreement, Oct. 20, 2015.</w:t>
      </w:r>
    </w:p>
    <w:p>
      <w:pPr>
        <w:spacing w:after="0" w:line="21"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5"/>
          <w:szCs w:val="15"/>
          <w:color w:val="auto"/>
        </w:rPr>
      </w:pPr>
      <w:r>
        <w:rPr>
          <w:rFonts w:ascii="Arial" w:cs="Arial" w:eastAsia="Arial" w:hAnsi="Arial"/>
          <w:sz w:val="18"/>
          <w:szCs w:val="18"/>
          <w:color w:val="auto"/>
        </w:rPr>
        <w:t>Wells Fargo Securities, LLC report dated Oct. 8, 2015.</w:t>
      </w:r>
    </w:p>
    <w:p>
      <w:pPr>
        <w:spacing w:after="0" w:line="9"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7"/>
          <w:szCs w:val="17"/>
          <w:color w:val="auto"/>
        </w:rPr>
        <w:t>TICC Sends Letter to Stockholders Highlighting the Five Most Important and Undisputed Points in Support of the BSP Agreement, Oct. 20, 2015.</w:t>
      </w:r>
    </w:p>
    <w:p>
      <w:pPr>
        <w:spacing w:after="0" w:line="21"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5"/>
          <w:szCs w:val="15"/>
          <w:color w:val="auto"/>
        </w:rPr>
      </w:pPr>
      <w:r>
        <w:rPr>
          <w:rFonts w:ascii="Arial" w:cs="Arial" w:eastAsia="Arial" w:hAnsi="Arial"/>
          <w:sz w:val="18"/>
          <w:szCs w:val="18"/>
          <w:color w:val="auto"/>
        </w:rPr>
        <w:t>Benefit Street Partners Issues Open Letter to TICC Stockholders, Oct. 7, 2015.</w:t>
      </w:r>
    </w:p>
    <w:p>
      <w:pPr>
        <w:spacing w:after="0" w:line="9"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5"/>
          <w:szCs w:val="15"/>
          <w:color w:val="auto"/>
        </w:rPr>
      </w:pPr>
      <w:r>
        <w:rPr>
          <w:rFonts w:ascii="Arial" w:cs="Arial" w:eastAsia="Arial" w:hAnsi="Arial"/>
          <w:sz w:val="18"/>
          <w:szCs w:val="18"/>
          <w:color w:val="auto"/>
        </w:rPr>
        <w:t>TICC Capital’s Investment Advisor to Be Acquired by Benefit Street Partners, Aug. 4, 2015.</w:t>
      </w:r>
    </w:p>
    <w:p>
      <w:pPr>
        <w:spacing w:after="0" w:line="9"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7"/>
          <w:szCs w:val="17"/>
          <w:color w:val="auto"/>
        </w:rPr>
        <w:t>BDC Composite comprised of ACAS, AINV, ARCC, FSC, GBDC, HTGC, MAIN, MCC, NMFC, PNNT, PSEC, SLRC, TCAP, TCRD and BKCC.</w:t>
      </w:r>
    </w:p>
    <w:p>
      <w:pPr>
        <w:sectPr>
          <w:pgSz w:w="11900" w:h="16838" w:orient="portrait"/>
          <w:cols w:equalWidth="0" w:num="1">
            <w:col w:w="11420"/>
          </w:cols>
          <w:pgMar w:left="240" w:top="27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Ollwerther, 212-430-4119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bollwerther@tpg.com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Koons, 212-929-5708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ckoons@mackenziepartners.com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Tom Johnson or Pat Tucker, 212-371-5999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pct@abmac.com</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lvl w:ilvl="1">
      <w:lvlJc w:val="left"/>
      <w:lvlText w:val="(%2)"/>
      <w:numFmt w:val="decimal"/>
      <w:start w:val="1"/>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lowerLetter"/>
      <w:start w:val="2"/>
    </w:lvl>
  </w:abstractNum>
  <w:abstractNum w:abstractNumId="11">
    <w:nsid w:val="1BEFD79F"/>
    <w:multiLevelType w:val="hybridMultilevel"/>
    <w:lvl w:ilvl="0">
      <w:lvlJc w:val="left"/>
      <w:lvlText w:val="1"/>
      <w:numFmt w:val="bullet"/>
      <w:start w:val="1"/>
    </w:lvl>
  </w:abstractNum>
  <w:abstractNum w:abstractNumId="12">
    <w:nsid w:val="41A7C4C9"/>
    <w:multiLevelType w:val="hybridMultilevel"/>
    <w:lvl w:ilvl="0">
      <w:lvlJc w:val="left"/>
      <w:lvlText w:val="2"/>
      <w:numFmt w:val="bullet"/>
      <w:start w:val="1"/>
    </w:lvl>
  </w:abstractNum>
  <w:abstractNum w:abstractNumId="13">
    <w:nsid w:val="6B68079A"/>
    <w:multiLevelType w:val="hybridMultilevel"/>
    <w:lvl w:ilvl="0">
      <w:lvlJc w:val="left"/>
      <w:lvlText w:val="3"/>
      <w:numFmt w:val="bullet"/>
      <w:start w:val="1"/>
    </w:lvl>
  </w:abstractNum>
  <w:abstractNum w:abstractNumId="14">
    <w:nsid w:val="4E6AFB66"/>
    <w:multiLevelType w:val="hybridMultilevel"/>
    <w:lvl w:ilvl="0">
      <w:lvlJc w:val="left"/>
      <w:lvlText w:val="4"/>
      <w:numFmt w:val="bullet"/>
      <w:start w:val="1"/>
    </w:lvl>
  </w:abstractNum>
  <w:abstractNum w:abstractNumId="15">
    <w:nsid w:val="25E45D32"/>
    <w:multiLevelType w:val="hybridMultilevel"/>
    <w:lvl w:ilvl="0">
      <w:lvlJc w:val="left"/>
      <w:lvlText w:val="5"/>
      <w:numFmt w:val="bullet"/>
      <w:start w:val="1"/>
    </w:lvl>
  </w:abstractNum>
  <w:abstractNum w:abstractNumId="16">
    <w:nsid w:val="519B500D"/>
    <w:multiLevelType w:val="hybridMultilevel"/>
    <w:lvl w:ilvl="0">
      <w:lvlJc w:val="left"/>
      <w:lvlText w:val="6"/>
      <w:numFmt w:val="bullet"/>
      <w:start w:val="1"/>
    </w:lvl>
  </w:abstractNum>
  <w:abstractNum w:abstractNumId="17">
    <w:nsid w:val="431BD7B7"/>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2019-12-20T23:24:28Z</dcterms:created>
  <dcterms:modified xsi:type="dcterms:W3CDTF">2019-12-20T23:24:28Z</dcterms:modified>
</cp:coreProperties>
</file>