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1"/>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157480</wp:posOffset>
            </wp:positionV>
            <wp:extent cx="617474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4740" cy="34290"/>
                    </a:xfrm>
                    <a:prstGeom prst="rect">
                      <a:avLst/>
                    </a:prstGeom>
                    <a:noFill/>
                  </pic:spPr>
                </pic:pic>
              </a:graphicData>
            </a:graphic>
          </wp:anchor>
        </w:drawing>
        <w:t>UNITED STATES</w:t>
      </w:r>
    </w:p>
    <w:p>
      <w:pPr>
        <w:spacing w:after="0" w:line="38" w:lineRule="exact"/>
        <w:rPr>
          <w:sz w:val="24"/>
          <w:szCs w:val="24"/>
          <w:color w:val="auto"/>
        </w:rPr>
      </w:pPr>
    </w:p>
    <w:p>
      <w:pPr>
        <w:jc w:val="center"/>
        <w:ind w:right="171"/>
        <w:spacing w:after="0"/>
        <w:rPr>
          <w:sz w:val="20"/>
          <w:szCs w:val="20"/>
          <w:color w:val="auto"/>
        </w:rPr>
      </w:pPr>
      <w:r>
        <w:rPr>
          <w:rFonts w:ascii="Arial" w:cs="Arial" w:eastAsia="Arial" w:hAnsi="Arial"/>
          <w:sz w:val="25"/>
          <w:szCs w:val="25"/>
          <w:b w:val="1"/>
          <w:bCs w:val="1"/>
          <w:color w:val="auto"/>
        </w:rPr>
        <w:t>SECURITIES AND EXCHANGE COMMISSION</w:t>
      </w:r>
    </w:p>
    <w:p>
      <w:pPr>
        <w:spacing w:after="0" w:line="220"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Washington, D.C. 20549</w:t>
      </w:r>
    </w:p>
    <w:p>
      <w:pPr>
        <w:spacing w:after="0" w:line="301" w:lineRule="exact"/>
        <w:rPr>
          <w:sz w:val="24"/>
          <w:szCs w:val="24"/>
          <w:color w:val="auto"/>
        </w:rPr>
      </w:pPr>
    </w:p>
    <w:p>
      <w:pPr>
        <w:jc w:val="center"/>
        <w:ind w:right="171"/>
        <w:spacing w:after="0"/>
        <w:rPr>
          <w:sz w:val="20"/>
          <w:szCs w:val="20"/>
          <w:color w:val="auto"/>
        </w:rPr>
      </w:pPr>
      <w:r>
        <w:rPr>
          <w:rFonts w:ascii="Arial" w:cs="Arial" w:eastAsia="Arial" w:hAnsi="Arial"/>
          <w:sz w:val="32"/>
          <w:szCs w:val="32"/>
          <w:b w:val="1"/>
          <w:bCs w:val="1"/>
          <w:color w:val="auto"/>
        </w:rPr>
        <w:t>SCHEDULE 13G</w:t>
      </w:r>
    </w:p>
    <w:p>
      <w:pPr>
        <w:spacing w:after="0" w:line="335"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71"/>
        <w:spacing w:after="0"/>
        <w:rPr>
          <w:sz w:val="20"/>
          <w:szCs w:val="20"/>
          <w:color w:val="auto"/>
        </w:rPr>
      </w:pPr>
      <w:r>
        <w:rPr>
          <w:rFonts w:ascii="Arial" w:cs="Arial" w:eastAsia="Arial" w:hAnsi="Arial"/>
          <w:sz w:val="22"/>
          <w:szCs w:val="22"/>
          <w:b w:val="1"/>
          <w:bCs w:val="1"/>
          <w:color w:val="auto"/>
        </w:rPr>
        <w:t>(Amendment No. 1)*</w:t>
      </w:r>
    </w:p>
    <w:p>
      <w:pPr>
        <w:spacing w:after="0" w:line="259" w:lineRule="exact"/>
        <w:rPr>
          <w:sz w:val="24"/>
          <w:szCs w:val="24"/>
          <w:color w:val="auto"/>
        </w:rPr>
      </w:pPr>
    </w:p>
    <w:p>
      <w:pPr>
        <w:jc w:val="center"/>
        <w:ind w:right="171"/>
        <w:spacing w:after="0"/>
        <w:rPr>
          <w:sz w:val="20"/>
          <w:szCs w:val="20"/>
          <w:color w:val="auto"/>
        </w:rPr>
      </w:pPr>
      <w:r>
        <w:rPr>
          <w:rFonts w:ascii="Arial" w:cs="Arial" w:eastAsia="Arial" w:hAnsi="Arial"/>
          <w:sz w:val="43"/>
          <w:szCs w:val="43"/>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61747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3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(Name of Issuer)</w:t>
      </w:r>
    </w:p>
    <w:p>
      <w:pPr>
        <w:spacing w:after="0" w:line="277"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Common Stock, $0.01 par value</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72"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285"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December 2, 2011</w:t>
      </w:r>
    </w:p>
    <w:p>
      <w:pPr>
        <w:spacing w:after="0" w:line="23" w:lineRule="exact"/>
        <w:rPr>
          <w:sz w:val="24"/>
          <w:szCs w:val="24"/>
          <w:color w:val="auto"/>
        </w:rPr>
      </w:pPr>
    </w:p>
    <w:p>
      <w:pPr>
        <w:jc w:val="center"/>
        <w:ind w:right="171"/>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6174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74740" cy="8890"/>
                    </a:xfrm>
                    <a:prstGeom prst="rect">
                      <a:avLst/>
                    </a:prstGeom>
                    <a:noFill/>
                  </pic:spPr>
                </pic:pic>
              </a:graphicData>
            </a:graphic>
          </wp:anchor>
        </w:drawing>
      </w:r>
    </w:p>
    <w:p>
      <w:pPr>
        <w:spacing w:after="0" w:line="164" w:lineRule="exact"/>
        <w:rPr>
          <w:sz w:val="24"/>
          <w:szCs w:val="24"/>
          <w:color w:val="auto"/>
        </w:rPr>
      </w:pPr>
    </w:p>
    <w:p>
      <w:pPr>
        <w:ind w:left="8"/>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13d-1(b)</w:t>
      </w:r>
    </w:p>
    <w:p>
      <w:pPr>
        <w:spacing w:after="0" w:line="198" w:lineRule="exact"/>
        <w:rPr>
          <w:sz w:val="24"/>
          <w:szCs w:val="24"/>
          <w:color w:val="auto"/>
        </w:rPr>
      </w:pPr>
    </w:p>
    <w:p>
      <w:pPr>
        <w:ind w:left="428" w:hanging="203"/>
        <w:spacing w:after="0"/>
        <w:tabs>
          <w:tab w:leader="none" w:pos="42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85" w:lineRule="exact"/>
        <w:rPr>
          <w:sz w:val="24"/>
          <w:szCs w:val="24"/>
          <w:color w:val="auto"/>
        </w:rPr>
      </w:pPr>
    </w:p>
    <w:p>
      <w:pPr>
        <w:ind w:left="228"/>
        <w:spacing w:after="0"/>
        <w:rPr>
          <w:sz w:val="20"/>
          <w:szCs w:val="20"/>
          <w:color w:val="auto"/>
        </w:rPr>
      </w:pPr>
      <w:r>
        <w:rPr>
          <w:rFonts w:ascii="Arial" w:cs="Arial" w:eastAsia="Arial" w:hAnsi="Arial"/>
          <w:sz w:val="18"/>
          <w:szCs w:val="18"/>
          <w:color w:val="auto"/>
        </w:rPr>
        <w:t>o Rule 13d-1(d)</w:t>
      </w:r>
    </w:p>
    <w:p>
      <w:pPr>
        <w:spacing w:after="0" w:line="185" w:lineRule="exact"/>
        <w:rPr>
          <w:sz w:val="24"/>
          <w:szCs w:val="24"/>
          <w:color w:val="auto"/>
        </w:rPr>
      </w:pPr>
    </w:p>
    <w:p>
      <w:pPr>
        <w:ind w:left="8" w:right="199" w:hanging="8"/>
        <w:spacing w:after="0" w:line="264" w:lineRule="auto"/>
        <w:tabs>
          <w:tab w:leader="none" w:pos="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4" w:lineRule="exact"/>
        <w:rPr>
          <w:sz w:val="24"/>
          <w:szCs w:val="24"/>
          <w:color w:val="auto"/>
        </w:rPr>
      </w:pPr>
    </w:p>
    <w:p>
      <w:pPr>
        <w:ind w:left="8" w:right="199"/>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1747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747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124460</wp:posOffset>
            </wp:positionV>
            <wp:extent cx="617474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74740" cy="2603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285115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7"/>
          </w:cols>
          <w:pgMar w:left="572" w:top="535" w:right="1440"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right w:val="single" w:sz="8" w:color="auto"/>
            </w:tcBorders>
            <w:gridSpan w:val="3"/>
          </w:tcPr>
          <w:p>
            <w:pPr>
              <w:ind w:left="300"/>
              <w:spacing w:after="0"/>
              <w:rPr>
                <w:sz w:val="20"/>
                <w:szCs w:val="20"/>
                <w:color w:val="auto"/>
              </w:rPr>
            </w:pPr>
            <w:r>
              <w:rPr>
                <w:rFonts w:ascii="Arial" w:cs="Arial" w:eastAsia="Arial" w:hAnsi="Arial"/>
                <w:sz w:val="18"/>
                <w:szCs w:val="18"/>
                <w:color w:val="auto"/>
              </w:rPr>
              <w:t>N/A</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1260" w:type="dxa"/>
            <w:vAlign w:val="bottom"/>
            <w:gridSpan w:val="5"/>
          </w:tcPr>
          <w:p>
            <w:pPr>
              <w:ind w:left="100"/>
              <w:spacing w:after="0"/>
              <w:rPr>
                <w:sz w:val="20"/>
                <w:szCs w:val="20"/>
                <w:color w:val="auto"/>
              </w:rPr>
            </w:pPr>
            <w:r>
              <w:rPr>
                <w:rFonts w:ascii="Arial" w:cs="Arial" w:eastAsia="Arial" w:hAnsi="Arial"/>
                <w:sz w:val="18"/>
                <w:szCs w:val="18"/>
                <w:color w:val="auto"/>
                <w:w w:val="90"/>
              </w:rPr>
              <w:t>Morgan Stanley</w:t>
            </w:r>
          </w:p>
        </w:tc>
        <w:tc>
          <w:tcPr>
            <w:tcW w:w="820" w:type="dxa"/>
            <w:vAlign w:val="bottom"/>
          </w:tcPr>
          <w:p>
            <w:pPr>
              <w:spacing w:after="0"/>
              <w:rPr>
                <w:sz w:val="20"/>
                <w:szCs w:val="20"/>
                <w:color w:val="auto"/>
              </w:rPr>
            </w:pPr>
          </w:p>
        </w:tc>
        <w:tc>
          <w:tcPr>
            <w:tcW w:w="70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7960" w:type="dxa"/>
            <w:vAlign w:val="bottom"/>
            <w:tcBorders>
              <w:bottom w:val="single" w:sz="8" w:color="auto"/>
              <w:right w:val="single" w:sz="8" w:color="auto"/>
            </w:tcBorders>
            <w:gridSpan w:val="3"/>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7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960" w:type="dxa"/>
            <w:vAlign w:val="bottom"/>
            <w:tcBorders>
              <w:bottom w:val="single" w:sz="8" w:color="auto"/>
              <w:right w:val="single" w:sz="8" w:color="auto"/>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46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46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46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78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46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6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w w:val="99"/>
              </w:rPr>
              <w:t>31,056 shares</w:t>
            </w:r>
          </w:p>
        </w:tc>
        <w:tc>
          <w:tcPr>
            <w:tcW w:w="8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19.0%</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w w:val="88"/>
              </w:rPr>
              <w:t>HC, CO</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179"/>
        <w:spacing w:after="0" w:line="272" w:lineRule="auto"/>
        <w:rPr>
          <w:sz w:val="20"/>
          <w:szCs w:val="20"/>
          <w:color w:val="auto"/>
        </w:rPr>
      </w:pPr>
      <w:r>
        <w:rPr>
          <w:rFonts w:ascii="Arial" w:cs="Arial" w:eastAsia="Arial" w:hAnsi="Arial"/>
          <w:sz w:val="17"/>
          <w:szCs w:val="17"/>
          <w:color w:val="auto"/>
        </w:rPr>
        <w:t>*Although MSSB TPG Specialty Lending Onshore Feeder Fund (the “Trust”) beneficially owns 31,056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120015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Morgan Stanley Smith Barney Holdings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gridSpan w:val="2"/>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gridSpan w:val="2"/>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279" w:hanging="8"/>
        <w:spacing w:after="0" w:line="293" w:lineRule="auto"/>
        <w:tabs>
          <w:tab w:leader="none" w:pos="155" w:val="left"/>
        </w:tabs>
        <w:numPr>
          <w:ilvl w:val="0"/>
          <w:numId w:val="3"/>
        </w:numPr>
        <w:rPr>
          <w:rFonts w:ascii="Arial" w:cs="Arial" w:eastAsia="Arial" w:hAnsi="Arial"/>
          <w:sz w:val="16"/>
          <w:szCs w:val="16"/>
          <w:color w:val="auto"/>
        </w:rPr>
      </w:pPr>
      <w:r>
        <w:rPr>
          <w:rFonts w:ascii="Arial" w:cs="Arial" w:eastAsia="Arial" w:hAnsi="Arial"/>
          <w:sz w:val="16"/>
          <w:szCs w:val="16"/>
          <w:color w:val="auto"/>
        </w:rPr>
        <w:t>Although the Trust beneficially owns 31,056 shares of the common stock of the Issuer and would otherwise be entitled to vote such shares, the Trust has contractually agreed to pass such voting rights through to the Trust’s underlying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111760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Morgan Stanley GWM Feeder Strategies LLC</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gridSpan w:val="2"/>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gridSpan w:val="2"/>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279"/>
        <w:spacing w:after="0" w:line="293" w:lineRule="auto"/>
        <w:rPr>
          <w:sz w:val="20"/>
          <w:szCs w:val="20"/>
          <w:color w:val="auto"/>
        </w:rPr>
      </w:pPr>
      <w:r>
        <w:rPr>
          <w:rFonts w:ascii="Arial" w:cs="Arial" w:eastAsia="Arial" w:hAnsi="Arial"/>
          <w:sz w:val="16"/>
          <w:szCs w:val="16"/>
          <w:color w:val="auto"/>
        </w:rPr>
        <w:t>*Although the Trust beneficially owns 31,056 shares of the common stock of the Issuer and would otherwise be entitled to vote such shares, the Trust has contractually agreed to pass such voting rights through to the Trust’s underlying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111760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8"/>
                <w:szCs w:val="18"/>
                <w:color w:val="auto"/>
              </w:rPr>
              <w:t>N/A</w:t>
            </w:r>
          </w:p>
        </w:tc>
        <w:tc>
          <w:tcPr>
            <w:tcW w:w="7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460" w:type="dxa"/>
            <w:vAlign w:val="bottom"/>
            <w:tcBorders>
              <w:bottom w:val="single" w:sz="8" w:color="auto"/>
            </w:tcBorders>
            <w:gridSpan w:val="2"/>
          </w:tcPr>
          <w:p>
            <w:pPr>
              <w:spacing w:after="0"/>
              <w:rPr>
                <w:sz w:val="24"/>
                <w:szCs w:val="24"/>
                <w:color w:val="auto"/>
              </w:rPr>
            </w:pPr>
          </w:p>
        </w:tc>
        <w:tc>
          <w:tcPr>
            <w:tcW w:w="79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30"/>
        </w:trPr>
        <w:tc>
          <w:tcPr>
            <w:tcW w:w="640" w:type="dxa"/>
            <w:vAlign w:val="bottom"/>
            <w:tcBorders>
              <w:left w:val="single" w:sz="8" w:color="auto"/>
              <w:right w:val="single" w:sz="8" w:color="auto"/>
            </w:tcBorders>
            <w:vMerge w:val="continue"/>
          </w:tcPr>
          <w:p>
            <w:pPr>
              <w:spacing w:after="0"/>
              <w:rPr>
                <w:sz w:val="20"/>
                <w:szCs w:val="20"/>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MSSB TPG Specialty Lending Onshore Feeder Fund</w:t>
            </w: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460" w:type="dxa"/>
            <w:vAlign w:val="bottom"/>
            <w:tcBorders>
              <w:bottom w:val="single" w:sz="8" w:color="auto"/>
            </w:tcBorders>
            <w:gridSpan w:val="2"/>
          </w:tcPr>
          <w:p>
            <w:pPr>
              <w:spacing w:after="0"/>
              <w:rPr>
                <w:sz w:val="22"/>
                <w:szCs w:val="22"/>
                <w:color w:val="auto"/>
              </w:rPr>
            </w:pPr>
          </w:p>
        </w:tc>
        <w:tc>
          <w:tcPr>
            <w:tcW w:w="7960" w:type="dxa"/>
            <w:vAlign w:val="bottom"/>
            <w:tcBorders>
              <w:bottom w:val="single" w:sz="8" w:color="auto"/>
              <w:right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445"/>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bottom w:val="single" w:sz="8" w:color="auto"/>
              <w:right w:val="single" w:sz="8" w:color="auto"/>
            </w:tcBorders>
          </w:tcPr>
          <w:p>
            <w:pPr>
              <w:spacing w:after="0"/>
              <w:rPr>
                <w:sz w:val="23"/>
                <w:szCs w:val="23"/>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704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58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460" w:type="dxa"/>
            <w:vAlign w:val="bottom"/>
            <w:tcBorders>
              <w:bottom w:val="single" w:sz="8" w:color="auto"/>
            </w:tcBorders>
            <w:gridSpan w:val="2"/>
          </w:tcPr>
          <w:p>
            <w:pPr>
              <w:spacing w:after="0"/>
              <w:rPr>
                <w:sz w:val="15"/>
                <w:szCs w:val="15"/>
                <w:color w:val="auto"/>
              </w:rPr>
            </w:pPr>
          </w:p>
        </w:tc>
        <w:tc>
          <w:tcPr>
            <w:tcW w:w="7960" w:type="dxa"/>
            <w:vAlign w:val="bottom"/>
            <w:tcBorders>
              <w:bottom w:val="single" w:sz="8" w:color="auto"/>
              <w:right w:val="single" w:sz="8" w:color="auto"/>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The state of organization is Delaware.</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5</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6"/>
              </w:rPr>
              <w:t>NUMBER OF</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rPr>
              <w:t>BENEFICIALLY</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7"/>
              </w:rPr>
              <w:t>OWNED BY</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30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160" w:type="dxa"/>
            <w:vAlign w:val="bottom"/>
            <w:tcBorders>
              <w:right w:val="single" w:sz="8" w:color="auto"/>
            </w:tcBorders>
          </w:tcPr>
          <w:p>
            <w:pPr>
              <w:spacing w:after="0"/>
              <w:rPr>
                <w:sz w:val="23"/>
                <w:szCs w:val="23"/>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3"/>
              </w:rPr>
              <w:t>REPORTING</w:t>
            </w:r>
          </w:p>
        </w:tc>
        <w:tc>
          <w:tcPr>
            <w:tcW w:w="300" w:type="dxa"/>
            <w:vAlign w:val="bottom"/>
            <w:vMerge w:val="continue"/>
          </w:tcPr>
          <w:p>
            <w:pPr>
              <w:spacing w:after="0"/>
              <w:rPr>
                <w:sz w:val="22"/>
                <w:szCs w:val="22"/>
                <w:color w:val="auto"/>
              </w:rPr>
            </w:pPr>
          </w:p>
        </w:tc>
        <w:tc>
          <w:tcPr>
            <w:tcW w:w="160" w:type="dxa"/>
            <w:vAlign w:val="bottom"/>
            <w:tcBorders>
              <w:right w:val="single" w:sz="8" w:color="auto"/>
            </w:tcBorders>
          </w:tcPr>
          <w:p>
            <w:pPr>
              <w:spacing w:after="0"/>
              <w:rPr>
                <w:sz w:val="22"/>
                <w:szCs w:val="22"/>
                <w:color w:val="auto"/>
              </w:rPr>
            </w:pPr>
          </w:p>
        </w:tc>
        <w:tc>
          <w:tcPr>
            <w:tcW w:w="920" w:type="dxa"/>
            <w:vAlign w:val="bottom"/>
          </w:tcPr>
          <w:p>
            <w:pPr>
              <w:spacing w:after="0"/>
              <w:rPr>
                <w:sz w:val="22"/>
                <w:szCs w:val="22"/>
                <w:color w:val="auto"/>
              </w:rPr>
            </w:pPr>
          </w:p>
        </w:tc>
        <w:tc>
          <w:tcPr>
            <w:tcW w:w="70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w:t>
            </w: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9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32"/>
                <w:szCs w:val="32"/>
                <w:b w:val="1"/>
                <w:bCs w:val="1"/>
                <w:color w:val="auto"/>
              </w:rPr>
              <w:t>8</w:t>
            </w:r>
          </w:p>
        </w:tc>
        <w:tc>
          <w:tcPr>
            <w:tcW w:w="160" w:type="dxa"/>
            <w:vAlign w:val="bottom"/>
            <w:tcBorders>
              <w:right w:val="single" w:sz="8" w:color="auto"/>
            </w:tcBorders>
          </w:tcPr>
          <w:p>
            <w:pPr>
              <w:spacing w:after="0"/>
              <w:rPr>
                <w:sz w:val="24"/>
                <w:szCs w:val="24"/>
                <w:color w:val="auto"/>
              </w:rPr>
            </w:pPr>
          </w:p>
        </w:tc>
        <w:tc>
          <w:tcPr>
            <w:tcW w:w="7960" w:type="dxa"/>
            <w:vAlign w:val="bottom"/>
            <w:tcBorders>
              <w:right w:val="single" w:sz="8" w:color="auto"/>
            </w:tcBorders>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7960" w:type="dxa"/>
            <w:vAlign w:val="bottom"/>
            <w:tcBorders>
              <w:bottom w:val="single" w:sz="8" w:color="auto"/>
              <w:right w:val="single" w:sz="8" w:color="auto"/>
            </w:tcBorders>
            <w:gridSpan w:val="2"/>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9120" w:type="dxa"/>
            <w:vAlign w:val="bottom"/>
            <w:tcBorders>
              <w:bottom w:val="single" w:sz="8" w:color="auto"/>
              <w:right w:val="single" w:sz="8" w:color="auto"/>
            </w:tcBorders>
            <w:gridSpan w:val="7"/>
          </w:tcPr>
          <w:p>
            <w:pPr>
              <w:ind w:left="100"/>
              <w:spacing w:after="0"/>
              <w:rPr>
                <w:sz w:val="20"/>
                <w:szCs w:val="20"/>
                <w:color w:val="auto"/>
              </w:rPr>
            </w:pPr>
            <w:r>
              <w:rPr>
                <w:rFonts w:ascii="Arial" w:cs="Arial" w:eastAsia="Arial" w:hAnsi="Arial"/>
                <w:sz w:val="18"/>
                <w:szCs w:val="18"/>
                <w:color w:val="auto"/>
              </w:rPr>
              <w:t>31,056 shares</w:t>
            </w: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CHECK IF THE AGGREGATE AMOUNT IN ROW (9) EXCLUDES CERTAIN SHARES (SEE INSTRUCTIONS)</w:t>
            </w: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3"/>
          </w:tcPr>
          <w:p>
            <w:pPr>
              <w:ind w:left="100"/>
              <w:spacing w:after="0"/>
              <w:rPr>
                <w:sz w:val="20"/>
                <w:szCs w:val="20"/>
                <w:color w:val="auto"/>
              </w:rPr>
            </w:pPr>
            <w:r>
              <w:rPr>
                <w:rFonts w:ascii="Arial" w:cs="Arial" w:eastAsia="Arial" w:hAnsi="Arial"/>
                <w:sz w:val="18"/>
                <w:szCs w:val="18"/>
                <w:color w:val="auto"/>
              </w:rPr>
              <w:t>19.0%</w:t>
            </w: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9120" w:type="dxa"/>
            <w:vAlign w:val="bottom"/>
            <w:tcBorders>
              <w:right w:val="single" w:sz="8" w:color="auto"/>
            </w:tcBorders>
            <w:gridSpan w:val="7"/>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9"/>
              </w:rPr>
              <w:t>OO</w:t>
            </w:r>
          </w:p>
        </w:tc>
        <w:tc>
          <w:tcPr>
            <w:tcW w:w="3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70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20" w:right="279" w:hanging="8"/>
        <w:spacing w:after="0" w:line="293" w:lineRule="auto"/>
        <w:tabs>
          <w:tab w:leader="none" w:pos="155" w:val="left"/>
        </w:tabs>
        <w:numPr>
          <w:ilvl w:val="0"/>
          <w:numId w:val="4"/>
        </w:numPr>
        <w:rPr>
          <w:rFonts w:ascii="Arial" w:cs="Arial" w:eastAsia="Arial" w:hAnsi="Arial"/>
          <w:sz w:val="16"/>
          <w:szCs w:val="16"/>
          <w:color w:val="auto"/>
        </w:rPr>
      </w:pPr>
      <w:r>
        <w:rPr>
          <w:rFonts w:ascii="Arial" w:cs="Arial" w:eastAsia="Arial" w:hAnsi="Arial"/>
          <w:sz w:val="16"/>
          <w:szCs w:val="16"/>
          <w:color w:val="auto"/>
        </w:rPr>
        <w:t>Although the Trust beneficially owns 31,056 shares of the common stock of the Issuer and would otherwise be entitled to vote such shares, the Trust has contractually agreed to pass such voting rights through to the Trust’s underlying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111760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99"/>
          </w:cols>
          <w:pgMar w:left="560" w:top="1143" w:right="1440"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1(a). Name of Issuer:</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TPG Specialty Lending, Inc.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301 Commerce Street, Suite 3300</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Fort Worth, TX 76102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189" w:lineRule="exact"/>
        <w:rPr>
          <w:sz w:val="20"/>
          <w:szCs w:val="20"/>
          <w:color w:val="auto"/>
        </w:rPr>
      </w:pPr>
    </w:p>
    <w:p>
      <w:pPr>
        <w:ind w:right="179" w:firstLine="389"/>
        <w:spacing w:after="0" w:line="255" w:lineRule="auto"/>
        <w:rPr>
          <w:sz w:val="20"/>
          <w:szCs w:val="20"/>
          <w:color w:val="auto"/>
        </w:rPr>
      </w:pPr>
      <w:r>
        <w:rPr>
          <w:rFonts w:ascii="Arial" w:cs="Arial" w:eastAsia="Arial" w:hAnsi="Arial"/>
          <w:sz w:val="18"/>
          <w:szCs w:val="18"/>
          <w:color w:val="auto"/>
        </w:rPr>
        <w:t>This Schedule 13G is jointly filed by: (i) Morgan Stanley; (ii) Morgan Stanley Smith Barney Holdings LLC; (iii) Morgan Stanley GWM Feeder Strategies LLC; and (iv) MSSB TPG Specialty Lending Onshore Feeder Fund (all together, the “Reporting Persons”), with respect to shares of common stock (the “Shares”) of the Issuer beneficially owned by MSSB TPG Specialty Lending Onshore Feeder Fund. Morgan Stanley GWM Feeder Strategies LLC is the managing owner of MSSB TPG Specialty Lending Onshore Feeder Fund, and is a wholly-owned subsidiary of Morgan Stanley Smith Barney Holdings LLC. Morgan Stanley Smith Barney Holdings LLC is indirectly majority-owned by Morgan Stanley.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02" w:lineRule="exact"/>
        <w:rPr>
          <w:sz w:val="20"/>
          <w:szCs w:val="20"/>
          <w:color w:val="auto"/>
        </w:rPr>
      </w:pPr>
    </w:p>
    <w:p>
      <w:pPr>
        <w:jc w:val="both"/>
        <w:ind w:right="639" w:firstLine="389"/>
        <w:spacing w:after="0" w:line="286" w:lineRule="auto"/>
        <w:rPr>
          <w:sz w:val="20"/>
          <w:szCs w:val="20"/>
          <w:color w:val="auto"/>
        </w:rPr>
      </w:pPr>
      <w:r>
        <w:rPr>
          <w:rFonts w:ascii="Arial" w:cs="Arial" w:eastAsia="Arial" w:hAnsi="Arial"/>
          <w:sz w:val="17"/>
          <w:szCs w:val="17"/>
          <w:color w:val="auto"/>
        </w:rPr>
        <w:t>The principal business address of each of MSSB TPG Specialty Lending Onshore Feeder Fund and Morgan Stanley GWM Feeder Strategies LLC is 522 Fifth Avenue, 13th floor, New York, NY 10036. The principal business address of each of Morgan Stanley Smith Barney Holdings LLC and Morgan Stanley is 1585 Broadway New York, NY 10036.</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189" w:lineRule="exact"/>
        <w:rPr>
          <w:sz w:val="20"/>
          <w:szCs w:val="20"/>
          <w:color w:val="auto"/>
        </w:rPr>
      </w:pPr>
    </w:p>
    <w:p>
      <w:pPr>
        <w:ind w:right="779" w:firstLine="389"/>
        <w:spacing w:after="0" w:line="277" w:lineRule="auto"/>
        <w:rPr>
          <w:sz w:val="20"/>
          <w:szCs w:val="20"/>
          <w:color w:val="auto"/>
        </w:rPr>
      </w:pPr>
      <w:r>
        <w:rPr>
          <w:rFonts w:ascii="Arial" w:cs="Arial" w:eastAsia="Arial" w:hAnsi="Arial"/>
          <w:sz w:val="18"/>
          <w:szCs w:val="18"/>
          <w:color w:val="auto"/>
        </w:rPr>
        <w:t>The state of organization of each of MSSB TPG Specialty Lending Onshore Feeder Fund, Morgan Stanley GWM Feeder Strategies LLC, Morgan Stanley Smith Barney Holdings LLC and Morgan Stanley is Delaware.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Common Stock, $0.01 par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0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w:t>
      </w:r>
    </w:p>
    <w:p>
      <w:pPr>
        <w:spacing w:after="0" w:line="1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 as of December 2, 2011*.</w:t>
      </w:r>
    </w:p>
    <w:p>
      <w:pPr>
        <w:spacing w:after="0" w:line="189" w:lineRule="exact"/>
        <w:rPr>
          <w:sz w:val="20"/>
          <w:szCs w:val="20"/>
          <w:color w:val="auto"/>
        </w:rPr>
      </w:pPr>
    </w:p>
    <w:p>
      <w:pPr>
        <w:ind w:left="1140" w:right="6679" w:hanging="378"/>
        <w:spacing w:after="0" w:line="422"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31,056 shares.</w:t>
      </w:r>
    </w:p>
    <w:p>
      <w:pPr>
        <w:spacing w:after="0" w:line="1" w:lineRule="exact"/>
        <w:rPr>
          <w:rFonts w:ascii="Arial" w:cs="Arial" w:eastAsia="Arial" w:hAnsi="Arial"/>
          <w:sz w:val="18"/>
          <w:szCs w:val="18"/>
          <w:color w:val="auto"/>
        </w:rPr>
      </w:pPr>
    </w:p>
    <w:p>
      <w:pPr>
        <w:ind w:left="1140" w:right="7559" w:hanging="378"/>
        <w:spacing w:after="0" w:line="449" w:lineRule="auto"/>
        <w:tabs>
          <w:tab w:leader="none" w:pos="11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 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527050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6" w:name="page7"/>
    <w:bookmarkEnd w:id="6"/>
    <w:p>
      <w:pPr>
        <w:ind w:left="1480" w:hanging="378"/>
        <w:spacing w:after="0"/>
        <w:tabs>
          <w:tab w:leader="none" w:pos="148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98" w:lineRule="exact"/>
        <w:rPr>
          <w:rFonts w:ascii="Arial" w:cs="Arial" w:eastAsia="Arial" w:hAnsi="Arial"/>
          <w:sz w:val="18"/>
          <w:szCs w:val="18"/>
          <w:color w:val="auto"/>
        </w:rPr>
      </w:pPr>
    </w:p>
    <w:p>
      <w:pPr>
        <w:ind w:left="1880" w:right="6880" w:hanging="386"/>
        <w:spacing w:after="0" w:line="438" w:lineRule="auto"/>
        <w:tabs>
          <w:tab w:leader="none" w:pos="18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ind w:left="1880" w:hanging="386"/>
        <w:spacing w:after="0"/>
        <w:tabs>
          <w:tab w:leader="none" w:pos="18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5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31,056 shares**</w:t>
      </w:r>
    </w:p>
    <w:p>
      <w:pPr>
        <w:spacing w:after="0" w:line="157" w:lineRule="exact"/>
        <w:rPr>
          <w:rFonts w:ascii="Arial" w:cs="Arial" w:eastAsia="Arial" w:hAnsi="Arial"/>
          <w:sz w:val="18"/>
          <w:szCs w:val="18"/>
          <w:color w:val="auto"/>
        </w:rPr>
      </w:pPr>
    </w:p>
    <w:p>
      <w:pPr>
        <w:ind w:left="1920" w:right="5960" w:hanging="426"/>
        <w:spacing w:after="0" w:line="422" w:lineRule="auto"/>
        <w:tabs>
          <w:tab w:leader="none" w:pos="1875"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 0</w:t>
      </w:r>
    </w:p>
    <w:p>
      <w:pPr>
        <w:spacing w:after="0" w:line="1" w:lineRule="exact"/>
        <w:rPr>
          <w:rFonts w:ascii="Arial" w:cs="Arial" w:eastAsia="Arial" w:hAnsi="Arial"/>
          <w:sz w:val="18"/>
          <w:szCs w:val="18"/>
          <w:color w:val="auto"/>
        </w:rPr>
      </w:pPr>
    </w:p>
    <w:p>
      <w:pPr>
        <w:ind w:left="1880" w:hanging="386"/>
        <w:spacing w:after="0"/>
        <w:tabs>
          <w:tab w:leader="none" w:pos="18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5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31,056 shares**</w:t>
      </w:r>
    </w:p>
    <w:p>
      <w:pPr>
        <w:spacing w:after="0" w:line="130" w:lineRule="exact"/>
        <w:rPr>
          <w:rFonts w:ascii="Arial" w:cs="Arial" w:eastAsia="Arial" w:hAnsi="Arial"/>
          <w:sz w:val="18"/>
          <w:szCs w:val="18"/>
          <w:color w:val="auto"/>
        </w:rPr>
      </w:pPr>
    </w:p>
    <w:p>
      <w:pPr>
        <w:ind w:left="720" w:right="1640" w:hanging="392"/>
        <w:spacing w:after="0" w:line="276" w:lineRule="auto"/>
        <w:rPr>
          <w:rFonts w:ascii="Arial" w:cs="Arial" w:eastAsia="Arial" w:hAnsi="Arial"/>
          <w:sz w:val="18"/>
          <w:szCs w:val="18"/>
          <w:color w:val="auto"/>
        </w:rPr>
      </w:pPr>
      <w:r>
        <w:rPr>
          <w:rFonts w:ascii="Arial" w:cs="Arial" w:eastAsia="Arial" w:hAnsi="Arial"/>
          <w:sz w:val="17"/>
          <w:szCs w:val="17"/>
          <w:color w:val="auto"/>
        </w:rPr>
        <w:t>* In Accordance with the Securities and Exchange Commission Release 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pacing w:after="0" w:line="23" w:lineRule="exact"/>
        <w:rPr>
          <w:rFonts w:ascii="Arial" w:cs="Arial" w:eastAsia="Arial" w:hAnsi="Arial"/>
          <w:sz w:val="18"/>
          <w:szCs w:val="18"/>
          <w:color w:val="auto"/>
        </w:rPr>
      </w:pPr>
    </w:p>
    <w:p>
      <w:pPr>
        <w:ind w:left="720" w:right="1440" w:hanging="388"/>
        <w:spacing w:after="0" w:line="255"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Although the Trust beneficially owns 31,056 shares of the common stock of the Issuer and would otherwise be entitled to vote such shares, the Trust has contractually agreed to pass such voting rights through to the Trust’s underlying Unitholders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920" w:right="1400" w:hanging="593"/>
        <w:spacing w:after="0" w:line="282"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by the Parent Holding Company.</w:t>
      </w:r>
    </w:p>
    <w:p>
      <w:pPr>
        <w:spacing w:after="0" w:line="1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See Exhibit 99.2.</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8. Identification and Classification of Member of the Group.</w:t>
      </w:r>
    </w:p>
    <w:p>
      <w:pPr>
        <w:spacing w:after="0" w:line="202"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18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10. Certification.</w:t>
      </w:r>
    </w:p>
    <w:p>
      <w:pPr>
        <w:spacing w:after="0" w:line="189" w:lineRule="exact"/>
        <w:rPr>
          <w:sz w:val="20"/>
          <w:szCs w:val="20"/>
          <w:color w:val="auto"/>
        </w:rPr>
      </w:pPr>
    </w:p>
    <w:p>
      <w:pPr>
        <w:ind w:left="340" w:right="1400" w:firstLine="381"/>
        <w:spacing w:after="0" w:line="286" w:lineRule="auto"/>
        <w:tabs>
          <w:tab w:leader="none" w:pos="974" w:val="left"/>
        </w:tabs>
        <w:numPr>
          <w:ilvl w:val="0"/>
          <w:numId w:val="8"/>
        </w:numPr>
        <w:rPr>
          <w:rFonts w:ascii="Arial" w:cs="Arial" w:eastAsia="Arial" w:hAnsi="Arial"/>
          <w:sz w:val="17"/>
          <w:szCs w:val="17"/>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or with the effect of changing or influencing the control of the Issuer of the securities and were not acquired and are not held in connection with or as a participant in any transaction having that purpose or effect.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Pr>
          <w:p>
            <w:pPr>
              <w:jc w:val="right"/>
              <w:ind w:right="430"/>
              <w:spacing w:after="0"/>
              <w:rPr>
                <w:sz w:val="20"/>
                <w:szCs w:val="20"/>
                <w:color w:val="auto"/>
              </w:rPr>
            </w:pPr>
            <w:r>
              <w:rPr>
                <w:rFonts w:ascii="Arial" w:cs="Arial" w:eastAsia="Arial" w:hAnsi="Arial"/>
                <w:sz w:val="18"/>
                <w:szCs w:val="18"/>
                <w:b w:val="1"/>
                <w:bCs w:val="1"/>
                <w:color w:val="auto"/>
              </w:rPr>
              <w:t>Exhibits</w:t>
            </w:r>
          </w:p>
        </w:tc>
        <w:tc>
          <w:tcPr>
            <w:tcW w:w="9920" w:type="dxa"/>
            <w:vAlign w:val="bottom"/>
          </w:tcPr>
          <w:p>
            <w:pPr>
              <w:spacing w:after="0"/>
              <w:rPr>
                <w:sz w:val="20"/>
                <w:szCs w:val="20"/>
                <w:color w:val="auto"/>
              </w:rPr>
            </w:pPr>
          </w:p>
        </w:tc>
      </w:tr>
      <w:tr>
        <w:trPr>
          <w:trHeight w:val="432"/>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99.1</w:t>
            </w:r>
          </w:p>
        </w:tc>
        <w:tc>
          <w:tcPr>
            <w:tcW w:w="9920" w:type="dxa"/>
            <w:vAlign w:val="bottom"/>
          </w:tcPr>
          <w:p>
            <w:pPr>
              <w:ind w:left="380"/>
              <w:spacing w:after="0"/>
              <w:rPr>
                <w:sz w:val="20"/>
                <w:szCs w:val="20"/>
                <w:color w:val="auto"/>
              </w:rPr>
            </w:pPr>
            <w:r>
              <w:rPr>
                <w:rFonts w:ascii="Arial" w:cs="Arial" w:eastAsia="Arial" w:hAnsi="Arial"/>
                <w:sz w:val="18"/>
                <w:szCs w:val="18"/>
                <w:color w:val="auto"/>
              </w:rPr>
              <w:t>Joint Filing Agreement, dated the date hereof, between the Reporting Persons.</w:t>
            </w:r>
          </w:p>
        </w:tc>
      </w:tr>
      <w:tr>
        <w:trPr>
          <w:trHeight w:val="432"/>
        </w:trPr>
        <w:tc>
          <w:tcPr>
            <w:tcW w:w="1500" w:type="dxa"/>
            <w:vAlign w:val="bottom"/>
          </w:tcPr>
          <w:p>
            <w:pPr>
              <w:jc w:val="right"/>
              <w:ind w:right="290"/>
              <w:spacing w:after="0"/>
              <w:rPr>
                <w:sz w:val="20"/>
                <w:szCs w:val="20"/>
                <w:color w:val="auto"/>
              </w:rPr>
            </w:pPr>
            <w:r>
              <w:rPr>
                <w:rFonts w:ascii="Arial" w:cs="Arial" w:eastAsia="Arial" w:hAnsi="Arial"/>
                <w:sz w:val="18"/>
                <w:szCs w:val="18"/>
                <w:color w:val="auto"/>
              </w:rPr>
              <w:t>99.2</w:t>
            </w:r>
          </w:p>
        </w:tc>
        <w:tc>
          <w:tcPr>
            <w:tcW w:w="9920" w:type="dxa"/>
            <w:vAlign w:val="bottom"/>
          </w:tcPr>
          <w:p>
            <w:pPr>
              <w:ind w:left="380"/>
              <w:spacing w:after="0"/>
              <w:rPr>
                <w:sz w:val="20"/>
                <w:szCs w:val="20"/>
                <w:color w:val="auto"/>
              </w:rPr>
            </w:pPr>
            <w:r>
              <w:rPr>
                <w:rFonts w:ascii="Arial" w:cs="Arial" w:eastAsia="Arial" w:hAnsi="Arial"/>
                <w:sz w:val="18"/>
                <w:szCs w:val="18"/>
                <w:color w:val="auto"/>
              </w:rPr>
              <w:t>Item 7 Information.</w:t>
            </w:r>
          </w:p>
        </w:tc>
      </w:tr>
      <w:tr>
        <w:trPr>
          <w:trHeight w:val="1023"/>
        </w:trPr>
        <w:tc>
          <w:tcPr>
            <w:tcW w:w="150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SIGNATURE</w:t>
      </w:r>
    </w:p>
    <w:p>
      <w:pPr>
        <w:spacing w:after="0" w:line="202" w:lineRule="exact"/>
        <w:rPr>
          <w:sz w:val="20"/>
          <w:szCs w:val="20"/>
          <w:color w:val="auto"/>
        </w:rPr>
      </w:pPr>
    </w:p>
    <w:p>
      <w:pPr>
        <w:ind w:right="419" w:firstLine="389"/>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Date: December 7, 2011</w:t>
            </w: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MSSB TPG SPECIALTY LENDING ONSHORE</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FEEDER FUND</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MORGAN STANLEY GWM FEEDER</w:t>
            </w:r>
          </w:p>
        </w:tc>
      </w:tr>
      <w:tr>
        <w:trPr>
          <w:trHeight w:val="216"/>
        </w:trPr>
        <w:tc>
          <w:tcPr>
            <w:tcW w:w="3080" w:type="dxa"/>
            <w:vAlign w:val="bottom"/>
          </w:tcPr>
          <w:p>
            <w:pPr>
              <w:spacing w:after="0"/>
              <w:rPr>
                <w:sz w:val="18"/>
                <w:szCs w:val="18"/>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STRATEGIES LLC</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Its Managing Owner</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John Sweeney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John Sweeney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 GWM FEEDER STRATEGIES</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LLC</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John Sweeney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John Sweeney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 SMITH BARNEY HOLDINGS</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LLC</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Anne Cooney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Anne Cooney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Christina Huffman</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Christina Huffman</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ectPr>
          <w:pgSz w:w="11900" w:h="16838" w:orient="portrait"/>
          <w:cols w:equalWidth="0" w:num="1">
            <w:col w:w="9879"/>
          </w:cols>
          <w:pgMar w:left="580" w:top="931" w:right="1440" w:bottom="1440" w:gutter="0" w:footer="0" w:header="0"/>
        </w:sectPr>
      </w:pPr>
    </w:p>
    <w:bookmarkStart w:id="8" w:name="page9"/>
    <w:bookmarkEnd w:id="8"/>
    <w:p>
      <w:pPr>
        <w:jc w:val="right"/>
        <w:ind w:right="159"/>
        <w:spacing w:after="0"/>
        <w:rPr>
          <w:sz w:val="20"/>
          <w:szCs w:val="20"/>
          <w:color w:val="auto"/>
        </w:rPr>
      </w:pPr>
      <w:r>
        <w:rPr>
          <w:rFonts w:ascii="Arial" w:cs="Arial" w:eastAsia="Arial" w:hAnsi="Arial"/>
          <w:sz w:val="18"/>
          <w:szCs w:val="18"/>
          <w:color w:val="auto"/>
        </w:rPr>
        <w:t>Exhibit 99.1</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JOINT FILING AGREEMENT</w:t>
      </w:r>
    </w:p>
    <w:p>
      <w:pPr>
        <w:spacing w:after="0" w:line="202" w:lineRule="exact"/>
        <w:rPr>
          <w:sz w:val="20"/>
          <w:szCs w:val="20"/>
          <w:color w:val="auto"/>
        </w:rPr>
      </w:pPr>
    </w:p>
    <w:p>
      <w:pPr>
        <w:ind w:right="179"/>
        <w:spacing w:after="0" w:line="291" w:lineRule="auto"/>
        <w:rPr>
          <w:sz w:val="20"/>
          <w:szCs w:val="20"/>
          <w:color w:val="auto"/>
        </w:rPr>
      </w:pPr>
      <w:r>
        <w:rPr>
          <w:rFonts w:ascii="Arial" w:cs="Arial" w:eastAsia="Arial" w:hAnsi="Arial"/>
          <w:sz w:val="16"/>
          <w:szCs w:val="16"/>
          <w:color w:val="auto"/>
        </w:rPr>
        <w:t>The undersigned hereby agree that the foregoing statement on Schedule 13G, dated December 7, 2011, with respect to the shares of TPG Specialty Lending, Inc.’s Common Stock is, and any amendments thereto executed by each of the undersigned shall be, filed on behalf of each of the undersigned pursuant to and in accordance with the provisions of Rule 13d-1(k)(1) under the Securities Exchange Act of 1934, as amended, and that this Agreement shall be included as an Exhibit to the Schedule 13G and each such amendment. Each of the undersigned agrees to be responsible for the timely filing of the Schedule 13G and any amendments thereto, and for the completeness and accuracy of the information concerning itself contained therein. This Agreement may be executed in any number of counterparts, all of which taken together shall constitute one and the same instrument.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WITNESS WHEREOF, the undersigned have executed this Agreement as of the 7th day of December, 2011.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Date: December 7, 2011</w:t>
            </w: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MSSB TPG SPECIALTY LENDING ONSHORE</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FEEDER FUND</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MORGAN STANLEY GWM FEEDER</w:t>
            </w:r>
          </w:p>
        </w:tc>
      </w:tr>
      <w:tr>
        <w:trPr>
          <w:trHeight w:val="216"/>
        </w:trPr>
        <w:tc>
          <w:tcPr>
            <w:tcW w:w="3080" w:type="dxa"/>
            <w:vAlign w:val="bottom"/>
          </w:tcPr>
          <w:p>
            <w:pPr>
              <w:spacing w:after="0"/>
              <w:rPr>
                <w:sz w:val="18"/>
                <w:szCs w:val="18"/>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STRATEGIES LLC</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Its Managing Owner</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John Sweeney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John Sweeney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 GWM FEEDER STRATEGIES</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LLC</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John Sweeney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John Sweeney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18"/>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 SMITH BARNEY HOLDINGS</w:t>
            </w:r>
          </w:p>
        </w:tc>
      </w:tr>
      <w:tr>
        <w:trPr>
          <w:trHeight w:val="230"/>
        </w:trPr>
        <w:tc>
          <w:tcPr>
            <w:tcW w:w="3080" w:type="dxa"/>
            <w:vAlign w:val="bottom"/>
          </w:tcPr>
          <w:p>
            <w:pPr>
              <w:spacing w:after="0"/>
              <w:rPr>
                <w:sz w:val="20"/>
                <w:szCs w:val="20"/>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LLC</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Anne Cooney</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Anne Cooney</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MORGAN STANLEY</w:t>
            </w:r>
          </w:p>
        </w:tc>
      </w:tr>
      <w:tr>
        <w:trPr>
          <w:trHeight w:val="432"/>
        </w:trPr>
        <w:tc>
          <w:tcPr>
            <w:tcW w:w="3080" w:type="dxa"/>
            <w:vAlign w:val="bottom"/>
          </w:tcPr>
          <w:p>
            <w:pPr>
              <w:spacing w:after="0"/>
              <w:rPr>
                <w:sz w:val="24"/>
                <w:szCs w:val="24"/>
                <w:color w:val="auto"/>
              </w:rPr>
            </w:pPr>
          </w:p>
        </w:tc>
        <w:tc>
          <w:tcPr>
            <w:tcW w:w="5560" w:type="dxa"/>
            <w:vAlign w:val="bottom"/>
            <w:gridSpan w:val="2"/>
          </w:tcPr>
          <w:p>
            <w:pPr>
              <w:ind w:left="1340"/>
              <w:spacing w:after="0"/>
              <w:rPr>
                <w:sz w:val="20"/>
                <w:szCs w:val="20"/>
                <w:color w:val="auto"/>
              </w:rPr>
            </w:pPr>
            <w:r>
              <w:rPr>
                <w:rFonts w:ascii="Arial" w:cs="Arial" w:eastAsia="Arial" w:hAnsi="Arial"/>
                <w:sz w:val="18"/>
                <w:szCs w:val="18"/>
                <w:color w:val="auto"/>
              </w:rPr>
              <w:t>By: /s/ Christina Huffman</w:t>
            </w:r>
          </w:p>
        </w:tc>
      </w:tr>
      <w:tr>
        <w:trPr>
          <w:trHeight w:val="209"/>
        </w:trPr>
        <w:tc>
          <w:tcPr>
            <w:tcW w:w="3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8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Christina Huffman</w:t>
            </w:r>
          </w:p>
        </w:tc>
      </w:tr>
      <w:tr>
        <w:trPr>
          <w:trHeight w:val="230"/>
        </w:trPr>
        <w:tc>
          <w:tcPr>
            <w:tcW w:w="30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Title: Authorized Signatory</w:t>
            </w:r>
          </w:p>
        </w:tc>
      </w:tr>
    </w:tbl>
    <w:p>
      <w:pPr>
        <w:sectPr>
          <w:pgSz w:w="11900" w:h="16838" w:orient="portrait"/>
          <w:cols w:equalWidth="0" w:num="1">
            <w:col w:w="9879"/>
          </w:cols>
          <w:pgMar w:left="580" w:top="125" w:right="1440" w:bottom="1440" w:gutter="0" w:footer="0" w:header="0"/>
        </w:sectPr>
      </w:pPr>
    </w:p>
    <w:bookmarkStart w:id="9" w:name="page10"/>
    <w:bookmarkEnd w:id="9"/>
    <w:p>
      <w:pPr>
        <w:jc w:val="right"/>
        <w:ind w:right="159"/>
        <w:spacing w:after="0"/>
        <w:rPr>
          <w:sz w:val="20"/>
          <w:szCs w:val="20"/>
          <w:color w:val="auto"/>
        </w:rPr>
      </w:pPr>
      <w:r>
        <w:rPr>
          <w:rFonts w:ascii="Arial" w:cs="Arial" w:eastAsia="Arial" w:hAnsi="Arial"/>
          <w:sz w:val="18"/>
          <w:szCs w:val="18"/>
          <w:color w:val="auto"/>
        </w:rPr>
        <w:t>Exhibit 99.2</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ITEM 7 INFORMATION</w:t>
      </w:r>
    </w:p>
    <w:p>
      <w:pPr>
        <w:spacing w:after="0" w:line="202" w:lineRule="exact"/>
        <w:rPr>
          <w:sz w:val="20"/>
          <w:szCs w:val="20"/>
          <w:color w:val="auto"/>
        </w:rPr>
      </w:pPr>
    </w:p>
    <w:p>
      <w:pPr>
        <w:ind w:right="479" w:firstLine="389"/>
        <w:spacing w:after="0" w:line="264" w:lineRule="auto"/>
        <w:rPr>
          <w:sz w:val="20"/>
          <w:szCs w:val="20"/>
          <w:color w:val="auto"/>
        </w:rPr>
      </w:pPr>
      <w:r>
        <w:rPr>
          <w:rFonts w:ascii="Arial" w:cs="Arial" w:eastAsia="Arial" w:hAnsi="Arial"/>
          <w:sz w:val="18"/>
          <w:szCs w:val="18"/>
          <w:color w:val="auto"/>
        </w:rPr>
        <w:t>The securities being reported on by Morgan Stanley as a parent holding company are owned, or may be deemed to be beneficially owned, by MSSB TPG Specialty Lending Onshore Feeder Fund (the “Trust”). Morgan Stanley is the indirect majority owner of Morgan Stanley GWM Feeder Strategies, the managing owner of the Trust.</w:t>
      </w:r>
    </w:p>
    <w:sectPr>
      <w:pgSz w:w="11900" w:h="16838" w:orient="portrait"/>
      <w:cols w:equalWidth="0" w:num="1">
        <w:col w:w="9879"/>
      </w:cols>
      <w:pgMar w:left="58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
      <w:numFmt w:val="bullet"/>
      <w:start w:val="1"/>
    </w:lvl>
    <w:lvl w:ilvl="1">
      <w:lvlJc w:val="left"/>
      <w:lvlText w:val="(%2)"/>
      <w:numFmt w:val="lowerLetter"/>
      <w:start w:val="3"/>
    </w:lvl>
    <w:lvl w:ilvl="2">
      <w:lvlJc w:val="left"/>
      <w:lvlText w:val="(%3)"/>
      <w:numFmt w:val="lowerRoman"/>
      <w:start w:val="1"/>
    </w:lvl>
  </w:abstractNum>
  <w:abstractNum w:abstractNumId="6">
    <w:nsid w:val="79E2A9E3"/>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2019-12-11T09:34:36Z</dcterms:created>
  <dcterms:modified xsi:type="dcterms:W3CDTF">2019-12-11T09:34:36Z</dcterms:modified>
</cp:coreProperties>
</file>