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21, 2018</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-294640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6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2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4"/>
              </w:rPr>
              <w:t>of Incorporation)</w:t>
            </w:r>
          </w:p>
        </w:tc>
        <w:tc>
          <w:tcPr>
            <w:tcW w:w="3320" w:type="dxa"/>
            <w:vAlign w:val="bottom"/>
          </w:tcPr>
          <w:p>
            <w:pPr>
              <w:ind w:left="11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8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97"/>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21, 2018, the registrant issued a press release announcing its financial results for the quarter and year ended December 31, 2017. The text of the press release is included as Exhibit 99.1 to this Form 8-K.</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February 21, 2018, the registrant issued a press release, included herewith as Exhibit 99.1, announcing the declaration of a first fiscal quarter 2018 base dividend of $0.39 per share for stockholders of record as of March 15, 2018, payable on April 13, 2018, and a quarterly variable supplemental dividend of $0.03 per share for stockholders of record as of February 28, 2018, payable on March 30, 2018.</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21,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8000" w:type="dxa"/>
            <w:vAlign w:val="bottom"/>
            <w:gridSpan w:val="2"/>
          </w:tcPr>
          <w:p>
            <w:pPr>
              <w:ind w:left="1660"/>
              <w:spacing w:after="0"/>
              <w:rPr>
                <w:sz w:val="20"/>
                <w:szCs w:val="20"/>
                <w:color w:val="auto"/>
              </w:rPr>
            </w:pPr>
            <w:r>
              <w:rPr>
                <w:rFonts w:ascii="Arial" w:cs="Arial" w:eastAsia="Arial" w:hAnsi="Arial"/>
                <w:sz w:val="18"/>
                <w:szCs w:val="18"/>
                <w:color w:val="auto"/>
              </w:rPr>
              <w:t>TPG SPECIALTY LENDING, INC.</w:t>
            </w: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20" w:type="dxa"/>
            <w:vAlign w:val="bottom"/>
          </w:tcPr>
          <w:p>
            <w:pPr>
              <w:ind w:left="280"/>
              <w:spacing w:after="0"/>
              <w:rPr>
                <w:sz w:val="20"/>
                <w:szCs w:val="20"/>
                <w:color w:val="auto"/>
              </w:rPr>
            </w:pPr>
            <w:r>
              <w:rPr>
                <w:rFonts w:ascii="Arial" w:cs="Arial" w:eastAsia="Arial" w:hAnsi="Arial"/>
                <w:sz w:val="18"/>
                <w:szCs w:val="18"/>
                <w:color w:val="auto"/>
              </w:rPr>
              <w:t>(Registrant)</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February 21, 2018</w:t>
            </w:r>
          </w:p>
        </w:tc>
        <w:tc>
          <w:tcPr>
            <w:tcW w:w="2280" w:type="dxa"/>
            <w:vAlign w:val="bottom"/>
          </w:tcPr>
          <w:p>
            <w:pPr>
              <w:ind w:left="166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Ian Simmonds</w:t>
            </w: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720" w:type="dxa"/>
            <w:vAlign w:val="bottom"/>
          </w:tcPr>
          <w:p>
            <w:pPr>
              <w:ind w:left="6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TPG Specialty Lending, Inc. Announces Quarter and Fiscal Year Ended December 31, 2017 Financial Results; Board Declares Quarterly Base Dividend of $0.39 Per Share for the First Fiscal Quarter of 2018 and a Quarterly Variable Supplemental Dividend of $0.03 Per Share</w:t>
      </w:r>
    </w:p>
    <w:p>
      <w:pPr>
        <w:spacing w:after="0" w:line="12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NEW YORK—(BUSINESS WIRE)—February 21, 2018— TPG Specialty Lending, Inc. (NYSE: TSLX, or the “Company”) today reported net investment income of $26.9 million, or $0.45 per share, for the quarter ended December 31, 2017. Net asset value per share was $16.09 at December 31, 2017 as compared to $16.09 at September 30, 2017. The Company’s Board of Directors previously declared a third quarter variable supplemental dividend of $0.06 per share and a fourth quarter base dividend of $0.39 per share, payable to stockholders of record as of November 30, 2017 and December 15, 2017, respectively, that was paid on December 29, 2017 and January 12, 2018, respectively.</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announced that its Board of Directors has declared a first quarter 2018 base dividend of $0.39 per share for stockholders of record as of March 15, 2018, payable on April 13, 2018. The Company’s Board of Directors also declared a fourth quarter variable supplemental dividend of $0.03 per share for stockholders of record as of February 28, 2018, payable on March 30, 2018.</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Board of Directors also approved an extension of its stock repurchase plan (“Company 10b5-1 Plan”) to acquire up to $50 million in the aggregate of TSLX’s common stock at prices just below TSLX’s net asset value per share, in accordance with the guidelines specified in Rule 10b-18 and Rule 10b5-1 of the Securities Exchange Act of 1934. Unless extended or terminated by its Board of Directors, the Company expects that the stock repurchase plan will be in effect through the earlier of August 31, 2018, or such time as the approved $50 million repurchase amount has been fully utilized, subject to certain conditions. Under the Company 10b5-1 Plan, no shares were repurchased during the fiscal year ended December 31, 2017.</w:t>
      </w:r>
    </w:p>
    <w:p>
      <w:pPr>
        <w:spacing w:after="0" w:line="1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February 2018, the Company entered into an amendment to the Revolving Credit Facility. Under the terms of the amendment, aggregate commitments under the facility were increased to $990 million. With respect to $895 million in commitments, amounts drawn under the facility bear interest at a rate of LIBOR plus a margin of either 1.75% or 1.875% and the stated maturity date has been extended to February 2023. Under the terms of the Revolving Credit Facility, the Company may at any time determine to cancel the commitments that were not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Investments at Fair Value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Asset Value Per Share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Variable Supplemental Dividend Per Share</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Investment Income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Income</w:t>
      </w:r>
    </w:p>
    <w:p>
      <w:pPr>
        <w:spacing w:after="0" w:line="2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Investment Income Per Share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Realized and Unrealized Gains (and</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Losses) Per Share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Income Per Share</w:t>
      </w:r>
    </w:p>
    <w:p>
      <w:pPr>
        <w:spacing w:after="0" w:line="27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Weighted Average Yield of Debt and Income</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Producing Securities at Fair Value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Weighted Average Yield of Debt and Income</w:t>
      </w:r>
    </w:p>
    <w:p>
      <w:pPr>
        <w:spacing w:after="0" w:line="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Producing Securities at Amortized Cost</w:t>
      </w:r>
    </w:p>
    <w:p>
      <w:pPr>
        <w:spacing w:after="0" w:line="265" w:lineRule="exact"/>
        <w:rPr>
          <w:sz w:val="20"/>
          <w:szCs w:val="20"/>
          <w:color w:val="auto"/>
        </w:rPr>
      </w:pPr>
    </w:p>
    <w:p>
      <w:pPr>
        <w:ind w:left="580" w:right="140"/>
        <w:spacing w:after="0" w:line="277" w:lineRule="auto"/>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78"/>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(unaudited)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9"/>
              </w:rPr>
              <w:t>December 31, 2017</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December 31, 2016</w:t>
            </w:r>
          </w:p>
        </w:tc>
        <w:tc>
          <w:tcPr>
            <w:tcW w:w="240" w:type="dxa"/>
            <w:vAlign w:val="bottom"/>
          </w:tcPr>
          <w:p>
            <w:pPr>
              <w:spacing w:after="0"/>
              <w:rPr>
                <w:sz w:val="14"/>
                <w:szCs w:val="14"/>
                <w:color w:val="auto"/>
              </w:rPr>
            </w:pPr>
          </w:p>
        </w:tc>
      </w:tr>
      <w:tr>
        <w:trPr>
          <w:trHeight w:val="384"/>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1,693.7</w:t>
            </w:r>
          </w:p>
        </w:tc>
        <w:tc>
          <w:tcPr>
            <w:tcW w:w="38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1,550.3</w:t>
            </w:r>
          </w:p>
        </w:tc>
        <w:tc>
          <w:tcPr>
            <w:tcW w:w="38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1,657.4</w:t>
            </w:r>
          </w:p>
        </w:tc>
        <w:tc>
          <w:tcPr>
            <w:tcW w:w="240" w:type="dxa"/>
            <w:vAlign w:val="bottom"/>
          </w:tcPr>
          <w:p>
            <w:pPr>
              <w:spacing w:after="0"/>
              <w:rPr>
                <w:sz w:val="24"/>
                <w:szCs w:val="24"/>
                <w:color w:val="auto"/>
              </w:rPr>
            </w:pP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1,720.2</w:t>
            </w:r>
          </w:p>
        </w:tc>
        <w:tc>
          <w:tcPr>
            <w:tcW w:w="380" w:type="dxa"/>
            <w:vAlign w:val="bottom"/>
          </w:tcPr>
          <w:p>
            <w:pPr>
              <w:spacing w:after="0"/>
              <w:rPr>
                <w:sz w:val="19"/>
                <w:szCs w:val="19"/>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1,581.1</w:t>
            </w:r>
          </w:p>
        </w:tc>
        <w:tc>
          <w:tcPr>
            <w:tcW w:w="38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1,675.5</w:t>
            </w:r>
          </w:p>
        </w:tc>
        <w:tc>
          <w:tcPr>
            <w:tcW w:w="240" w:type="dxa"/>
            <w:vAlign w:val="bottom"/>
          </w:tcPr>
          <w:p>
            <w:pPr>
              <w:spacing w:after="0"/>
              <w:rPr>
                <w:sz w:val="19"/>
                <w:szCs w:val="19"/>
                <w:color w:val="auto"/>
              </w:rPr>
            </w:pP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16.09</w:t>
            </w:r>
          </w:p>
        </w:tc>
        <w:tc>
          <w:tcPr>
            <w:tcW w:w="380" w:type="dxa"/>
            <w:vAlign w:val="bottom"/>
          </w:tcPr>
          <w:p>
            <w:pPr>
              <w:spacing w:after="0"/>
              <w:rPr>
                <w:sz w:val="19"/>
                <w:szCs w:val="19"/>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16.09</w:t>
            </w:r>
          </w:p>
        </w:tc>
        <w:tc>
          <w:tcPr>
            <w:tcW w:w="38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15.95</w:t>
            </w:r>
          </w:p>
        </w:tc>
        <w:tc>
          <w:tcPr>
            <w:tcW w:w="240" w:type="dxa"/>
            <w:vAlign w:val="bottom"/>
          </w:tcPr>
          <w:p>
            <w:pPr>
              <w:spacing w:after="0"/>
              <w:rPr>
                <w:sz w:val="19"/>
                <w:szCs w:val="19"/>
                <w:color w:val="auto"/>
              </w:rPr>
            </w:pP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0"/>
                <w:szCs w:val="20"/>
                <w:color w:val="auto"/>
              </w:rPr>
            </w:pPr>
          </w:p>
        </w:tc>
      </w:tr>
      <w:tr>
        <w:trPr>
          <w:trHeight w:val="243"/>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16.06</w:t>
            </w:r>
          </w:p>
        </w:tc>
        <w:tc>
          <w:tcPr>
            <w:tcW w:w="380" w:type="dxa"/>
            <w:vAlign w:val="bottom"/>
          </w:tcPr>
          <w:p>
            <w:pPr>
              <w:spacing w:after="0"/>
              <w:rPr>
                <w:sz w:val="21"/>
                <w:szCs w:val="21"/>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16.03</w:t>
            </w:r>
          </w:p>
        </w:tc>
        <w:tc>
          <w:tcPr>
            <w:tcW w:w="38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15.95</w:t>
            </w:r>
          </w:p>
        </w:tc>
        <w:tc>
          <w:tcPr>
            <w:tcW w:w="240" w:type="dxa"/>
            <w:vAlign w:val="bottom"/>
          </w:tcPr>
          <w:p>
            <w:pPr>
              <w:spacing w:after="0"/>
              <w:rPr>
                <w:sz w:val="21"/>
                <w:szCs w:val="21"/>
                <w:color w:val="auto"/>
              </w:rPr>
            </w:pPr>
          </w:p>
        </w:tc>
      </w:tr>
      <w:tr>
        <w:trPr>
          <w:trHeight w:val="499"/>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48.8</w:t>
            </w:r>
          </w:p>
        </w:tc>
        <w:tc>
          <w:tcPr>
            <w:tcW w:w="38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52.3</w:t>
            </w:r>
          </w:p>
        </w:tc>
        <w:tc>
          <w:tcPr>
            <w:tcW w:w="38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24"/>
                <w:szCs w:val="24"/>
                <w:color w:val="auto"/>
              </w:rPr>
            </w:pP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9"/>
                <w:szCs w:val="19"/>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30.9</w:t>
            </w:r>
          </w:p>
        </w:tc>
        <w:tc>
          <w:tcPr>
            <w:tcW w:w="38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20"/>
                <w:szCs w:val="20"/>
                <w:color w:val="auto"/>
              </w:rPr>
            </w:pPr>
          </w:p>
        </w:tc>
      </w:tr>
      <w:tr>
        <w:trPr>
          <w:trHeight w:val="486"/>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38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24"/>
                <w:szCs w:val="24"/>
                <w:color w:val="auto"/>
              </w:rPr>
            </w:pPr>
          </w:p>
        </w:tc>
      </w:tr>
      <w:tr>
        <w:trPr>
          <w:trHeight w:val="338"/>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0.10</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4"/>
                <w:szCs w:val="24"/>
                <w:color w:val="auto"/>
              </w:rPr>
            </w:pPr>
          </w:p>
        </w:tc>
      </w:tr>
      <w:tr>
        <w:trPr>
          <w:trHeight w:val="338"/>
        </w:trPr>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380" w:type="dxa"/>
            <w:vAlign w:val="bottom"/>
          </w:tcPr>
          <w:p>
            <w:pPr>
              <w:spacing w:after="0"/>
              <w:rPr>
                <w:sz w:val="24"/>
                <w:szCs w:val="24"/>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0.41</w:t>
            </w:r>
          </w:p>
        </w:tc>
        <w:tc>
          <w:tcPr>
            <w:tcW w:w="38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24"/>
                <w:szCs w:val="24"/>
                <w:color w:val="auto"/>
              </w:rPr>
            </w:pPr>
          </w:p>
        </w:tc>
      </w:tr>
      <w:tr>
        <w:trPr>
          <w:trHeight w:val="59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-3189605</wp:posOffset>
            </wp:positionV>
            <wp:extent cx="65176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-2898140</wp:posOffset>
            </wp:positionV>
            <wp:extent cx="65176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-2606675</wp:posOffset>
            </wp:positionV>
            <wp:extent cx="651764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63195"/>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-2280285</wp:posOffset>
            </wp:positionV>
            <wp:extent cx="651764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-1988820</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-1680210</wp:posOffset>
            </wp:positionV>
            <wp:extent cx="65176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-1251585</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-942975</wp:posOffset>
            </wp:positionV>
            <wp:extent cx="651764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28321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-213995</wp:posOffset>
            </wp:positionV>
            <wp:extent cx="651764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283210"/>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4180" w:space="720"/>
            <w:col w:w="5860"/>
          </w:cols>
          <w:pgMar w:left="240" w:top="1440" w:right="899" w:bottom="1440" w:gutter="0" w:footer="0" w:header="0"/>
        </w:sectPr>
      </w:pPr>
    </w:p>
    <w:p>
      <w:pPr>
        <w:ind w:left="420" w:hanging="412"/>
        <w:spacing w:after="0"/>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 Forma Net Asset Value Per Share gives effect to the supplemental dividend declared related to earnings in the applicable period.</w:t>
      </w:r>
    </w:p>
    <w:p>
      <w:pPr>
        <w:spacing w:after="0" w:line="248" w:lineRule="exact"/>
        <w:rPr>
          <w:rFonts w:ascii="Arial" w:cs="Arial" w:eastAsia="Arial" w:hAnsi="Arial"/>
          <w:sz w:val="16"/>
          <w:szCs w:val="16"/>
          <w:color w:val="auto"/>
        </w:rPr>
      </w:pPr>
    </w:p>
    <w:p>
      <w:pPr>
        <w:ind w:left="5660" w:right="460" w:hanging="5652"/>
        <w:spacing w:after="0" w:line="528" w:lineRule="auto"/>
        <w:tabs>
          <w:tab w:leader="none" w:pos="41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one or more fixed rate investments for which the Company entered into an interest rate swap agreement to swap to floating rate.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60"/>
          </w:cols>
          <w:pgMar w:left="240" w:top="1440" w:right="8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February 22, 2018. </w:t>
      </w:r>
      <w:r>
        <w:rPr>
          <w:rFonts w:ascii="Arial" w:cs="Arial" w:eastAsia="Arial" w:hAnsi="Arial"/>
          <w:sz w:val="18"/>
          <w:szCs w:val="18"/>
          <w:b w:val="1"/>
          <w:bCs w:val="1"/>
          <w:i w:val="1"/>
          <w:iCs w:val="1"/>
          <w:color w:val="auto"/>
        </w:rPr>
        <w:t>Please visit TSLX’s webcast link located on the Events &amp;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Presentation 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2777197</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An archived replay will be available from approximately 12:00 p.m. Eastern Time on February 22 through February 28 via a webcast link located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2777197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three months ended December 31, 2017, gross originations totaled $1,066.7 million. This compares to $501.2 million for the three months ended September 30, 2017 and $79.2 million for the three months ended December 31, 2016. For the twelve months ended December 31, 2017, gross originations totaled $2,251.5 million. This compares to gross originations of $761.5 million for the year ended December 31, 2016.</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three months ended December 31, 2017, the Company made new investment commitments of $296.7 million in five new portfolio companies and two existing portfolio companies. For this period, the Company had $136.4 million aggregate principal amount in exits and repayments.</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the three months ended December 31, 2016, the Company made new investment commitments of $54.3 million in one new portfolio company and two existing portfolio companies. For this period, the Company had $56.8 million aggregate principal amount in exits and repayments.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year ended December 31, 2017, the Company made new investment commitments of $1,072.6 million in 22 new portfolio companies and 12 existing portfolio companies. For this period, the Company had $951.5 million aggregate principal amount in exits and repayments.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year ended December 31, 2016, the Company made new investment commitments of $562.7 million in 14 new portfolio companies and 9 existing portfolio companies. For this period, the Company had $416.5 million aggregate principal amount in exits and repayments.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and September 30, 2017, the Company had investments in 45 and 44 portfolio companies, respectively, with an aggregate fair value of $1,693.7 million and $1,550.3 million, respectively.</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December 31, 2017, the portfolio based on fair value consisted of 93.4% first-lien debt investments, 3.6% second-lien debt investments, and 3.0% equity and other investments. As of September 30, 2017, the portfolio based on fair value consisted of 93.2% first-lien debt investments, 4.0% second-lien debt investments, and 2.8% equity and other investments.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December 31, 2017, 100.0% of debt investments based on fair value in the portfolio bore interest at floating rates (when including investment specific hedges), with 93.3% of these subject to interest rate floors. The Company’s credit facilities also bear interest at floating rates. In connection with the Company’s Convertible Senior Notes and 2023 Notes (issued in January 2018), which bear interest at fixed rates, the Company entered into fixed-to-floating interest rate swaps in order to align the nature of the interest rates of its liabilities with its investment portfolio.</w:t>
      </w:r>
    </w:p>
    <w:p>
      <w:pPr>
        <w:spacing w:after="0" w:line="17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As of December 31, 2017 and September 30, 2017, the weighted average total yield of debt and income-producing securities at fair value (which includes interest income and amortization of fees and discounts) was 10.7% and 10.7%, respectively, and the weighted average total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yield of debt and income-producing securities at amortized cost (which includes interest income and amortization of fees and discounts) was 10.8% and 10.8%, respectively.</w:t>
      </w: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As of December 31, 2017, 100% of the portfolio at fair value was meeting all payment and covenant requirements.</w:t>
      </w:r>
    </w:p>
    <w:p>
      <w:pPr>
        <w:spacing w:after="0" w:line="329" w:lineRule="exact"/>
        <w:rPr>
          <w:sz w:val="20"/>
          <w:szCs w:val="20"/>
          <w:color w:val="auto"/>
        </w:rPr>
      </w:pPr>
    </w:p>
    <w:p>
      <w:pPr>
        <w:ind w:right="148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December 31, 2017 compared to the Three Months Ended December 31, 2016 </w:t>
      </w:r>
      <w:r>
        <w:rPr>
          <w:rFonts w:ascii="Arial" w:cs="Arial" w:eastAsia="Arial" w:hAnsi="Arial"/>
          <w:sz w:val="18"/>
          <w:szCs w:val="18"/>
          <w:b w:val="1"/>
          <w:bCs w:val="1"/>
          <w:i w:val="1"/>
          <w:iCs w:val="1"/>
          <w:color w:val="auto"/>
        </w:rPr>
        <w:t>Investment Income</w:t>
      </w:r>
    </w:p>
    <w:p>
      <w:pPr>
        <w:ind w:right="280"/>
        <w:spacing w:after="0" w:line="264" w:lineRule="auto"/>
        <w:rPr>
          <w:sz w:val="20"/>
          <w:szCs w:val="20"/>
          <w:color w:val="auto"/>
        </w:rPr>
      </w:pPr>
      <w:r>
        <w:rPr>
          <w:rFonts w:ascii="Arial" w:cs="Arial" w:eastAsia="Arial" w:hAnsi="Arial"/>
          <w:sz w:val="18"/>
          <w:szCs w:val="18"/>
          <w:color w:val="auto"/>
        </w:rPr>
        <w:t>For the three months ended December 31, 2017 and 2016, investment income totaled $48.8 million and $49.7 million, respectively. The decrease in investment income was primarily driven by lower syndication and amendment fees, partially offset by higher accelerated amortization of upfront fees and prepayment fees from unscheduled paydowns.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Net expenses totaled $21.4 million and $21.0 million for the three months ended December 31, 2017 and 2016, respectively. This increase was primarily due to an increase in the average 1-month LIBOR rate, partially offset by a decrease in professional fees and other general and administrative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the Company had $6.7 million in cash and cash equivalents, total principal value of debt outstanding of $716.8 million, and</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$488.2 million of undrawn capacity on its revolving credit facility, subject to borrowing base and other limitations. The Company’s weighted average interest rate on debt outstanding was 3.4% and 2.8% for the three months ended December 31, 2017 and December 31, 2016,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with stable outlook by both Fitch Ratings and Standard and Poor’s.</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Financial Statements and Tables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$1,523,844</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$1,567,673, respectively)</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1,591,544</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$162,406 and $100,014,</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135,920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$1,686,250 and $1,667,687,</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1,693,723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(restricted cash of $3,150 and $1,088, respectively)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(net of deferred financing costs of $11,770 and $11,019, respectively)</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703,428</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60,336,281 and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Arial" w:cs="Arial" w:eastAsia="Arial" w:hAnsi="Arial"/>
                <w:sz w:val="18"/>
                <w:szCs w:val="18"/>
                <w:color w:val="auto"/>
              </w:rPr>
              <w:t>59,805,285 shares issued, respectively; and 60,247,201 and 59,716,205 shares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898,868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gains (losses)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2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660"/>
              <w:spacing w:after="0"/>
              <w:rPr>
                <w:sz w:val="20"/>
                <w:szCs w:val="20"/>
                <w:color w:val="auto"/>
              </w:rPr>
            </w:pPr>
            <w:r>
              <w:rPr>
                <w:rFonts w:ascii="Arial" w:cs="Arial" w:eastAsia="Arial" w:hAnsi="Arial"/>
                <w:sz w:val="18"/>
                <w:szCs w:val="18"/>
                <w:color w:val="auto"/>
              </w:rPr>
              <w:t>6</w:t>
            </w: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December 31, 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167,819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157,964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500"/>
              <w:spacing w:after="0"/>
              <w:rPr>
                <w:sz w:val="20"/>
                <w:szCs w:val="20"/>
                <w:color w:val="auto"/>
              </w:rPr>
            </w:pPr>
            <w:r>
              <w:rPr>
                <w:rFonts w:ascii="Arial" w:cs="Arial" w:eastAsia="Arial" w:hAnsi="Arial"/>
                <w:sz w:val="18"/>
                <w:szCs w:val="18"/>
                <w:color w:val="auto"/>
                <w:w w:val="99"/>
              </w:rPr>
              <w:t>Total investment income from non-controlled, non-affiliated investments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201,250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182,231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166,537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210,897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Management fees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Professional fees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87,888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76,843</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w:t>
            </w:r>
          </w:p>
        </w:tc>
        <w:tc>
          <w:tcPr>
            <w:tcW w:w="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87,803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76,617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123,094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109,558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96,798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95,298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(10,994)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other assets and liabilities in foreign currencies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(11,432)</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(3,547)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 (losses)</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(28,568)</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Realized gains (losses):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(21,776)</w:t>
            </w: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transactions</w:t>
            </w:r>
          </w:p>
        </w:tc>
        <w:tc>
          <w:tcPr>
            <w:tcW w:w="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realized losses</w:t>
            </w:r>
          </w:p>
        </w:tc>
        <w:tc>
          <w:tcPr>
            <w:tcW w:w="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(31,730)</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shd w:val="clear" w:color="auto" w:fill="CFF0FC"/>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4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111,609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63,568</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Earnings per common share—basic and diluted</w:t>
            </w:r>
          </w:p>
        </w:tc>
        <w:tc>
          <w:tcPr>
            <w:tcW w:w="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Borders>
              <w:bottom w:val="single" w:sz="8" w:color="CFF0FC"/>
            </w:tcBorders>
            <w:vMerge w:val="continue"/>
          </w:tcPr>
          <w:p>
            <w:pPr>
              <w:spacing w:after="0"/>
              <w:rPr>
                <w:sz w:val="18"/>
                <w:szCs w:val="18"/>
                <w:color w:val="auto"/>
              </w:rPr>
            </w:pPr>
          </w:p>
        </w:tc>
        <w:tc>
          <w:tcPr>
            <w:tcW w:w="4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59,995,387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58,591,380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54,006,322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6200" w:type="dxa"/>
            <w:vAlign w:val="bottom"/>
          </w:tcPr>
          <w:p>
            <w:pPr>
              <w:ind w:left="566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color w:val="auto"/>
        </w:rPr>
        <w:t>The Company’s investment activity for the years ended December 31, 2017, 2016, and 2015 is presented below (information presented herein is at par value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vMerge w:val="continue"/>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2,251.5</w:t>
            </w:r>
          </w:p>
        </w:tc>
        <w:tc>
          <w:tcPr>
            <w:tcW w:w="24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761.5</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4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562.7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958.9</w:t>
            </w:r>
          </w:p>
        </w:tc>
        <w:tc>
          <w:tcPr>
            <w:tcW w:w="24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518.0</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906.0</w:t>
            </w:r>
          </w:p>
        </w:tc>
        <w:tc>
          <w:tcPr>
            <w:tcW w:w="24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316.2</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Mezzanine and unsecured</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20"/>
                <w:szCs w:val="20"/>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20"/>
                <w:szCs w:val="20"/>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60" w:right="1140" w:hanging="5611"/>
        <w:spacing w:after="0" w:line="381" w:lineRule="auto"/>
        <w:tabs>
          <w:tab w:leader="none" w:pos="391"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Includes one or more fixed rate investments for which the Company entered into an interest rate swap agreement to swap to floating rate.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the dedicated special situations and credit platform of TPG, with approximately $20 billion of assets under management as of September 30, 2017 and the broader TPG platform, a global private investment firm with over $79 billion of assets under management as of September 30, 2017.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2019-12-29T00:51:20Z</dcterms:created>
  <dcterms:modified xsi:type="dcterms:W3CDTF">2019-12-29T00:51:20Z</dcterms:modified>
</cp:coreProperties>
</file>