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4C4C4E"/>
        </w:rPr>
        <mc:AlternateContent>
          <mc:Choice Requires="wps">
            <w:drawing>
              <wp:anchor simplePos="0" relativeHeight="251657728" behindDoc="1" locked="0" layoutInCell="0" allowOverlap="1">
                <wp:simplePos x="0" y="0"/>
                <wp:positionH relativeFrom="page">
                  <wp:posOffset>342900</wp:posOffset>
                </wp:positionH>
                <wp:positionV relativeFrom="page">
                  <wp:posOffset>389255</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30.65pt" to="567pt,30.65pt" o:allowincell="f" strokecolor="#4C4C4E" strokeweight="0.75pt">
                <w10:wrap anchorx="page" anchory="page"/>
              </v:line>
            </w:pict>
          </mc:Fallback>
        </mc:AlternateContent>
        <w:t>UNITED STATES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-191770</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999pt" to="540pt,-15.0999pt" o:allowincell="f" strokecolor="#4C4C4E" strokeweight="0.75pt"/>
            </w:pict>
          </mc:Fallback>
        </mc:AlternateContent>
      </w:r>
    </w:p>
    <w:p>
      <w:pPr>
        <w:jc w:val="center"/>
        <w:spacing w:after="0"/>
        <w:rPr>
          <w:sz w:val="20"/>
          <w:szCs w:val="20"/>
          <w:color w:val="auto"/>
        </w:rPr>
      </w:pPr>
      <w:r>
        <w:rPr>
          <w:rFonts w:ascii="Times New Roman" w:cs="Times New Roman" w:eastAsia="Times New Roman" w:hAnsi="Times New Roman"/>
          <w:sz w:val="28"/>
          <w:szCs w:val="28"/>
          <w:b w:val="1"/>
          <w:bCs w:val="1"/>
          <w:color w:val="4C4C4E"/>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4C4C4E"/>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40005</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4C4C4E"/>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3.15pt" to="324pt,3.15pt" o:allowincell="f" strokecolor="#4C4C4E" strokeweight="1pt"/>
            </w:pict>
          </mc:Fallback>
        </mc:AlternateConten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4C4C4E"/>
        </w:rPr>
        <w:t>FORM 10-K</w:t>
      </w:r>
    </w:p>
    <w:p>
      <w:pPr>
        <w:spacing w:after="0" w:line="34" w:lineRule="exact"/>
        <w:rPr>
          <w:sz w:val="24"/>
          <w:szCs w:val="24"/>
          <w:color w:val="auto"/>
        </w:rPr>
      </w:pPr>
    </w:p>
    <w:p>
      <w:pPr>
        <w:ind w:left="860" w:hanging="860"/>
        <w:spacing w:after="0"/>
        <w:tabs>
          <w:tab w:leader="none" w:pos="860" w:val="left"/>
        </w:tabs>
        <w:numPr>
          <w:ilvl w:val="0"/>
          <w:numId w:val="1"/>
        </w:numPr>
        <w:rPr>
          <w:rFonts w:ascii="Segoe UI" w:cs="Segoe UI" w:eastAsia="Segoe UI" w:hAnsi="Segoe UI"/>
          <w:sz w:val="20"/>
          <w:szCs w:val="20"/>
          <w:color w:val="4C4C4E"/>
        </w:rPr>
      </w:pPr>
      <w:r>
        <w:rPr>
          <w:rFonts w:ascii="Times New Roman" w:cs="Times New Roman" w:eastAsia="Times New Roman" w:hAnsi="Times New Roman"/>
          <w:sz w:val="20"/>
          <w:szCs w:val="20"/>
          <w:b w:val="1"/>
          <w:bCs w:val="1"/>
          <w:color w:val="4C4C4E"/>
        </w:rPr>
        <w:t>ANNUAL REPORT PURSUANT TO SECTION 13 OR 15(d) OF THE SECURITIES EXCHANGE ACT OF 1934</w:t>
      </w:r>
    </w:p>
    <w:p>
      <w:pPr>
        <w:spacing w:after="0" w:line="5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4C4C4E"/>
        </w:rPr>
        <w:t>For the fiscal year ended December 31, 2025</w:t>
      </w:r>
    </w:p>
    <w:p>
      <w:pPr>
        <w:spacing w:after="0" w:line="34"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9"/>
          <w:szCs w:val="19"/>
          <w:b w:val="1"/>
          <w:bCs w:val="1"/>
          <w:color w:val="4C4C4E"/>
        </w:rPr>
        <w:t>OR</w:t>
      </w:r>
    </w:p>
    <w:p>
      <w:pPr>
        <w:spacing w:after="0" w:line="20" w:lineRule="exact"/>
        <w:rPr>
          <w:sz w:val="24"/>
          <w:szCs w:val="24"/>
          <w:color w:val="auto"/>
        </w:rPr>
      </w:pPr>
    </w:p>
    <w:p>
      <w:pPr>
        <w:ind w:left="860" w:right="200" w:hanging="860"/>
        <w:spacing w:after="0" w:line="232" w:lineRule="auto"/>
        <w:tabs>
          <w:tab w:leader="none" w:pos="860" w:val="left"/>
        </w:tabs>
        <w:numPr>
          <w:ilvl w:val="0"/>
          <w:numId w:val="2"/>
        </w:numPr>
        <w:rPr>
          <w:rFonts w:ascii="Segoe UI" w:cs="Segoe UI" w:eastAsia="Segoe UI" w:hAnsi="Segoe UI"/>
          <w:sz w:val="20"/>
          <w:szCs w:val="20"/>
          <w:color w:val="4C4C4E"/>
        </w:rPr>
      </w:pPr>
      <w:r>
        <w:rPr>
          <w:rFonts w:ascii="Times New Roman" w:cs="Times New Roman" w:eastAsia="Times New Roman" w:hAnsi="Times New Roman"/>
          <w:sz w:val="20"/>
          <w:szCs w:val="20"/>
          <w:b w:val="1"/>
          <w:bCs w:val="1"/>
          <w:color w:val="4C4C4E"/>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4C4C4E"/>
        </w:rPr>
        <w:t>Commission file number 001-36364</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4C4C4E"/>
        </w:rPr>
        <w:t>Sixth Street Specialty Lending,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-306070</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4C4C4E"/>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4.0999pt" to="324pt,-24.0999pt" o:allowincell="f" strokecolor="#4C4C4E" strokeweight="1pt"/>
            </w:pict>
          </mc:Fallback>
        </mc:AlternateConten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4C4C4E"/>
        </w:rPr>
        <w:t>(Exact Name of Registrant as Specified in Its Charter)</w:t>
      </w:r>
    </w:p>
    <w:tbl>
      <w:tblPr>
        <w:tblLayout w:type="fixed"/>
        <w:tblInd w:w="1240" w:type="dxa"/>
        <w:tblCellMar>
          <w:top w:w="0" w:type="dxa"/>
          <w:left w:w="0" w:type="dxa"/>
          <w:bottom w:w="0" w:type="dxa"/>
          <w:right w:w="0" w:type="dxa"/>
        </w:tblCellMar>
      </w:tblPr>
      <w:tr>
        <w:trPr>
          <w:trHeight w:val="217"/>
        </w:trPr>
        <w:tc>
          <w:tcPr>
            <w:tcW w:w="4600" w:type="dxa"/>
            <w:vAlign w:val="bottom"/>
          </w:tcPr>
          <w:p>
            <w:pPr>
              <w:jc w:val="center"/>
              <w:ind w:right="1595"/>
              <w:spacing w:after="0" w:line="216" w:lineRule="exact"/>
              <w:rPr>
                <w:sz w:val="20"/>
                <w:szCs w:val="20"/>
                <w:color w:val="auto"/>
              </w:rPr>
            </w:pPr>
            <w:r>
              <w:rPr>
                <w:rFonts w:ascii="Times New Roman" w:cs="Times New Roman" w:eastAsia="Times New Roman" w:hAnsi="Times New Roman"/>
                <w:sz w:val="19"/>
                <w:szCs w:val="19"/>
                <w:b w:val="1"/>
                <w:bCs w:val="1"/>
                <w:color w:val="4C4C4E"/>
                <w:w w:val="98"/>
              </w:rPr>
              <w:t>Delaware</w:t>
            </w:r>
          </w:p>
        </w:tc>
        <w:tc>
          <w:tcPr>
            <w:tcW w:w="2840" w:type="dxa"/>
            <w:vAlign w:val="bottom"/>
          </w:tcPr>
          <w:p>
            <w:pPr>
              <w:jc w:val="right"/>
              <w:ind w:right="37"/>
              <w:spacing w:after="0" w:line="216" w:lineRule="exact"/>
              <w:rPr>
                <w:sz w:val="20"/>
                <w:szCs w:val="20"/>
                <w:color w:val="auto"/>
              </w:rPr>
            </w:pPr>
            <w:r>
              <w:rPr>
                <w:rFonts w:ascii="Times New Roman" w:cs="Times New Roman" w:eastAsia="Times New Roman" w:hAnsi="Times New Roman"/>
                <w:sz w:val="19"/>
                <w:szCs w:val="19"/>
                <w:b w:val="1"/>
                <w:bCs w:val="1"/>
                <w:color w:val="4C4C4E"/>
              </w:rPr>
              <w:t>27-3380000</w:t>
            </w:r>
          </w:p>
        </w:tc>
      </w:tr>
      <w:tr>
        <w:trPr>
          <w:trHeight w:val="164"/>
        </w:trPr>
        <w:tc>
          <w:tcPr>
            <w:tcW w:w="4600" w:type="dxa"/>
            <w:vAlign w:val="bottom"/>
          </w:tcPr>
          <w:p>
            <w:pPr>
              <w:jc w:val="center"/>
              <w:ind w:right="1595"/>
              <w:spacing w:after="0" w:line="164" w:lineRule="exact"/>
              <w:rPr>
                <w:sz w:val="20"/>
                <w:szCs w:val="20"/>
                <w:color w:val="auto"/>
              </w:rPr>
            </w:pPr>
            <w:r>
              <w:rPr>
                <w:rFonts w:ascii="Times New Roman" w:cs="Times New Roman" w:eastAsia="Times New Roman" w:hAnsi="Times New Roman"/>
                <w:sz w:val="15"/>
                <w:szCs w:val="15"/>
                <w:b w:val="1"/>
                <w:bCs w:val="1"/>
                <w:color w:val="4C4C4E"/>
              </w:rPr>
              <w:t>(State or other jurisdiction of</w:t>
            </w:r>
          </w:p>
        </w:tc>
        <w:tc>
          <w:tcPr>
            <w:tcW w:w="2840" w:type="dxa"/>
            <w:vAlign w:val="bottom"/>
          </w:tcPr>
          <w:p>
            <w:pPr>
              <w:jc w:val="center"/>
              <w:ind w:left="1597"/>
              <w:spacing w:after="0" w:line="164" w:lineRule="exact"/>
              <w:rPr>
                <w:sz w:val="20"/>
                <w:szCs w:val="20"/>
                <w:color w:val="auto"/>
              </w:rPr>
            </w:pPr>
            <w:r>
              <w:rPr>
                <w:rFonts w:ascii="Times New Roman" w:cs="Times New Roman" w:eastAsia="Times New Roman" w:hAnsi="Times New Roman"/>
                <w:sz w:val="15"/>
                <w:szCs w:val="15"/>
                <w:b w:val="1"/>
                <w:bCs w:val="1"/>
                <w:color w:val="4C4C4E"/>
                <w:w w:val="99"/>
              </w:rPr>
              <w:t>(I.R.S. Employer</w:t>
            </w:r>
          </w:p>
        </w:tc>
      </w:tr>
      <w:tr>
        <w:trPr>
          <w:trHeight w:val="206"/>
        </w:trPr>
        <w:tc>
          <w:tcPr>
            <w:tcW w:w="4600" w:type="dxa"/>
            <w:vAlign w:val="bottom"/>
          </w:tcPr>
          <w:p>
            <w:pPr>
              <w:jc w:val="center"/>
              <w:ind w:right="1595"/>
              <w:spacing w:after="0"/>
              <w:rPr>
                <w:sz w:val="20"/>
                <w:szCs w:val="20"/>
                <w:color w:val="auto"/>
              </w:rPr>
            </w:pPr>
            <w:r>
              <w:rPr>
                <w:rFonts w:ascii="Times New Roman" w:cs="Times New Roman" w:eastAsia="Times New Roman" w:hAnsi="Times New Roman"/>
                <w:sz w:val="15"/>
                <w:szCs w:val="15"/>
                <w:b w:val="1"/>
                <w:bCs w:val="1"/>
                <w:color w:val="4C4C4E"/>
              </w:rPr>
              <w:t>incorporation or organization)</w:t>
            </w:r>
          </w:p>
        </w:tc>
        <w:tc>
          <w:tcPr>
            <w:tcW w:w="2840" w:type="dxa"/>
            <w:vAlign w:val="bottom"/>
          </w:tcPr>
          <w:p>
            <w:pPr>
              <w:jc w:val="center"/>
              <w:ind w:left="1597"/>
              <w:spacing w:after="0"/>
              <w:rPr>
                <w:sz w:val="20"/>
                <w:szCs w:val="20"/>
                <w:color w:val="auto"/>
              </w:rPr>
            </w:pPr>
            <w:r>
              <w:rPr>
                <w:rFonts w:ascii="Times New Roman" w:cs="Times New Roman" w:eastAsia="Times New Roman" w:hAnsi="Times New Roman"/>
                <w:sz w:val="15"/>
                <w:szCs w:val="15"/>
                <w:b w:val="1"/>
                <w:bCs w:val="1"/>
                <w:color w:val="4C4C4E"/>
                <w:w w:val="98"/>
              </w:rPr>
              <w:t>Identification No.)</w:t>
            </w:r>
          </w:p>
        </w:tc>
      </w:tr>
      <w:tr>
        <w:trPr>
          <w:trHeight w:val="225"/>
        </w:trPr>
        <w:tc>
          <w:tcPr>
            <w:tcW w:w="4600" w:type="dxa"/>
            <w:vAlign w:val="bottom"/>
          </w:tcPr>
          <w:p>
            <w:pPr>
              <w:jc w:val="center"/>
              <w:ind w:right="1595"/>
              <w:spacing w:after="0"/>
              <w:rPr>
                <w:sz w:val="20"/>
                <w:szCs w:val="20"/>
                <w:color w:val="auto"/>
              </w:rPr>
            </w:pPr>
            <w:r>
              <w:rPr>
                <w:rFonts w:ascii="Times New Roman" w:cs="Times New Roman" w:eastAsia="Times New Roman" w:hAnsi="Times New Roman"/>
                <w:sz w:val="19"/>
                <w:szCs w:val="19"/>
                <w:b w:val="1"/>
                <w:bCs w:val="1"/>
                <w:color w:val="4C4C4E"/>
                <w:w w:val="99"/>
              </w:rPr>
              <w:t>2100 McKinney Avenue, Suite 1500,</w:t>
            </w:r>
          </w:p>
        </w:tc>
        <w:tc>
          <w:tcPr>
            <w:tcW w:w="2840" w:type="dxa"/>
            <w:vAlign w:val="bottom"/>
          </w:tcPr>
          <w:p>
            <w:pPr>
              <w:spacing w:after="0"/>
              <w:rPr>
                <w:sz w:val="19"/>
                <w:szCs w:val="19"/>
                <w:color w:val="auto"/>
              </w:rPr>
            </w:pPr>
          </w:p>
        </w:tc>
      </w:tr>
      <w:tr>
        <w:trPr>
          <w:trHeight w:val="229"/>
        </w:trPr>
        <w:tc>
          <w:tcPr>
            <w:tcW w:w="4600" w:type="dxa"/>
            <w:vAlign w:val="bottom"/>
          </w:tcPr>
          <w:p>
            <w:pPr>
              <w:jc w:val="center"/>
              <w:ind w:right="1595"/>
              <w:spacing w:after="0"/>
              <w:rPr>
                <w:sz w:val="20"/>
                <w:szCs w:val="20"/>
                <w:color w:val="auto"/>
              </w:rPr>
            </w:pPr>
            <w:r>
              <w:rPr>
                <w:rFonts w:ascii="Times New Roman" w:cs="Times New Roman" w:eastAsia="Times New Roman" w:hAnsi="Times New Roman"/>
                <w:sz w:val="19"/>
                <w:szCs w:val="19"/>
                <w:b w:val="1"/>
                <w:bCs w:val="1"/>
                <w:color w:val="4C4C4E"/>
              </w:rPr>
              <w:t>Dallas, TX</w:t>
            </w:r>
          </w:p>
        </w:tc>
        <w:tc>
          <w:tcPr>
            <w:tcW w:w="2840" w:type="dxa"/>
            <w:vAlign w:val="bottom"/>
          </w:tcPr>
          <w:p>
            <w:pPr>
              <w:jc w:val="right"/>
              <w:ind w:right="257"/>
              <w:spacing w:after="0"/>
              <w:rPr>
                <w:sz w:val="20"/>
                <w:szCs w:val="20"/>
                <w:color w:val="auto"/>
              </w:rPr>
            </w:pPr>
            <w:r>
              <w:rPr>
                <w:rFonts w:ascii="Times New Roman" w:cs="Times New Roman" w:eastAsia="Times New Roman" w:hAnsi="Times New Roman"/>
                <w:sz w:val="19"/>
                <w:szCs w:val="19"/>
                <w:b w:val="1"/>
                <w:bCs w:val="1"/>
                <w:color w:val="4C4C4E"/>
              </w:rPr>
              <w:t>75201</w:t>
            </w:r>
          </w:p>
        </w:tc>
      </w:tr>
      <w:tr>
        <w:trPr>
          <w:trHeight w:val="206"/>
        </w:trPr>
        <w:tc>
          <w:tcPr>
            <w:tcW w:w="4600" w:type="dxa"/>
            <w:vAlign w:val="bottom"/>
          </w:tcPr>
          <w:p>
            <w:pPr>
              <w:jc w:val="center"/>
              <w:ind w:right="1595"/>
              <w:spacing w:after="0"/>
              <w:rPr>
                <w:sz w:val="20"/>
                <w:szCs w:val="20"/>
                <w:color w:val="auto"/>
              </w:rPr>
            </w:pPr>
            <w:r>
              <w:rPr>
                <w:rFonts w:ascii="Times New Roman" w:cs="Times New Roman" w:eastAsia="Times New Roman" w:hAnsi="Times New Roman"/>
                <w:sz w:val="15"/>
                <w:szCs w:val="15"/>
                <w:b w:val="1"/>
                <w:bCs w:val="1"/>
                <w:color w:val="4C4C4E"/>
                <w:w w:val="99"/>
              </w:rPr>
              <w:t>(Address of principal executive offices)</w:t>
            </w:r>
          </w:p>
        </w:tc>
        <w:tc>
          <w:tcPr>
            <w:tcW w:w="2840" w:type="dxa"/>
            <w:vAlign w:val="bottom"/>
          </w:tcPr>
          <w:p>
            <w:pPr>
              <w:jc w:val="center"/>
              <w:ind w:left="1597"/>
              <w:spacing w:after="0"/>
              <w:rPr>
                <w:sz w:val="20"/>
                <w:szCs w:val="20"/>
                <w:color w:val="auto"/>
              </w:rPr>
            </w:pPr>
            <w:r>
              <w:rPr>
                <w:rFonts w:ascii="Times New Roman" w:cs="Times New Roman" w:eastAsia="Times New Roman" w:hAnsi="Times New Roman"/>
                <w:sz w:val="15"/>
                <w:szCs w:val="15"/>
                <w:b w:val="1"/>
                <w:bCs w:val="1"/>
                <w:color w:val="4C4C4E"/>
                <w:w w:val="97"/>
              </w:rPr>
              <w:t>(Zip Code)</w:t>
            </w:r>
          </w:p>
        </w:tc>
      </w:tr>
    </w:tbl>
    <w:p>
      <w:pPr>
        <w:jc w:val="center"/>
        <w:spacing w:after="0"/>
        <w:rPr>
          <w:sz w:val="20"/>
          <w:szCs w:val="20"/>
          <w:color w:val="auto"/>
        </w:rPr>
      </w:pPr>
      <w:r>
        <w:rPr>
          <w:rFonts w:ascii="Times New Roman" w:cs="Times New Roman" w:eastAsia="Times New Roman" w:hAnsi="Times New Roman"/>
          <w:sz w:val="19"/>
          <w:szCs w:val="19"/>
          <w:b w:val="1"/>
          <w:bCs w:val="1"/>
          <w:color w:val="4C4C4E"/>
        </w:rPr>
        <w:t>Registrant’s Telephone Number, Including Area Code: (469) 621-3001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4C4C4E"/>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3620" w:type="dxa"/>
            <w:vAlign w:val="bottom"/>
            <w:tcBorders>
              <w:top w:val="single" w:sz="8" w:color="4C4C4E"/>
              <w:left w:val="single" w:sz="8" w:color="4C4C4E"/>
              <w:bottom w:val="single" w:sz="8" w:color="4C4C4E"/>
              <w:right w:val="single" w:sz="8" w:color="4C4C4E"/>
            </w:tcBorders>
          </w:tcPr>
          <w:p>
            <w:pPr>
              <w:jc w:val="center"/>
              <w:spacing w:after="0"/>
              <w:rPr>
                <w:sz w:val="20"/>
                <w:szCs w:val="20"/>
                <w:color w:val="auto"/>
              </w:rPr>
            </w:pPr>
            <w:r>
              <w:rPr>
                <w:rFonts w:ascii="Times New Roman" w:cs="Times New Roman" w:eastAsia="Times New Roman" w:hAnsi="Times New Roman"/>
                <w:sz w:val="15"/>
                <w:szCs w:val="15"/>
                <w:b w:val="1"/>
                <w:bCs w:val="1"/>
                <w:color w:val="4C4C4E"/>
                <w:w w:val="99"/>
              </w:rPr>
              <w:t>Title of each class</w:t>
            </w:r>
          </w:p>
        </w:tc>
        <w:tc>
          <w:tcPr>
            <w:tcW w:w="700" w:type="dxa"/>
            <w:vAlign w:val="bottom"/>
            <w:tcBorders>
              <w:top w:val="single" w:sz="8" w:color="4C4C4E"/>
              <w:bottom w:val="single" w:sz="8" w:color="4C4C4E"/>
            </w:tcBorders>
          </w:tcPr>
          <w:p>
            <w:pPr>
              <w:spacing w:after="0"/>
              <w:rPr>
                <w:sz w:val="15"/>
                <w:szCs w:val="15"/>
                <w:color w:val="auto"/>
              </w:rPr>
            </w:pPr>
          </w:p>
        </w:tc>
        <w:tc>
          <w:tcPr>
            <w:tcW w:w="2160" w:type="dxa"/>
            <w:vAlign w:val="bottom"/>
            <w:tcBorders>
              <w:top w:val="single" w:sz="8" w:color="4C4C4E"/>
              <w:bottom w:val="single" w:sz="8" w:color="4C4C4E"/>
            </w:tcBorders>
          </w:tcPr>
          <w:p>
            <w:pPr>
              <w:jc w:val="center"/>
              <w:spacing w:after="0"/>
              <w:rPr>
                <w:sz w:val="20"/>
                <w:szCs w:val="20"/>
                <w:color w:val="auto"/>
              </w:rPr>
            </w:pPr>
            <w:r>
              <w:rPr>
                <w:rFonts w:ascii="Times New Roman" w:cs="Times New Roman" w:eastAsia="Times New Roman" w:hAnsi="Times New Roman"/>
                <w:sz w:val="15"/>
                <w:szCs w:val="15"/>
                <w:b w:val="1"/>
                <w:bCs w:val="1"/>
                <w:color w:val="4C4C4E"/>
                <w:w w:val="99"/>
              </w:rPr>
              <w:t>Trading Symbol(s)</w:t>
            </w:r>
          </w:p>
        </w:tc>
        <w:tc>
          <w:tcPr>
            <w:tcW w:w="740" w:type="dxa"/>
            <w:vAlign w:val="bottom"/>
            <w:tcBorders>
              <w:top w:val="single" w:sz="8" w:color="4C4C4E"/>
              <w:bottom w:val="single" w:sz="8" w:color="4C4C4E"/>
              <w:right w:val="single" w:sz="8" w:color="4C4C4E"/>
            </w:tcBorders>
          </w:tcPr>
          <w:p>
            <w:pPr>
              <w:spacing w:after="0"/>
              <w:rPr>
                <w:sz w:val="15"/>
                <w:szCs w:val="15"/>
                <w:color w:val="auto"/>
              </w:rPr>
            </w:pPr>
          </w:p>
        </w:tc>
        <w:tc>
          <w:tcPr>
            <w:tcW w:w="3600" w:type="dxa"/>
            <w:vAlign w:val="bottom"/>
            <w:tcBorders>
              <w:top w:val="single" w:sz="8" w:color="4C4C4E"/>
              <w:bottom w:val="single" w:sz="8" w:color="4C4C4E"/>
              <w:right w:val="single" w:sz="8" w:color="4C4C4E"/>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4C4C4E"/>
              </w:rPr>
              <w:t>Name of each exchange on which registered</w:t>
            </w:r>
          </w:p>
        </w:tc>
        <w:tc>
          <w:tcPr>
            <w:tcW w:w="0" w:type="dxa"/>
            <w:vAlign w:val="bottom"/>
          </w:tcPr>
          <w:p>
            <w:pPr>
              <w:spacing w:after="0"/>
              <w:rPr>
                <w:sz w:val="1"/>
                <w:szCs w:val="1"/>
                <w:color w:val="auto"/>
              </w:rPr>
            </w:pPr>
          </w:p>
        </w:tc>
      </w:tr>
      <w:tr>
        <w:trPr>
          <w:trHeight w:val="258"/>
        </w:trPr>
        <w:tc>
          <w:tcPr>
            <w:tcW w:w="3620" w:type="dxa"/>
            <w:vAlign w:val="bottom"/>
            <w:tcBorders>
              <w:left w:val="single" w:sz="8" w:color="4C4C4E"/>
              <w:bottom w:val="single" w:sz="8" w:color="4C4C4E"/>
              <w:right w:val="single" w:sz="8" w:color="4C4C4E"/>
            </w:tcBorders>
          </w:tcPr>
          <w:p>
            <w:pPr>
              <w:jc w:val="center"/>
              <w:spacing w:after="0"/>
              <w:rPr>
                <w:sz w:val="20"/>
                <w:szCs w:val="20"/>
                <w:color w:val="auto"/>
              </w:rPr>
            </w:pPr>
            <w:r>
              <w:rPr>
                <w:rFonts w:ascii="Times New Roman" w:cs="Times New Roman" w:eastAsia="Times New Roman" w:hAnsi="Times New Roman"/>
                <w:sz w:val="19"/>
                <w:szCs w:val="19"/>
                <w:b w:val="1"/>
                <w:bCs w:val="1"/>
                <w:color w:val="4C4C4E"/>
              </w:rPr>
              <w:t>Common Stock, par value $0.01 per share</w:t>
            </w:r>
          </w:p>
        </w:tc>
        <w:tc>
          <w:tcPr>
            <w:tcW w:w="700" w:type="dxa"/>
            <w:vAlign w:val="bottom"/>
            <w:tcBorders>
              <w:bottom w:val="single" w:sz="8" w:color="4C4C4E"/>
            </w:tcBorders>
          </w:tcPr>
          <w:p>
            <w:pPr>
              <w:spacing w:after="0"/>
              <w:rPr>
                <w:sz w:val="22"/>
                <w:szCs w:val="22"/>
                <w:color w:val="auto"/>
              </w:rPr>
            </w:pPr>
          </w:p>
        </w:tc>
        <w:tc>
          <w:tcPr>
            <w:tcW w:w="216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9"/>
                <w:szCs w:val="19"/>
                <w:b w:val="1"/>
                <w:bCs w:val="1"/>
                <w:color w:val="4C4C4E"/>
                <w:w w:val="96"/>
              </w:rPr>
              <w:t>TSLX</w:t>
            </w:r>
          </w:p>
        </w:tc>
        <w:tc>
          <w:tcPr>
            <w:tcW w:w="740" w:type="dxa"/>
            <w:vAlign w:val="bottom"/>
            <w:tcBorders>
              <w:bottom w:val="single" w:sz="8" w:color="4C4C4E"/>
              <w:right w:val="single" w:sz="8" w:color="4C4C4E"/>
            </w:tcBorders>
          </w:tcPr>
          <w:p>
            <w:pPr>
              <w:spacing w:after="0"/>
              <w:rPr>
                <w:sz w:val="22"/>
                <w:szCs w:val="22"/>
                <w:color w:val="auto"/>
              </w:rPr>
            </w:pPr>
          </w:p>
        </w:tc>
        <w:tc>
          <w:tcPr>
            <w:tcW w:w="3600" w:type="dxa"/>
            <w:vAlign w:val="bottom"/>
            <w:tcBorders>
              <w:bottom w:val="single" w:sz="8" w:color="4C4C4E"/>
              <w:right w:val="single" w:sz="8" w:color="4C4C4E"/>
            </w:tcBorders>
            <w:gridSpan w:val="3"/>
          </w:tcPr>
          <w:p>
            <w:pPr>
              <w:jc w:val="center"/>
              <w:spacing w:after="0"/>
              <w:rPr>
                <w:sz w:val="20"/>
                <w:szCs w:val="20"/>
                <w:color w:val="auto"/>
              </w:rPr>
            </w:pPr>
            <w:r>
              <w:rPr>
                <w:rFonts w:ascii="Times New Roman" w:cs="Times New Roman" w:eastAsia="Times New Roman" w:hAnsi="Times New Roman"/>
                <w:sz w:val="19"/>
                <w:szCs w:val="19"/>
                <w:b w:val="1"/>
                <w:bCs w:val="1"/>
                <w:color w:val="4C4C4E"/>
                <w:w w:val="99"/>
              </w:rPr>
              <w:t>The New York Stock Exchange</w:t>
            </w:r>
          </w:p>
        </w:tc>
        <w:tc>
          <w:tcPr>
            <w:tcW w:w="0" w:type="dxa"/>
            <w:vAlign w:val="bottom"/>
          </w:tcPr>
          <w:p>
            <w:pPr>
              <w:spacing w:after="0"/>
              <w:rPr>
                <w:sz w:val="1"/>
                <w:szCs w:val="1"/>
                <w:color w:val="auto"/>
              </w:rPr>
            </w:pPr>
          </w:p>
        </w:tc>
      </w:tr>
      <w:tr>
        <w:trPr>
          <w:trHeight w:val="247"/>
        </w:trPr>
        <w:tc>
          <w:tcPr>
            <w:tcW w:w="9100" w:type="dxa"/>
            <w:vAlign w:val="bottom"/>
            <w:gridSpan w:val="5"/>
          </w:tcPr>
          <w:p>
            <w:pPr>
              <w:jc w:val="center"/>
              <w:ind w:left="1609"/>
              <w:spacing w:after="0"/>
              <w:rPr>
                <w:sz w:val="20"/>
                <w:szCs w:val="20"/>
                <w:color w:val="auto"/>
              </w:rPr>
            </w:pPr>
            <w:r>
              <w:rPr>
                <w:rFonts w:ascii="Times New Roman" w:cs="Times New Roman" w:eastAsia="Times New Roman" w:hAnsi="Times New Roman"/>
                <w:sz w:val="19"/>
                <w:szCs w:val="19"/>
                <w:b w:val="1"/>
                <w:bCs w:val="1"/>
                <w:color w:val="4C4C4E"/>
              </w:rPr>
              <w:t>Securities registered pursuant to Section 12(g) of the Act: None</w:t>
            </w: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4C4C4E"/>
                <w:w w:val="99"/>
              </w:rPr>
              <w:t>(Title of class)</w:t>
            </w:r>
          </w:p>
        </w:tc>
        <w:tc>
          <w:tcPr>
            <w:tcW w:w="7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4320" w:type="dxa"/>
            <w:vAlign w:val="bottom"/>
            <w:gridSpan w:val="2"/>
          </w:tcPr>
          <w:p>
            <w:pPr>
              <w:spacing w:after="0"/>
              <w:rPr>
                <w:sz w:val="5"/>
                <w:szCs w:val="5"/>
                <w:color w:val="auto"/>
              </w:rPr>
            </w:pPr>
          </w:p>
        </w:tc>
        <w:tc>
          <w:tcPr>
            <w:tcW w:w="2160" w:type="dxa"/>
            <w:vAlign w:val="bottom"/>
            <w:tcBorders>
              <w:bottom w:val="single" w:sz="8" w:color="4C4C4E"/>
            </w:tcBorders>
          </w:tcPr>
          <w:p>
            <w:pPr>
              <w:spacing w:after="0"/>
              <w:rPr>
                <w:sz w:val="5"/>
                <w:szCs w:val="5"/>
                <w:color w:val="auto"/>
              </w:rPr>
            </w:pPr>
          </w:p>
        </w:tc>
        <w:tc>
          <w:tcPr>
            <w:tcW w:w="7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4C4C4E"/>
              </w:rPr>
              <w:t xml:space="preserve">Yes </w:t>
            </w:r>
            <w:r>
              <w:rPr>
                <w:rFonts w:ascii="Segoe UI" w:cs="Segoe UI" w:eastAsia="Segoe UI" w:hAnsi="Segoe UI"/>
                <w:sz w:val="19"/>
                <w:szCs w:val="19"/>
                <w:color w:val="4C4C4E"/>
              </w:rPr>
              <w:t>շ</w:t>
            </w: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4C4C4E"/>
              </w:rPr>
              <w:t xml:space="preserve">No </w:t>
            </w:r>
            <w:r>
              <w:rPr>
                <w:rFonts w:ascii="Segoe UI" w:cs="Segoe UI" w:eastAsia="Segoe UI" w:hAnsi="Segoe UI"/>
                <w:sz w:val="19"/>
                <w:szCs w:val="19"/>
                <w:color w:val="4C4C4E"/>
              </w:rPr>
              <w:t>ն</w:t>
            </w:r>
          </w:p>
        </w:tc>
        <w:tc>
          <w:tcPr>
            <w:tcW w:w="0" w:type="dxa"/>
            <w:vAlign w:val="bottom"/>
          </w:tcPr>
          <w:p>
            <w:pPr>
              <w:spacing w:after="0"/>
              <w:rPr>
                <w:sz w:val="1"/>
                <w:szCs w:val="1"/>
                <w:color w:val="auto"/>
              </w:rPr>
            </w:pPr>
          </w:p>
        </w:tc>
      </w:tr>
      <w:tr>
        <w:trPr>
          <w:trHeight w:val="250"/>
        </w:trPr>
        <w:tc>
          <w:tcPr>
            <w:tcW w:w="4320" w:type="dxa"/>
            <w:vAlign w:val="bottom"/>
            <w:gridSpan w:val="2"/>
          </w:tcPr>
          <w:p>
            <w:pPr>
              <w:spacing w:after="0"/>
              <w:rPr>
                <w:sz w:val="20"/>
                <w:szCs w:val="20"/>
                <w:color w:val="auto"/>
              </w:rPr>
            </w:pPr>
            <w:r>
              <w:rPr>
                <w:rFonts w:ascii="Times New Roman" w:cs="Times New Roman" w:eastAsia="Times New Roman" w:hAnsi="Times New Roman"/>
                <w:sz w:val="19"/>
                <w:szCs w:val="19"/>
                <w:color w:val="4C4C4E"/>
              </w:rPr>
              <w:t>Indicate by check mark if the registrant is a well-known</w:t>
            </w:r>
          </w:p>
        </w:tc>
        <w:tc>
          <w:tcPr>
            <w:tcW w:w="4780" w:type="dxa"/>
            <w:vAlign w:val="bottom"/>
            <w:gridSpan w:val="3"/>
          </w:tcPr>
          <w:p>
            <w:pPr>
              <w:spacing w:after="0"/>
              <w:rPr>
                <w:sz w:val="20"/>
                <w:szCs w:val="20"/>
                <w:color w:val="auto"/>
              </w:rPr>
            </w:pPr>
            <w:r>
              <w:rPr>
                <w:rFonts w:ascii="Times New Roman" w:cs="Times New Roman" w:eastAsia="Times New Roman" w:hAnsi="Times New Roman"/>
                <w:sz w:val="19"/>
                <w:szCs w:val="19"/>
                <w:color w:val="4C4C4E"/>
              </w:rPr>
              <w:t>seasoned issuer, as defined in Rule 405 of the Securities Act.</w:t>
            </w:r>
          </w:p>
        </w:tc>
        <w:tc>
          <w:tcPr>
            <w:tcW w:w="74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9100" w:type="dxa"/>
            <w:vAlign w:val="bottom"/>
            <w:gridSpan w:val="5"/>
          </w:tcPr>
          <w:p>
            <w:pPr>
              <w:spacing w:after="0"/>
              <w:rPr>
                <w:sz w:val="20"/>
                <w:szCs w:val="20"/>
                <w:color w:val="auto"/>
              </w:rPr>
            </w:pPr>
            <w:r>
              <w:rPr>
                <w:rFonts w:ascii="Times New Roman" w:cs="Times New Roman" w:eastAsia="Times New Roman" w:hAnsi="Times New Roman"/>
                <w:sz w:val="19"/>
                <w:szCs w:val="19"/>
                <w:color w:val="4C4C4E"/>
                <w:w w:val="99"/>
              </w:rPr>
              <w:t>Indicate by check mark if the registrant is not required to file reports pursuant to Section 13 or Section 15(d) of the Act.</w:t>
            </w:r>
          </w:p>
        </w:tc>
        <w:tc>
          <w:tcPr>
            <w:tcW w:w="740" w:type="dxa"/>
            <w:vAlign w:val="bottom"/>
          </w:tcPr>
          <w:p>
            <w:pPr>
              <w:ind w:left="180"/>
              <w:spacing w:after="0"/>
              <w:rPr>
                <w:sz w:val="20"/>
                <w:szCs w:val="20"/>
                <w:color w:val="auto"/>
              </w:rPr>
            </w:pPr>
            <w:r>
              <w:rPr>
                <w:rFonts w:ascii="Times New Roman" w:cs="Times New Roman" w:eastAsia="Times New Roman" w:hAnsi="Times New Roman"/>
                <w:sz w:val="19"/>
                <w:szCs w:val="19"/>
                <w:color w:val="4C4C4E"/>
              </w:rPr>
              <w:t xml:space="preserve">Yes </w:t>
            </w:r>
            <w:r>
              <w:rPr>
                <w:rFonts w:ascii="Segoe UI" w:cs="Segoe UI" w:eastAsia="Segoe UI" w:hAnsi="Segoe UI"/>
                <w:sz w:val="19"/>
                <w:szCs w:val="19"/>
                <w:color w:val="4C4C4E"/>
              </w:rPr>
              <w:t>ն</w:t>
            </w:r>
          </w:p>
        </w:tc>
        <w:tc>
          <w:tcPr>
            <w:tcW w:w="980" w:type="dxa"/>
            <w:vAlign w:val="bottom"/>
          </w:tcPr>
          <w:p>
            <w:pPr>
              <w:ind w:left="180"/>
              <w:spacing w:after="0"/>
              <w:rPr>
                <w:sz w:val="20"/>
                <w:szCs w:val="20"/>
                <w:color w:val="auto"/>
              </w:rPr>
            </w:pPr>
            <w:r>
              <w:rPr>
                <w:rFonts w:ascii="Times New Roman" w:cs="Times New Roman" w:eastAsia="Times New Roman" w:hAnsi="Times New Roman"/>
                <w:sz w:val="19"/>
                <w:szCs w:val="19"/>
                <w:color w:val="4C4C4E"/>
              </w:rPr>
              <w:t xml:space="preserve">No </w:t>
            </w:r>
            <w:r>
              <w:rPr>
                <w:rFonts w:ascii="Segoe UI" w:cs="Segoe UI" w:eastAsia="Segoe UI" w:hAnsi="Segoe UI"/>
                <w:sz w:val="19"/>
                <w:szCs w:val="19"/>
                <w:color w:val="4C4C4E"/>
              </w:rPr>
              <w:t>շ</w:t>
            </w:r>
          </w:p>
        </w:tc>
        <w:tc>
          <w:tcPr>
            <w:tcW w:w="0" w:type="dxa"/>
            <w:vAlign w:val="bottom"/>
          </w:tcPr>
          <w:p>
            <w:pPr>
              <w:spacing w:after="0"/>
              <w:rPr>
                <w:sz w:val="1"/>
                <w:szCs w:val="1"/>
                <w:color w:val="auto"/>
              </w:rPr>
            </w:pPr>
          </w:p>
        </w:tc>
      </w:tr>
    </w:tbl>
    <w:p>
      <w:pPr>
        <w:ind w:right="100"/>
        <w:spacing w:after="0" w:line="224" w:lineRule="auto"/>
        <w:rPr>
          <w:sz w:val="20"/>
          <w:szCs w:val="20"/>
          <w:color w:val="auto"/>
        </w:rPr>
      </w:pPr>
      <w:r>
        <w:rPr>
          <w:rFonts w:ascii="Times New Roman" w:cs="Times New Roman" w:eastAsia="Times New Roman" w:hAnsi="Times New Roman"/>
          <w:sz w:val="19"/>
          <w:szCs w:val="19"/>
          <w:color w:val="4C4C4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tabs>
          <w:tab w:leader="none" w:pos="4380" w:val="left"/>
          <w:tab w:leader="none" w:pos="5120" w:val="left"/>
        </w:tabs>
        <w:rPr>
          <w:sz w:val="20"/>
          <w:szCs w:val="20"/>
          <w:color w:val="auto"/>
        </w:rPr>
      </w:pPr>
      <w:r>
        <w:rPr>
          <w:rFonts w:ascii="Times New Roman" w:cs="Times New Roman" w:eastAsia="Times New Roman" w:hAnsi="Times New Roman"/>
          <w:sz w:val="19"/>
          <w:szCs w:val="19"/>
          <w:color w:val="4C4C4E"/>
        </w:rPr>
        <w:t>subject to such filing requirements for the past 90 days.</w:t>
        <w:tab/>
        <w:t xml:space="preserve">Yes </w:t>
      </w:r>
      <w:r>
        <w:rPr>
          <w:rFonts w:ascii="Segoe UI" w:cs="Segoe UI" w:eastAsia="Segoe UI" w:hAnsi="Segoe UI"/>
          <w:sz w:val="19"/>
          <w:szCs w:val="19"/>
          <w:color w:val="4C4C4E"/>
        </w:rPr>
        <w:t>շ</w:t>
      </w:r>
      <w:r>
        <w:rPr>
          <w:rFonts w:ascii="Times New Roman" w:cs="Times New Roman" w:eastAsia="Times New Roman" w:hAnsi="Times New Roman"/>
          <w:sz w:val="19"/>
          <w:szCs w:val="19"/>
          <w:color w:val="4C4C4E"/>
        </w:rPr>
        <w:tab/>
        <w:t xml:space="preserve">No </w:t>
      </w:r>
      <w:r>
        <w:rPr>
          <w:rFonts w:ascii="Segoe UI" w:cs="Segoe UI" w:eastAsia="Segoe UI" w:hAnsi="Segoe UI"/>
          <w:sz w:val="19"/>
          <w:szCs w:val="19"/>
          <w:color w:val="4C4C4E"/>
        </w:rPr>
        <w:t>ն</w:t>
      </w:r>
    </w:p>
    <w:p>
      <w:pPr>
        <w:spacing w:after="0" w:line="34" w:lineRule="exact"/>
        <w:rPr>
          <w:sz w:val="24"/>
          <w:szCs w:val="24"/>
          <w:color w:val="auto"/>
        </w:rPr>
      </w:pPr>
    </w:p>
    <w:p>
      <w:pPr>
        <w:ind w:right="260"/>
        <w:spacing w:after="0" w:line="224" w:lineRule="auto"/>
        <w:rPr>
          <w:sz w:val="20"/>
          <w:szCs w:val="20"/>
          <w:color w:val="auto"/>
        </w:rPr>
      </w:pPr>
      <w:r>
        <w:rPr>
          <w:rFonts w:ascii="Times New Roman" w:cs="Times New Roman" w:eastAsia="Times New Roman" w:hAnsi="Times New Roman"/>
          <w:sz w:val="19"/>
          <w:szCs w:val="19"/>
          <w:color w:val="4C4C4E"/>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tabs>
          <w:tab w:leader="none" w:pos="2500" w:val="left"/>
          <w:tab w:leader="none" w:pos="3240" w:val="left"/>
        </w:tabs>
        <w:rPr>
          <w:sz w:val="20"/>
          <w:szCs w:val="20"/>
          <w:color w:val="auto"/>
        </w:rPr>
      </w:pPr>
      <w:r>
        <w:rPr>
          <w:rFonts w:ascii="Times New Roman" w:cs="Times New Roman" w:eastAsia="Times New Roman" w:hAnsi="Times New Roman"/>
          <w:sz w:val="19"/>
          <w:szCs w:val="19"/>
          <w:color w:val="4C4C4E"/>
        </w:rPr>
        <w:t>required to submit such files).</w:t>
        <w:tab/>
        <w:t xml:space="preserve">Yes </w:t>
      </w:r>
      <w:r>
        <w:rPr>
          <w:rFonts w:ascii="Segoe UI" w:cs="Segoe UI" w:eastAsia="Segoe UI" w:hAnsi="Segoe UI"/>
          <w:sz w:val="19"/>
          <w:szCs w:val="19"/>
          <w:color w:val="4C4C4E"/>
        </w:rPr>
        <w:t>շ</w:t>
      </w:r>
      <w:r>
        <w:rPr>
          <w:rFonts w:ascii="Times New Roman" w:cs="Times New Roman" w:eastAsia="Times New Roman" w:hAnsi="Times New Roman"/>
          <w:sz w:val="19"/>
          <w:szCs w:val="19"/>
          <w:color w:val="4C4C4E"/>
        </w:rPr>
        <w:tab/>
        <w:t xml:space="preserve">No </w:t>
      </w:r>
      <w:r>
        <w:rPr>
          <w:rFonts w:ascii="Segoe UI" w:cs="Segoe UI" w:eastAsia="Segoe UI" w:hAnsi="Segoe UI"/>
          <w:sz w:val="19"/>
          <w:szCs w:val="19"/>
          <w:color w:val="4C4C4E"/>
        </w:rPr>
        <w:t>ն</w:t>
      </w:r>
    </w:p>
    <w:p>
      <w:pPr>
        <w:spacing w:after="0" w:line="34" w:lineRule="exact"/>
        <w:rPr>
          <w:sz w:val="24"/>
          <w:szCs w:val="24"/>
          <w:color w:val="auto"/>
        </w:rPr>
      </w:pPr>
    </w:p>
    <w:p>
      <w:pPr>
        <w:ind w:right="460"/>
        <w:spacing w:after="0" w:line="235" w:lineRule="auto"/>
        <w:rPr>
          <w:sz w:val="20"/>
          <w:szCs w:val="20"/>
          <w:color w:val="auto"/>
        </w:rPr>
      </w:pPr>
      <w:r>
        <w:rPr>
          <w:rFonts w:ascii="Times New Roman" w:cs="Times New Roman" w:eastAsia="Times New Roman" w:hAnsi="Times New Roman"/>
          <w:sz w:val="20"/>
          <w:szCs w:val="20"/>
          <w:color w:val="4C4C4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480" w:type="dxa"/>
        <w:tblCellMar>
          <w:top w:w="0" w:type="dxa"/>
          <w:left w:w="0" w:type="dxa"/>
          <w:bottom w:w="0" w:type="dxa"/>
          <w:right w:w="0" w:type="dxa"/>
        </w:tblCellMar>
      </w:tblPr>
      <w:tr>
        <w:trPr>
          <w:trHeight w:val="325"/>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4C4C4E"/>
              </w:rPr>
              <w:t>Large accelerated filer</w:t>
            </w:r>
          </w:p>
        </w:tc>
        <w:tc>
          <w:tcPr>
            <w:tcW w:w="1240" w:type="dxa"/>
            <w:vAlign w:val="bottom"/>
          </w:tcPr>
          <w:p>
            <w:pPr>
              <w:ind w:left="420"/>
              <w:spacing w:after="0"/>
              <w:rPr>
                <w:sz w:val="20"/>
                <w:szCs w:val="20"/>
                <w:color w:val="auto"/>
              </w:rPr>
            </w:pPr>
            <w:r>
              <w:rPr>
                <w:rFonts w:ascii="Segoe UI" w:cs="Segoe UI" w:eastAsia="Segoe UI" w:hAnsi="Segoe UI"/>
                <w:sz w:val="19"/>
                <w:szCs w:val="19"/>
                <w:color w:val="4C4C4E"/>
              </w:rPr>
              <w:t>շ</w:t>
            </w:r>
          </w:p>
        </w:tc>
        <w:tc>
          <w:tcPr>
            <w:tcW w:w="4340" w:type="dxa"/>
            <w:vAlign w:val="bottom"/>
          </w:tcPr>
          <w:p>
            <w:pPr>
              <w:ind w:left="660"/>
              <w:spacing w:after="0"/>
              <w:rPr>
                <w:sz w:val="20"/>
                <w:szCs w:val="20"/>
                <w:color w:val="auto"/>
              </w:rPr>
            </w:pPr>
            <w:r>
              <w:rPr>
                <w:rFonts w:ascii="Times New Roman" w:cs="Times New Roman" w:eastAsia="Times New Roman" w:hAnsi="Times New Roman"/>
                <w:sz w:val="20"/>
                <w:szCs w:val="20"/>
                <w:color w:val="4C4C4E"/>
              </w:rPr>
              <w:t>Accelerated filer</w:t>
            </w:r>
          </w:p>
        </w:tc>
        <w:tc>
          <w:tcPr>
            <w:tcW w:w="1660" w:type="dxa"/>
            <w:vAlign w:val="bottom"/>
          </w:tcPr>
          <w:p>
            <w:pPr>
              <w:ind w:left="1500"/>
              <w:spacing w:after="0"/>
              <w:rPr>
                <w:sz w:val="20"/>
                <w:szCs w:val="20"/>
                <w:color w:val="auto"/>
              </w:rPr>
            </w:pPr>
            <w:r>
              <w:rPr>
                <w:rFonts w:ascii="Segoe UI" w:cs="Segoe UI" w:eastAsia="Segoe UI" w:hAnsi="Segoe UI"/>
                <w:sz w:val="20"/>
                <w:szCs w:val="20"/>
                <w:color w:val="4C4C4E"/>
              </w:rPr>
              <w:t>ն</w:t>
            </w:r>
          </w:p>
        </w:tc>
      </w:tr>
      <w:tr>
        <w:trPr>
          <w:trHeight w:val="261"/>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4C4C4E"/>
              </w:rPr>
              <w:t>Non-Accelerated filer</w:t>
            </w:r>
          </w:p>
        </w:tc>
        <w:tc>
          <w:tcPr>
            <w:tcW w:w="1240" w:type="dxa"/>
            <w:vAlign w:val="bottom"/>
          </w:tcPr>
          <w:p>
            <w:pPr>
              <w:ind w:left="420"/>
              <w:spacing w:after="0" w:line="261" w:lineRule="exact"/>
              <w:rPr>
                <w:sz w:val="20"/>
                <w:szCs w:val="20"/>
                <w:color w:val="auto"/>
              </w:rPr>
            </w:pPr>
            <w:r>
              <w:rPr>
                <w:rFonts w:ascii="Segoe UI" w:cs="Segoe UI" w:eastAsia="Segoe UI" w:hAnsi="Segoe UI"/>
                <w:sz w:val="20"/>
                <w:szCs w:val="20"/>
                <w:color w:val="4C4C4E"/>
              </w:rPr>
              <w:t>ն</w:t>
            </w:r>
          </w:p>
        </w:tc>
        <w:tc>
          <w:tcPr>
            <w:tcW w:w="4340" w:type="dxa"/>
            <w:vAlign w:val="bottom"/>
          </w:tcPr>
          <w:p>
            <w:pPr>
              <w:ind w:left="660"/>
              <w:spacing w:after="0"/>
              <w:rPr>
                <w:sz w:val="20"/>
                <w:szCs w:val="20"/>
                <w:color w:val="auto"/>
              </w:rPr>
            </w:pPr>
            <w:r>
              <w:rPr>
                <w:rFonts w:ascii="Times New Roman" w:cs="Times New Roman" w:eastAsia="Times New Roman" w:hAnsi="Times New Roman"/>
                <w:sz w:val="20"/>
                <w:szCs w:val="20"/>
                <w:color w:val="4C4C4E"/>
              </w:rPr>
              <w:t>Smaller reporting company</w:t>
            </w:r>
          </w:p>
        </w:tc>
        <w:tc>
          <w:tcPr>
            <w:tcW w:w="1660" w:type="dxa"/>
            <w:vAlign w:val="bottom"/>
          </w:tcPr>
          <w:p>
            <w:pPr>
              <w:ind w:left="1500"/>
              <w:spacing w:after="0" w:line="261" w:lineRule="exact"/>
              <w:rPr>
                <w:sz w:val="20"/>
                <w:szCs w:val="20"/>
                <w:color w:val="auto"/>
              </w:rPr>
            </w:pPr>
            <w:r>
              <w:rPr>
                <w:rFonts w:ascii="Segoe UI" w:cs="Segoe UI" w:eastAsia="Segoe UI" w:hAnsi="Segoe UI"/>
                <w:sz w:val="20"/>
                <w:szCs w:val="20"/>
                <w:color w:val="4C4C4E"/>
              </w:rPr>
              <w:t>ն</w:t>
            </w:r>
          </w:p>
        </w:tc>
      </w:tr>
      <w:tr>
        <w:trPr>
          <w:trHeight w:val="324"/>
        </w:trPr>
        <w:tc>
          <w:tcPr>
            <w:tcW w:w="2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40" w:type="dxa"/>
            <w:vAlign w:val="bottom"/>
          </w:tcPr>
          <w:p>
            <w:pPr>
              <w:ind w:left="660"/>
              <w:spacing w:after="0"/>
              <w:rPr>
                <w:sz w:val="20"/>
                <w:szCs w:val="20"/>
                <w:color w:val="auto"/>
              </w:rPr>
            </w:pPr>
            <w:r>
              <w:rPr>
                <w:rFonts w:ascii="Times New Roman" w:cs="Times New Roman" w:eastAsia="Times New Roman" w:hAnsi="Times New Roman"/>
                <w:sz w:val="20"/>
                <w:szCs w:val="20"/>
                <w:color w:val="4C4C4E"/>
              </w:rPr>
              <w:t>Emerging growth company</w:t>
            </w:r>
          </w:p>
        </w:tc>
        <w:tc>
          <w:tcPr>
            <w:tcW w:w="1660" w:type="dxa"/>
            <w:vAlign w:val="bottom"/>
          </w:tcPr>
          <w:p>
            <w:pPr>
              <w:ind w:left="1500"/>
              <w:spacing w:after="0"/>
              <w:rPr>
                <w:sz w:val="20"/>
                <w:szCs w:val="20"/>
                <w:color w:val="auto"/>
              </w:rPr>
            </w:pPr>
            <w:r>
              <w:rPr>
                <w:rFonts w:ascii="Segoe UI" w:cs="Segoe UI" w:eastAsia="Segoe UI" w:hAnsi="Segoe UI"/>
                <w:sz w:val="20"/>
                <w:szCs w:val="20"/>
                <w:color w:val="4C4C4E"/>
              </w:rPr>
              <w:t>ն</w:t>
            </w:r>
          </w:p>
        </w:tc>
      </w:tr>
    </w:tbl>
    <w:p>
      <w:pPr>
        <w:ind w:right="520"/>
        <w:spacing w:after="0" w:line="260" w:lineRule="auto"/>
        <w:rPr>
          <w:sz w:val="20"/>
          <w:szCs w:val="20"/>
          <w:color w:val="auto"/>
        </w:rPr>
      </w:pPr>
      <w:r>
        <w:rPr>
          <w:rFonts w:ascii="Times New Roman" w:cs="Times New Roman" w:eastAsia="Times New Roman" w:hAnsi="Times New Roman"/>
          <w:sz w:val="19"/>
          <w:szCs w:val="19"/>
          <w:color w:val="4C4C4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9"/>
          <w:szCs w:val="19"/>
          <w:color w:val="4C4C4E"/>
        </w:rPr>
        <w:t>ն</w:t>
      </w:r>
    </w:p>
    <w:p>
      <w:pPr>
        <w:spacing w:after="0" w:line="1" w:lineRule="exact"/>
        <w:rPr>
          <w:sz w:val="24"/>
          <w:szCs w:val="24"/>
          <w:color w:val="auto"/>
        </w:rPr>
      </w:pPr>
    </w:p>
    <w:p>
      <w:pPr>
        <w:ind w:right="80"/>
        <w:spacing w:after="0" w:line="234" w:lineRule="auto"/>
        <w:rPr>
          <w:sz w:val="20"/>
          <w:szCs w:val="20"/>
          <w:color w:val="auto"/>
        </w:rPr>
      </w:pPr>
      <w:r>
        <w:rPr>
          <w:rFonts w:ascii="Times New Roman" w:cs="Times New Roman" w:eastAsia="Times New Roman" w:hAnsi="Times New Roman"/>
          <w:sz w:val="19"/>
          <w:szCs w:val="19"/>
          <w:color w:val="4C4C4E"/>
        </w:rPr>
        <w:t>Indicate by check mark whether the registrant has filed a report on and attestation to its management’s assessment of the effectiveness of its internal control over financial reporting under Section 404(b) of the Sarbanes-Oxley Act (15 U.S.C. 7262(b)) by the registered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4C4C4E"/>
        </w:rPr>
        <w:t xml:space="preserve">public accounting firm that prepared or issued its audit report. </w:t>
      </w:r>
      <w:r>
        <w:rPr>
          <w:rFonts w:ascii="Segoe UI" w:cs="Segoe UI" w:eastAsia="Segoe UI" w:hAnsi="Segoe UI"/>
          <w:sz w:val="20"/>
          <w:szCs w:val="20"/>
          <w:color w:val="4C4C4E"/>
        </w:rPr>
        <w:t>շ</w:t>
      </w:r>
    </w:p>
    <w:p>
      <w:pPr>
        <w:spacing w:after="0" w:line="37" w:lineRule="exact"/>
        <w:rPr>
          <w:sz w:val="24"/>
          <w:szCs w:val="24"/>
          <w:color w:val="auto"/>
        </w:rPr>
      </w:pPr>
    </w:p>
    <w:p>
      <w:pPr>
        <w:ind w:right="700"/>
        <w:spacing w:after="0" w:line="246" w:lineRule="auto"/>
        <w:rPr>
          <w:sz w:val="20"/>
          <w:szCs w:val="20"/>
          <w:color w:val="auto"/>
        </w:rPr>
      </w:pPr>
      <w:r>
        <w:rPr>
          <w:rFonts w:ascii="Times New Roman" w:cs="Times New Roman" w:eastAsia="Times New Roman" w:hAnsi="Times New Roman"/>
          <w:sz w:val="20"/>
          <w:szCs w:val="20"/>
          <w:color w:val="4C4C4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9"/>
          <w:szCs w:val="19"/>
          <w:color w:val="4C4C4E"/>
        </w:rPr>
        <w:t>ն</w:t>
      </w:r>
    </w:p>
    <w:p>
      <w:pPr>
        <w:spacing w:after="0" w:line="1"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4C4C4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9"/>
          <w:szCs w:val="19"/>
          <w:color w:val="4C4C4E"/>
        </w:rPr>
        <w:t>ն</w:t>
      </w:r>
    </w:p>
    <w:p>
      <w:pPr>
        <w:spacing w:after="0" w:line="1" w:lineRule="exact"/>
        <w:rPr>
          <w:sz w:val="24"/>
          <w:szCs w:val="24"/>
          <w:color w:val="auto"/>
        </w:rPr>
      </w:pPr>
    </w:p>
    <w:p>
      <w:pPr>
        <w:spacing w:after="0"/>
        <w:tabs>
          <w:tab w:leader="none" w:pos="8000" w:val="left"/>
          <w:tab w:leader="none" w:pos="8740" w:val="left"/>
        </w:tabs>
        <w:rPr>
          <w:sz w:val="20"/>
          <w:szCs w:val="20"/>
          <w:color w:val="auto"/>
        </w:rPr>
      </w:pPr>
      <w:r>
        <w:rPr>
          <w:rFonts w:ascii="Times New Roman" w:cs="Times New Roman" w:eastAsia="Times New Roman" w:hAnsi="Times New Roman"/>
          <w:sz w:val="19"/>
          <w:szCs w:val="19"/>
          <w:color w:val="4C4C4E"/>
        </w:rPr>
        <w:t>Indicate by check mark whether the registrant is a shell company (as defined in Rule 12b-2 of the Act).</w:t>
        <w:tab/>
        <w:t xml:space="preserve">Yes </w:t>
      </w:r>
      <w:r>
        <w:rPr>
          <w:rFonts w:ascii="Segoe UI" w:cs="Segoe UI" w:eastAsia="Segoe UI" w:hAnsi="Segoe UI"/>
          <w:sz w:val="19"/>
          <w:szCs w:val="19"/>
          <w:color w:val="4C4C4E"/>
        </w:rPr>
        <w:t>ն</w:t>
      </w:r>
      <w:r>
        <w:rPr>
          <w:rFonts w:ascii="Times New Roman" w:cs="Times New Roman" w:eastAsia="Times New Roman" w:hAnsi="Times New Roman"/>
          <w:sz w:val="19"/>
          <w:szCs w:val="19"/>
          <w:color w:val="4C4C4E"/>
        </w:rPr>
        <w:tab/>
        <w:t xml:space="preserve">No </w:t>
      </w:r>
      <w:r>
        <w:rPr>
          <w:rFonts w:ascii="Segoe UI" w:cs="Segoe UI" w:eastAsia="Segoe UI" w:hAnsi="Segoe UI"/>
          <w:sz w:val="19"/>
          <w:szCs w:val="19"/>
          <w:color w:val="4C4C4E"/>
        </w:rPr>
        <w:t>շ</w:t>
      </w:r>
    </w:p>
    <w:p>
      <w:pPr>
        <w:spacing w:after="0" w:line="34" w:lineRule="exact"/>
        <w:rPr>
          <w:sz w:val="24"/>
          <w:szCs w:val="24"/>
          <w:color w:val="auto"/>
        </w:rPr>
      </w:pPr>
    </w:p>
    <w:p>
      <w:pPr>
        <w:jc w:val="both"/>
        <w:ind w:right="300"/>
        <w:spacing w:after="0" w:line="236" w:lineRule="auto"/>
        <w:rPr>
          <w:sz w:val="20"/>
          <w:szCs w:val="20"/>
          <w:color w:val="auto"/>
        </w:rPr>
      </w:pPr>
      <w:r>
        <w:rPr>
          <w:rFonts w:ascii="Times New Roman" w:cs="Times New Roman" w:eastAsia="Times New Roman" w:hAnsi="Times New Roman"/>
          <w:sz w:val="19"/>
          <w:szCs w:val="19"/>
          <w:color w:val="4C4C4E"/>
        </w:rPr>
        <w:t>The aggregate market value of the voting stock held by non-affiliates of the registrant on June 30, 2025, based on the closing price on that date of $23.81 on The New York Stock Exchange, was approximately $2,158,484,033. The number of shares of the registrant’s common stock, $.01 par value per share, outstanding at February 12, 2026 was 94,705,150.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48895</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4C4C4E"/>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3.85pt" to="324pt,3.85pt" o:allowincell="f" strokecolor="#4C4C4E" strokeweight="1pt"/>
            </w:pict>
          </mc:Fallback>
        </mc:AlternateConten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4C4C4E"/>
        </w:rPr>
        <w:t>DOCUMENTS INCORPORATED BY REFERENCE</w:t>
      </w:r>
    </w:p>
    <w:p>
      <w:pPr>
        <w:spacing w:after="0" w:line="39" w:lineRule="exact"/>
        <w:rPr>
          <w:sz w:val="24"/>
          <w:szCs w:val="24"/>
          <w:color w:val="auto"/>
        </w:rPr>
      </w:pPr>
    </w:p>
    <w:p>
      <w:pPr>
        <w:ind w:right="940"/>
        <w:spacing w:after="0" w:line="259" w:lineRule="auto"/>
        <w:rPr>
          <w:sz w:val="20"/>
          <w:szCs w:val="20"/>
          <w:color w:val="auto"/>
        </w:rPr>
      </w:pPr>
      <w:r>
        <w:rPr>
          <w:rFonts w:ascii="Times New Roman" w:cs="Times New Roman" w:eastAsia="Times New Roman" w:hAnsi="Times New Roman"/>
          <w:sz w:val="19"/>
          <w:szCs w:val="19"/>
          <w:color w:val="4C4C4E"/>
        </w:rPr>
        <w:t>Portions of the Registrant’s proxy statement for the 2026 annual meeting of stockholders are incorporated by reference in Part III. Auditor Firm Id:185 Auditor Name: KPMG LLP Auditor Location: New York, New York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499pt" to="540pt,-0.2499pt" o:allowincell="f" strokecolor="#4C4C4E"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68580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540pt,1.2pt" o:allowincell="f" strokecolor="#4C4C4E" strokeweight="0.75pt"/>
            </w:pict>
          </mc:Fallback>
        </mc:AlternateContent>
      </w:r>
    </w:p>
    <w:p>
      <w:pPr>
        <w:sectPr>
          <w:pgSz w:w="11880" w:h="15480" w:orient="portrait"/>
          <w:cols w:equalWidth="0" w:num="1">
            <w:col w:w="10800"/>
          </w:cols>
          <w:pgMar w:left="540" w:top="623" w:right="540" w:bottom="232" w:gutter="0" w:footer="0" w:header="0"/>
        </w:sectPr>
      </w:pPr>
    </w:p>
    <w:bookmarkStart w:id="1" w:name="page2"/>
    <w:bookmarkEnd w:id="1"/>
    <w:p>
      <w:pPr>
        <w:ind w:left="3320"/>
        <w:spacing w:after="0"/>
        <w:rPr>
          <w:sz w:val="20"/>
          <w:szCs w:val="20"/>
          <w:color w:val="auto"/>
        </w:rPr>
      </w:pPr>
      <w:r>
        <w:rPr>
          <w:rFonts w:ascii="Times New Roman" w:cs="Times New Roman" w:eastAsia="Times New Roman" w:hAnsi="Times New Roman"/>
          <w:sz w:val="20"/>
          <w:szCs w:val="20"/>
          <w:b w:val="1"/>
          <w:bCs w:val="1"/>
          <w:color w:val="4C4C4E"/>
        </w:rPr>
        <w:t>SIXTH STREET SPECIALTY LENDING, INC.</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4C4C4E"/>
        </w:rPr>
        <w:t>Index to Annual Report on Form 10-K for</w:t>
      </w:r>
    </w:p>
    <w:p>
      <w:pPr>
        <w:ind w:left="4060"/>
        <w:spacing w:after="0"/>
        <w:rPr>
          <w:sz w:val="20"/>
          <w:szCs w:val="20"/>
          <w:color w:val="auto"/>
        </w:rPr>
      </w:pPr>
      <w:r>
        <w:rPr>
          <w:rFonts w:ascii="Times New Roman" w:cs="Times New Roman" w:eastAsia="Times New Roman" w:hAnsi="Times New Roman"/>
          <w:sz w:val="20"/>
          <w:szCs w:val="20"/>
          <w:b w:val="1"/>
          <w:bCs w:val="1"/>
          <w:color w:val="4C4C4E"/>
        </w:rPr>
        <w:t>Year Ended December 31, 2025</w:t>
      </w:r>
    </w:p>
    <w:p>
      <w:pPr>
        <w:spacing w:after="0" w:line="20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b w:val="1"/>
          <w:bCs w:val="1"/>
          <w:color w:val="4C4C4E"/>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6280150</wp:posOffset>
                </wp:positionH>
                <wp:positionV relativeFrom="paragraph">
                  <wp:posOffset>15240</wp:posOffset>
                </wp:positionV>
                <wp:extent cx="57785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0" cy="4763"/>
                        </a:xfrm>
                        <a:prstGeom prst="line">
                          <a:avLst/>
                        </a:prstGeom>
                        <a:solidFill>
                          <a:srgbClr val="FFFFFF"/>
                        </a:solidFill>
                        <a:ln w="6350">
                          <a:solidFill>
                            <a:srgbClr val="4C4C4E"/>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5pt,1.2pt" to="540pt,1.2pt" o:allowincell="f" strokecolor="#4C4C4E" strokeweight="0.5pt"/>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PART I</w:t>
      </w:r>
    </w:p>
    <w:p>
      <w:pPr>
        <w:spacing w:after="0" w:line="1" w:lineRule="exact"/>
        <w:rPr>
          <w:sz w:val="20"/>
          <w:szCs w:val="20"/>
          <w:color w:val="auto"/>
        </w:rPr>
      </w:pPr>
    </w:p>
    <w:p>
      <w:pPr>
        <w:spacing w:after="0"/>
        <w:tabs>
          <w:tab w:leader="none" w:pos="1020" w:val="left"/>
          <w:tab w:leader="dot" w:pos="10680" w:val="left"/>
        </w:tabs>
        <w:rPr>
          <w:sz w:val="20"/>
          <w:szCs w:val="20"/>
          <w:color w:val="auto"/>
        </w:rPr>
      </w:pPr>
      <w:r>
        <w:rPr>
          <w:rFonts w:ascii="Times New Roman" w:cs="Times New Roman" w:eastAsia="Times New Roman" w:hAnsi="Times New Roman"/>
          <w:sz w:val="20"/>
          <w:szCs w:val="20"/>
          <w:color w:val="4C4C4E"/>
        </w:rPr>
        <w:t>ITEM 1.</w:t>
      </w:r>
      <w:r>
        <w:rPr>
          <w:sz w:val="20"/>
          <w:szCs w:val="20"/>
          <w:color w:val="auto"/>
        </w:rPr>
        <w:tab/>
      </w:r>
      <w:r>
        <w:rPr>
          <w:rFonts w:ascii="Times New Roman" w:cs="Times New Roman" w:eastAsia="Times New Roman" w:hAnsi="Times New Roman"/>
          <w:sz w:val="20"/>
          <w:szCs w:val="20"/>
          <w:color w:val="4C4C4E"/>
        </w:rPr>
        <w:t>Business</w:t>
      </w:r>
      <w:r>
        <w:rPr>
          <w:sz w:val="20"/>
          <w:szCs w:val="20"/>
          <w:color w:val="auto"/>
        </w:rPr>
        <w:tab/>
      </w:r>
      <w:r>
        <w:rPr>
          <w:rFonts w:ascii="Times New Roman" w:cs="Times New Roman" w:eastAsia="Times New Roman" w:hAnsi="Times New Roman"/>
          <w:sz w:val="20"/>
          <w:szCs w:val="20"/>
          <w:color w:val="4C4C4E"/>
        </w:rPr>
        <w:t>6</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1A.</w:t>
        <w:tab/>
        <w:t>Risk Factors</w:t>
      </w:r>
      <w:r>
        <w:rPr>
          <w:sz w:val="20"/>
          <w:szCs w:val="20"/>
          <w:color w:val="auto"/>
        </w:rPr>
        <w:tab/>
      </w:r>
      <w:r>
        <w:rPr>
          <w:rFonts w:ascii="Times New Roman" w:cs="Times New Roman" w:eastAsia="Times New Roman" w:hAnsi="Times New Roman"/>
          <w:sz w:val="20"/>
          <w:szCs w:val="20"/>
          <w:color w:val="4C4C4E"/>
        </w:rPr>
        <w:t>29</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1B.</w:t>
        <w:tab/>
        <w:t>Unresolved Staff Comments</w:t>
      </w:r>
      <w:r>
        <w:rPr>
          <w:sz w:val="20"/>
          <w:szCs w:val="20"/>
          <w:color w:val="auto"/>
        </w:rPr>
        <w:tab/>
      </w:r>
      <w:r>
        <w:rPr>
          <w:rFonts w:ascii="Times New Roman" w:cs="Times New Roman" w:eastAsia="Times New Roman" w:hAnsi="Times New Roman"/>
          <w:sz w:val="20"/>
          <w:szCs w:val="20"/>
          <w:color w:val="4C4C4E"/>
        </w:rPr>
        <w:t>57</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1C.</w:t>
        <w:tab/>
        <w:t>Cybersecurity</w:t>
      </w:r>
      <w:r>
        <w:rPr>
          <w:sz w:val="20"/>
          <w:szCs w:val="20"/>
          <w:color w:val="auto"/>
        </w:rPr>
        <w:tab/>
      </w:r>
      <w:r>
        <w:rPr>
          <w:rFonts w:ascii="Times New Roman" w:cs="Times New Roman" w:eastAsia="Times New Roman" w:hAnsi="Times New Roman"/>
          <w:sz w:val="20"/>
          <w:szCs w:val="20"/>
          <w:color w:val="4C4C4E"/>
        </w:rPr>
        <w:t>57</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2.</w:t>
      </w:r>
      <w:r>
        <w:rPr>
          <w:sz w:val="20"/>
          <w:szCs w:val="20"/>
          <w:color w:val="auto"/>
        </w:rPr>
        <w:tab/>
      </w:r>
      <w:r>
        <w:rPr>
          <w:rFonts w:ascii="Times New Roman" w:cs="Times New Roman" w:eastAsia="Times New Roman" w:hAnsi="Times New Roman"/>
          <w:sz w:val="20"/>
          <w:szCs w:val="20"/>
          <w:color w:val="4C4C4E"/>
        </w:rPr>
        <w:t>Properties</w:t>
      </w:r>
      <w:r>
        <w:rPr>
          <w:sz w:val="20"/>
          <w:szCs w:val="20"/>
          <w:color w:val="auto"/>
        </w:rPr>
        <w:tab/>
      </w:r>
      <w:r>
        <w:rPr>
          <w:rFonts w:ascii="Times New Roman" w:cs="Times New Roman" w:eastAsia="Times New Roman" w:hAnsi="Times New Roman"/>
          <w:sz w:val="20"/>
          <w:szCs w:val="20"/>
          <w:color w:val="4C4C4E"/>
        </w:rPr>
        <w:t>58</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3.</w:t>
      </w:r>
      <w:r>
        <w:rPr>
          <w:sz w:val="20"/>
          <w:szCs w:val="20"/>
          <w:color w:val="auto"/>
        </w:rPr>
        <w:tab/>
      </w:r>
      <w:r>
        <w:rPr>
          <w:rFonts w:ascii="Times New Roman" w:cs="Times New Roman" w:eastAsia="Times New Roman" w:hAnsi="Times New Roman"/>
          <w:sz w:val="20"/>
          <w:szCs w:val="20"/>
          <w:color w:val="4C4C4E"/>
        </w:rPr>
        <w:t>Legal Proceedings</w:t>
      </w:r>
      <w:r>
        <w:rPr>
          <w:sz w:val="20"/>
          <w:szCs w:val="20"/>
          <w:color w:val="auto"/>
        </w:rPr>
        <w:tab/>
      </w:r>
      <w:r>
        <w:rPr>
          <w:rFonts w:ascii="Times New Roman" w:cs="Times New Roman" w:eastAsia="Times New Roman" w:hAnsi="Times New Roman"/>
          <w:sz w:val="20"/>
          <w:szCs w:val="20"/>
          <w:color w:val="4C4C4E"/>
        </w:rPr>
        <w:t>58</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4.</w:t>
      </w:r>
      <w:r>
        <w:rPr>
          <w:sz w:val="20"/>
          <w:szCs w:val="20"/>
          <w:color w:val="auto"/>
        </w:rPr>
        <w:tab/>
      </w:r>
      <w:r>
        <w:rPr>
          <w:rFonts w:ascii="Times New Roman" w:cs="Times New Roman" w:eastAsia="Times New Roman" w:hAnsi="Times New Roman"/>
          <w:sz w:val="20"/>
          <w:szCs w:val="20"/>
          <w:color w:val="4C4C4E"/>
        </w:rPr>
        <w:t>Mine Safety Disclosures</w:t>
      </w:r>
      <w:r>
        <w:rPr>
          <w:sz w:val="20"/>
          <w:szCs w:val="20"/>
          <w:color w:val="auto"/>
        </w:rPr>
        <w:tab/>
      </w:r>
      <w:r>
        <w:rPr>
          <w:rFonts w:ascii="Times New Roman" w:cs="Times New Roman" w:eastAsia="Times New Roman" w:hAnsi="Times New Roman"/>
          <w:sz w:val="20"/>
          <w:szCs w:val="20"/>
          <w:color w:val="4C4C4E"/>
        </w:rPr>
        <w:t>58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PART II</w:t>
      </w:r>
    </w:p>
    <w:p>
      <w:pPr>
        <w:spacing w:after="0" w:line="3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4C4C4E"/>
        </w:rPr>
        <w:t>ITEM 5.</w:t>
      </w:r>
      <w:r>
        <w:rPr>
          <w:sz w:val="20"/>
          <w:szCs w:val="20"/>
          <w:color w:val="auto"/>
        </w:rPr>
        <w:tab/>
      </w:r>
      <w:r>
        <w:rPr>
          <w:rFonts w:ascii="Times New Roman" w:cs="Times New Roman" w:eastAsia="Times New Roman" w:hAnsi="Times New Roman"/>
          <w:sz w:val="19"/>
          <w:szCs w:val="19"/>
          <w:color w:val="4C4C4E"/>
        </w:rPr>
        <w:t>Market for Registrant’s Common Equity, Related Stockholder Matters and Issuer Purchases of Equity</w:t>
      </w:r>
    </w:p>
    <w:p>
      <w:pPr>
        <w:ind w:left="1040"/>
        <w:spacing w:after="0"/>
        <w:tabs>
          <w:tab w:leader="dot" w:pos="10580" w:val="left"/>
        </w:tabs>
        <w:rPr>
          <w:sz w:val="20"/>
          <w:szCs w:val="20"/>
          <w:color w:val="auto"/>
        </w:rPr>
      </w:pPr>
      <w:r>
        <w:rPr>
          <w:rFonts w:ascii="Times New Roman" w:cs="Times New Roman" w:eastAsia="Times New Roman" w:hAnsi="Times New Roman"/>
          <w:sz w:val="20"/>
          <w:szCs w:val="20"/>
          <w:color w:val="4C4C4E"/>
        </w:rPr>
        <w:t>Securities</w:t>
      </w:r>
      <w:r>
        <w:rPr>
          <w:sz w:val="20"/>
          <w:szCs w:val="20"/>
          <w:color w:val="auto"/>
        </w:rPr>
        <w:tab/>
      </w:r>
      <w:r>
        <w:rPr>
          <w:rFonts w:ascii="Times New Roman" w:cs="Times New Roman" w:eastAsia="Times New Roman" w:hAnsi="Times New Roman"/>
          <w:sz w:val="20"/>
          <w:szCs w:val="20"/>
          <w:color w:val="4C4C4E"/>
        </w:rPr>
        <w:t>59</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6.</w:t>
      </w:r>
      <w:r>
        <w:rPr>
          <w:sz w:val="20"/>
          <w:szCs w:val="20"/>
          <w:color w:val="auto"/>
        </w:rPr>
        <w:tab/>
      </w:r>
      <w:r>
        <w:rPr>
          <w:rFonts w:ascii="Times New Roman" w:cs="Times New Roman" w:eastAsia="Times New Roman" w:hAnsi="Times New Roman"/>
          <w:sz w:val="20"/>
          <w:szCs w:val="20"/>
          <w:color w:val="4C4C4E"/>
        </w:rPr>
        <w:t>Reserved</w:t>
      </w:r>
      <w:r>
        <w:rPr>
          <w:sz w:val="20"/>
          <w:szCs w:val="20"/>
          <w:color w:val="auto"/>
        </w:rPr>
        <w:tab/>
      </w:r>
      <w:r>
        <w:rPr>
          <w:rFonts w:ascii="Times New Roman" w:cs="Times New Roman" w:eastAsia="Times New Roman" w:hAnsi="Times New Roman"/>
          <w:sz w:val="20"/>
          <w:szCs w:val="20"/>
          <w:color w:val="4C4C4E"/>
        </w:rPr>
        <w:t>62</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7.</w:t>
      </w:r>
      <w:r>
        <w:rPr>
          <w:sz w:val="20"/>
          <w:szCs w:val="20"/>
          <w:color w:val="auto"/>
        </w:rPr>
        <w:tab/>
      </w:r>
      <w:r>
        <w:rPr>
          <w:rFonts w:ascii="Times New Roman" w:cs="Times New Roman" w:eastAsia="Times New Roman" w:hAnsi="Times New Roman"/>
          <w:sz w:val="20"/>
          <w:szCs w:val="20"/>
          <w:color w:val="4C4C4E"/>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4C4C4E"/>
        </w:rPr>
        <w:t>63</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7A.</w:t>
        <w:tab/>
        <w:t>Quantitative and Qualitative Disclosures About Market Risk</w:t>
      </w:r>
      <w:r>
        <w:rPr>
          <w:sz w:val="20"/>
          <w:szCs w:val="20"/>
          <w:color w:val="auto"/>
        </w:rPr>
        <w:tab/>
      </w:r>
      <w:r>
        <w:rPr>
          <w:rFonts w:ascii="Times New Roman" w:cs="Times New Roman" w:eastAsia="Times New Roman" w:hAnsi="Times New Roman"/>
          <w:sz w:val="20"/>
          <w:szCs w:val="20"/>
          <w:color w:val="4C4C4E"/>
        </w:rPr>
        <w:t>88</w:t>
      </w:r>
    </w:p>
    <w:p>
      <w:pPr>
        <w:spacing w:after="0"/>
        <w:tabs>
          <w:tab w:leader="none" w:pos="1020" w:val="left"/>
          <w:tab w:leader="dot" w:pos="10500" w:val="left"/>
        </w:tabs>
        <w:rPr>
          <w:sz w:val="20"/>
          <w:szCs w:val="20"/>
          <w:color w:val="auto"/>
        </w:rPr>
      </w:pPr>
      <w:r>
        <w:rPr>
          <w:rFonts w:ascii="Times New Roman" w:cs="Times New Roman" w:eastAsia="Times New Roman" w:hAnsi="Times New Roman"/>
          <w:sz w:val="20"/>
          <w:szCs w:val="20"/>
          <w:color w:val="4C4C4E"/>
        </w:rPr>
        <w:t>ITEM 8.</w:t>
      </w:r>
      <w:r>
        <w:rPr>
          <w:sz w:val="20"/>
          <w:szCs w:val="20"/>
          <w:color w:val="auto"/>
        </w:rPr>
        <w:tab/>
      </w:r>
      <w:r>
        <w:rPr>
          <w:rFonts w:ascii="Times New Roman" w:cs="Times New Roman" w:eastAsia="Times New Roman" w:hAnsi="Times New Roman"/>
          <w:sz w:val="20"/>
          <w:szCs w:val="20"/>
          <w:color w:val="4C4C4E"/>
        </w:rPr>
        <w:t>Consolidated Financial Statements and Supplementary Data</w:t>
      </w:r>
      <w:r>
        <w:rPr>
          <w:sz w:val="20"/>
          <w:szCs w:val="20"/>
          <w:color w:val="auto"/>
        </w:rPr>
        <w:tab/>
      </w:r>
      <w:r>
        <w:rPr>
          <w:rFonts w:ascii="Times New Roman" w:cs="Times New Roman" w:eastAsia="Times New Roman" w:hAnsi="Times New Roman"/>
          <w:sz w:val="20"/>
          <w:szCs w:val="20"/>
          <w:color w:val="4C4C4E"/>
        </w:rPr>
        <w:t>F-1</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9.</w:t>
      </w:r>
      <w:r>
        <w:rPr>
          <w:sz w:val="20"/>
          <w:szCs w:val="20"/>
          <w:color w:val="auto"/>
        </w:rPr>
        <w:tab/>
      </w:r>
      <w:r>
        <w:rPr>
          <w:rFonts w:ascii="Times New Roman" w:cs="Times New Roman" w:eastAsia="Times New Roman" w:hAnsi="Times New Roman"/>
          <w:sz w:val="20"/>
          <w:szCs w:val="20"/>
          <w:color w:val="4C4C4E"/>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4C4C4E"/>
        </w:rPr>
        <w:t>89</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9A.</w:t>
        <w:tab/>
        <w:t>Controls and Procedures</w:t>
      </w:r>
      <w:r>
        <w:rPr>
          <w:sz w:val="20"/>
          <w:szCs w:val="20"/>
          <w:color w:val="auto"/>
        </w:rPr>
        <w:tab/>
      </w:r>
      <w:r>
        <w:rPr>
          <w:rFonts w:ascii="Times New Roman" w:cs="Times New Roman" w:eastAsia="Times New Roman" w:hAnsi="Times New Roman"/>
          <w:sz w:val="20"/>
          <w:szCs w:val="20"/>
          <w:color w:val="4C4C4E"/>
        </w:rPr>
        <w:t>89</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9B.</w:t>
        <w:tab/>
        <w:t>Other Information</w:t>
      </w:r>
      <w:r>
        <w:rPr>
          <w:sz w:val="20"/>
          <w:szCs w:val="20"/>
          <w:color w:val="auto"/>
        </w:rPr>
        <w:tab/>
      </w:r>
      <w:r>
        <w:rPr>
          <w:rFonts w:ascii="Times New Roman" w:cs="Times New Roman" w:eastAsia="Times New Roman" w:hAnsi="Times New Roman"/>
          <w:sz w:val="20"/>
          <w:szCs w:val="20"/>
          <w:color w:val="4C4C4E"/>
        </w:rPr>
        <w:t>89</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9C.</w:t>
        <w:tab/>
        <w:t>Disclosure Regarding Foreign Jurisdictions that Prevent Inspections</w:t>
      </w:r>
      <w:r>
        <w:rPr>
          <w:sz w:val="20"/>
          <w:szCs w:val="20"/>
          <w:color w:val="auto"/>
        </w:rPr>
        <w:tab/>
      </w:r>
      <w:r>
        <w:rPr>
          <w:rFonts w:ascii="Times New Roman" w:cs="Times New Roman" w:eastAsia="Times New Roman" w:hAnsi="Times New Roman"/>
          <w:sz w:val="20"/>
          <w:szCs w:val="20"/>
          <w:color w:val="4C4C4E"/>
        </w:rPr>
        <w:t>89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PART III</w:t>
      </w:r>
    </w:p>
    <w:p>
      <w:pPr>
        <w:spacing w:after="0" w:line="32" w:lineRule="exact"/>
        <w:rPr>
          <w:sz w:val="20"/>
          <w:szCs w:val="20"/>
          <w:color w:val="auto"/>
        </w:rPr>
      </w:pP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4C4C4E"/>
        </w:rPr>
        <w:t>90</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11.</w:t>
        <w:tab/>
        <w:t>Executive Compensation</w:t>
      </w:r>
      <w:r>
        <w:rPr>
          <w:sz w:val="20"/>
          <w:szCs w:val="20"/>
          <w:color w:val="auto"/>
        </w:rPr>
        <w:tab/>
      </w:r>
      <w:r>
        <w:rPr>
          <w:rFonts w:ascii="Times New Roman" w:cs="Times New Roman" w:eastAsia="Times New Roman" w:hAnsi="Times New Roman"/>
          <w:sz w:val="20"/>
          <w:szCs w:val="20"/>
          <w:color w:val="4C4C4E"/>
        </w:rPr>
        <w:t>90</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4C4C4E"/>
        </w:rPr>
        <w:t>90</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4C4C4E"/>
        </w:rPr>
        <w:t>90</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14.</w:t>
        <w:tab/>
        <w:t>Principal Accountant Fees and Services</w:t>
      </w:r>
      <w:r>
        <w:rPr>
          <w:sz w:val="20"/>
          <w:szCs w:val="20"/>
          <w:color w:val="auto"/>
        </w:rPr>
        <w:tab/>
      </w:r>
      <w:r>
        <w:rPr>
          <w:rFonts w:ascii="Times New Roman" w:cs="Times New Roman" w:eastAsia="Times New Roman" w:hAnsi="Times New Roman"/>
          <w:sz w:val="20"/>
          <w:szCs w:val="20"/>
          <w:color w:val="4C4C4E"/>
        </w:rPr>
        <w:t>90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PART IV</w:t>
      </w:r>
    </w:p>
    <w:p>
      <w:pPr>
        <w:spacing w:after="0" w:line="32" w:lineRule="exact"/>
        <w:rPr>
          <w:sz w:val="20"/>
          <w:szCs w:val="20"/>
          <w:color w:val="auto"/>
        </w:rPr>
      </w:pP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15.</w:t>
        <w:tab/>
        <w:t>Exhibits and Financial Statement Schedules</w:t>
      </w:r>
      <w:r>
        <w:rPr>
          <w:sz w:val="20"/>
          <w:szCs w:val="20"/>
          <w:color w:val="auto"/>
        </w:rPr>
        <w:tab/>
      </w:r>
      <w:r>
        <w:rPr>
          <w:rFonts w:ascii="Times New Roman" w:cs="Times New Roman" w:eastAsia="Times New Roman" w:hAnsi="Times New Roman"/>
          <w:sz w:val="20"/>
          <w:szCs w:val="20"/>
          <w:color w:val="4C4C4E"/>
        </w:rPr>
        <w:t>91</w:t>
      </w:r>
    </w:p>
    <w:p>
      <w:pPr>
        <w:spacing w:after="0"/>
        <w:tabs>
          <w:tab w:leader="none" w:pos="1020" w:val="left"/>
          <w:tab w:leader="dot" w:pos="10580" w:val="left"/>
        </w:tabs>
        <w:rPr>
          <w:sz w:val="20"/>
          <w:szCs w:val="20"/>
          <w:color w:val="auto"/>
        </w:rPr>
      </w:pPr>
      <w:r>
        <w:rPr>
          <w:rFonts w:ascii="Times New Roman" w:cs="Times New Roman" w:eastAsia="Times New Roman" w:hAnsi="Times New Roman"/>
          <w:sz w:val="20"/>
          <w:szCs w:val="20"/>
          <w:color w:val="4C4C4E"/>
        </w:rPr>
        <w:t>ITEM 16.</w:t>
        <w:tab/>
        <w:t>Form 10-K Summary</w:t>
      </w:r>
      <w:r>
        <w:rPr>
          <w:sz w:val="20"/>
          <w:szCs w:val="20"/>
          <w:color w:val="auto"/>
        </w:rPr>
        <w:tab/>
      </w:r>
      <w:r>
        <w:rPr>
          <w:rFonts w:ascii="Times New Roman" w:cs="Times New Roman" w:eastAsia="Times New Roman" w:hAnsi="Times New Roman"/>
          <w:sz w:val="20"/>
          <w:szCs w:val="20"/>
          <w:color w:val="4C4C4E"/>
        </w:rPr>
        <w:t>95</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2</w:t>
      </w:r>
    </w:p>
    <w:p>
      <w:pPr>
        <w:sectPr>
          <w:pgSz w:w="11880" w:h="15480" w:orient="portrait"/>
          <w:cols w:equalWidth="0" w:num="1">
            <w:col w:w="10800"/>
          </w:cols>
          <w:pgMar w:left="540" w:top="746" w:right="540" w:bottom="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4C4C4E"/>
        </w:rPr>
        <w:t>CAUTIONARY STATEMENT REGARDING FORWARD-LOOKING STATEMENTS</w:t>
      </w:r>
    </w:p>
    <w:p>
      <w:pPr>
        <w:spacing w:after="0" w:line="244" w:lineRule="exact"/>
        <w:rPr>
          <w:sz w:val="20"/>
          <w:szCs w:val="20"/>
          <w:color w:val="auto"/>
        </w:rPr>
      </w:pPr>
    </w:p>
    <w:p>
      <w:pPr>
        <w:ind w:right="100" w:firstLine="245"/>
        <w:spacing w:after="0" w:line="246" w:lineRule="auto"/>
        <w:rPr>
          <w:sz w:val="20"/>
          <w:szCs w:val="20"/>
          <w:color w:val="auto"/>
        </w:rPr>
      </w:pPr>
      <w:r>
        <w:rPr>
          <w:rFonts w:ascii="Times New Roman" w:cs="Times New Roman" w:eastAsia="Times New Roman" w:hAnsi="Times New Roman"/>
          <w:sz w:val="20"/>
          <w:szCs w:val="20"/>
          <w:color w:val="4C4C4E"/>
        </w:rPr>
        <w:t>This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200" w:lineRule="exact"/>
        <w:rPr>
          <w:sz w:val="20"/>
          <w:szCs w:val="20"/>
          <w:color w:val="auto"/>
        </w:rPr>
      </w:pPr>
    </w:p>
    <w:p>
      <w:pPr>
        <w:jc w:val="both"/>
        <w:ind w:right="160" w:firstLine="245"/>
        <w:spacing w:after="0" w:line="258" w:lineRule="auto"/>
        <w:rPr>
          <w:sz w:val="20"/>
          <w:szCs w:val="20"/>
          <w:color w:val="auto"/>
        </w:rPr>
      </w:pPr>
      <w:r>
        <w:rPr>
          <w:rFonts w:ascii="Times New Roman" w:cs="Times New Roman" w:eastAsia="Times New Roman" w:hAnsi="Times New Roman"/>
          <w:sz w:val="20"/>
          <w:szCs w:val="20"/>
          <w:color w:val="4C4C4E"/>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83" w:lineRule="exact"/>
        <w:rPr>
          <w:sz w:val="20"/>
          <w:szCs w:val="20"/>
          <w:color w:val="auto"/>
        </w:rPr>
      </w:pPr>
    </w:p>
    <w:p>
      <w:pPr>
        <w:ind w:left="500" w:right="280" w:hanging="255"/>
        <w:spacing w:after="0" w:line="276" w:lineRule="auto"/>
        <w:tabs>
          <w:tab w:leader="none" w:pos="500" w:val="left"/>
        </w:tabs>
        <w:numPr>
          <w:ilvl w:val="0"/>
          <w:numId w:val="3"/>
        </w:numPr>
        <w:rPr>
          <w:rFonts w:ascii="Arial" w:cs="Arial" w:eastAsia="Arial" w:hAnsi="Arial"/>
          <w:sz w:val="20"/>
          <w:szCs w:val="20"/>
          <w:color w:val="4C4C4E"/>
        </w:rPr>
      </w:pPr>
      <w:r>
        <w:rPr>
          <w:rFonts w:ascii="Times New Roman" w:cs="Times New Roman" w:eastAsia="Times New Roman" w:hAnsi="Times New Roman"/>
          <w:sz w:val="20"/>
          <w:szCs w:val="20"/>
          <w:color w:val="4C4C4E"/>
        </w:rPr>
        <w:t>an economic downturn, could impair our portfolio companies’ abilities to continue to operate, which could lead to the loss of some or all of our investments in those portfolio companies;</w:t>
      </w:r>
    </w:p>
    <w:p>
      <w:pPr>
        <w:spacing w:after="0" w:line="64" w:lineRule="exact"/>
        <w:rPr>
          <w:rFonts w:ascii="Arial" w:cs="Arial" w:eastAsia="Arial" w:hAnsi="Arial"/>
          <w:sz w:val="20"/>
          <w:szCs w:val="20"/>
          <w:color w:val="4C4C4E"/>
        </w:rPr>
      </w:pPr>
    </w:p>
    <w:p>
      <w:pPr>
        <w:ind w:left="500" w:hanging="255"/>
        <w:spacing w:after="0" w:line="258" w:lineRule="auto"/>
        <w:tabs>
          <w:tab w:leader="none" w:pos="500" w:val="left"/>
        </w:tabs>
        <w:numPr>
          <w:ilvl w:val="0"/>
          <w:numId w:val="3"/>
        </w:numPr>
        <w:rPr>
          <w:rFonts w:ascii="Arial" w:cs="Arial" w:eastAsia="Arial" w:hAnsi="Arial"/>
          <w:sz w:val="20"/>
          <w:szCs w:val="20"/>
          <w:color w:val="4C4C4E"/>
        </w:rPr>
      </w:pPr>
      <w:r>
        <w:rPr>
          <w:rFonts w:ascii="Times New Roman" w:cs="Times New Roman" w:eastAsia="Times New Roman" w:hAnsi="Times New Roman"/>
          <w:sz w:val="20"/>
          <w:szCs w:val="20"/>
          <w:color w:val="4C4C4E"/>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Arial" w:cs="Arial" w:eastAsia="Arial" w:hAnsi="Arial"/>
          <w:sz w:val="20"/>
          <w:szCs w:val="20"/>
          <w:color w:val="4C4C4E"/>
        </w:rPr>
      </w:pPr>
    </w:p>
    <w:p>
      <w:pPr>
        <w:ind w:left="500" w:hanging="255"/>
        <w:spacing w:after="0"/>
        <w:tabs>
          <w:tab w:leader="none" w:pos="500" w:val="left"/>
        </w:tabs>
        <w:numPr>
          <w:ilvl w:val="0"/>
          <w:numId w:val="3"/>
        </w:numPr>
        <w:rPr>
          <w:rFonts w:ascii="Arial" w:cs="Arial" w:eastAsia="Arial" w:hAnsi="Arial"/>
          <w:sz w:val="20"/>
          <w:szCs w:val="20"/>
          <w:color w:val="4C4C4E"/>
        </w:rPr>
      </w:pPr>
      <w:r>
        <w:rPr>
          <w:rFonts w:ascii="Times New Roman" w:cs="Times New Roman" w:eastAsia="Times New Roman" w:hAnsi="Times New Roman"/>
          <w:sz w:val="20"/>
          <w:szCs w:val="20"/>
          <w:color w:val="4C4C4E"/>
        </w:rPr>
        <w:t>such an economic downturn could also impact availability and pricing of our financing;</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3"/>
        </w:numPr>
        <w:rPr>
          <w:rFonts w:ascii="Arial" w:cs="Arial" w:eastAsia="Arial" w:hAnsi="Arial"/>
          <w:sz w:val="20"/>
          <w:szCs w:val="20"/>
          <w:color w:val="4C4C4E"/>
        </w:rPr>
      </w:pPr>
      <w:r>
        <w:rPr>
          <w:rFonts w:ascii="Times New Roman" w:cs="Times New Roman" w:eastAsia="Times New Roman" w:hAnsi="Times New Roman"/>
          <w:sz w:val="20"/>
          <w:szCs w:val="20"/>
          <w:color w:val="4C4C4E"/>
        </w:rPr>
        <w:t>an inability to access the capital markets could impair our ability to raise capital and our investment activities;</w:t>
      </w:r>
    </w:p>
    <w:p>
      <w:pPr>
        <w:spacing w:after="0" w:line="133" w:lineRule="exact"/>
        <w:rPr>
          <w:rFonts w:ascii="Arial" w:cs="Arial" w:eastAsia="Arial" w:hAnsi="Arial"/>
          <w:sz w:val="20"/>
          <w:szCs w:val="20"/>
          <w:color w:val="4C4C4E"/>
        </w:rPr>
      </w:pPr>
    </w:p>
    <w:p>
      <w:pPr>
        <w:ind w:left="500" w:right="420" w:hanging="255"/>
        <w:spacing w:after="0" w:line="276" w:lineRule="auto"/>
        <w:tabs>
          <w:tab w:leader="none" w:pos="500" w:val="left"/>
        </w:tabs>
        <w:numPr>
          <w:ilvl w:val="0"/>
          <w:numId w:val="3"/>
        </w:numPr>
        <w:rPr>
          <w:rFonts w:ascii="Arial" w:cs="Arial" w:eastAsia="Arial" w:hAnsi="Arial"/>
          <w:sz w:val="20"/>
          <w:szCs w:val="20"/>
          <w:color w:val="4C4C4E"/>
        </w:rPr>
      </w:pPr>
      <w:r>
        <w:rPr>
          <w:rFonts w:ascii="Times New Roman" w:cs="Times New Roman" w:eastAsia="Times New Roman" w:hAnsi="Times New Roman"/>
          <w:sz w:val="20"/>
          <w:szCs w:val="20"/>
          <w:color w:val="4C4C4E"/>
        </w:rPr>
        <w:t>inflation could negatively impact our business, including our ability to access the debt markets on favorable terms, or could negatively impact our portfolio companies;</w:t>
      </w:r>
    </w:p>
    <w:p>
      <w:pPr>
        <w:spacing w:after="0" w:line="64" w:lineRule="exact"/>
        <w:rPr>
          <w:rFonts w:ascii="Arial" w:cs="Arial" w:eastAsia="Arial" w:hAnsi="Arial"/>
          <w:sz w:val="20"/>
          <w:szCs w:val="20"/>
          <w:color w:val="4C4C4E"/>
        </w:rPr>
      </w:pPr>
    </w:p>
    <w:p>
      <w:pPr>
        <w:ind w:left="500" w:right="420" w:hanging="255"/>
        <w:spacing w:after="0" w:line="276" w:lineRule="auto"/>
        <w:tabs>
          <w:tab w:leader="none" w:pos="500" w:val="left"/>
        </w:tabs>
        <w:numPr>
          <w:ilvl w:val="0"/>
          <w:numId w:val="3"/>
        </w:numPr>
        <w:rPr>
          <w:rFonts w:ascii="Arial" w:cs="Arial" w:eastAsia="Arial" w:hAnsi="Arial"/>
          <w:sz w:val="20"/>
          <w:szCs w:val="20"/>
          <w:color w:val="4C4C4E"/>
        </w:rPr>
      </w:pPr>
      <w:r>
        <w:rPr>
          <w:rFonts w:ascii="Times New Roman" w:cs="Times New Roman" w:eastAsia="Times New Roman" w:hAnsi="Times New Roman"/>
          <w:sz w:val="20"/>
          <w:szCs w:val="20"/>
          <w:color w:val="4C4C4E"/>
        </w:rPr>
        <w:t>changes in political, economic or industry conditions, the interest rate environment or conditions affecting the financial and capital markets, including the effects of trade policies and government regulation; and</w:t>
      </w:r>
    </w:p>
    <w:p>
      <w:pPr>
        <w:spacing w:after="0" w:line="64" w:lineRule="exact"/>
        <w:rPr>
          <w:rFonts w:ascii="Arial" w:cs="Arial" w:eastAsia="Arial" w:hAnsi="Arial"/>
          <w:sz w:val="20"/>
          <w:szCs w:val="20"/>
          <w:color w:val="4C4C4E"/>
        </w:rPr>
      </w:pPr>
    </w:p>
    <w:p>
      <w:pPr>
        <w:ind w:left="500" w:right="180" w:hanging="255"/>
        <w:spacing w:after="0" w:line="276" w:lineRule="auto"/>
        <w:tabs>
          <w:tab w:leader="none" w:pos="500" w:val="left"/>
        </w:tabs>
        <w:numPr>
          <w:ilvl w:val="0"/>
          <w:numId w:val="3"/>
        </w:numPr>
        <w:rPr>
          <w:rFonts w:ascii="Arial" w:cs="Arial" w:eastAsia="Arial" w:hAnsi="Arial"/>
          <w:sz w:val="20"/>
          <w:szCs w:val="20"/>
          <w:color w:val="4C4C4E"/>
        </w:rPr>
      </w:pPr>
      <w:r>
        <w:rPr>
          <w:rFonts w:ascii="Times New Roman" w:cs="Times New Roman" w:eastAsia="Times New Roman" w:hAnsi="Times New Roman"/>
          <w:sz w:val="20"/>
          <w:szCs w:val="20"/>
          <w:color w:val="4C4C4E"/>
        </w:rPr>
        <w:t>the risks, uncertainties and other factors we identify in the section entitled “Risk Factors” in this Annual Report and elsewhere in our filings with the SEC.</w:t>
      </w:r>
    </w:p>
    <w:p>
      <w:pPr>
        <w:spacing w:after="0" w:line="170"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4C4C4E"/>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Annual Report should not be regarded as a representation by us that our plans and objectives will be achieved. You should not place undue reliance on these forward-looking statements, which apply only as of the date of this Annual Report. We do not undertake any obligation to update or revise any forward-looking statements or any other information contained herein, except as required by applicable law. The safe harbor provisions of Section 21E of the Securities Exchange Act of 1934, as amended (the “Exchange Act”), which preclude civil liability for certain forward-looking statements, do not apply to the forward-looking statements in this Annual Report because we are an investment company.</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“TSLX” and “TAO” marks are marks of Sixth Street.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Summary of Risk Factors</w:t>
      </w:r>
    </w:p>
    <w:p>
      <w:pPr>
        <w:spacing w:after="0" w:line="119" w:lineRule="exact"/>
        <w:rPr>
          <w:sz w:val="20"/>
          <w:szCs w:val="20"/>
          <w:color w:val="auto"/>
        </w:rPr>
      </w:pPr>
    </w:p>
    <w:p>
      <w:pPr>
        <w:jc w:val="both"/>
        <w:ind w:right="380"/>
        <w:spacing w:after="0" w:line="299" w:lineRule="auto"/>
        <w:rPr>
          <w:sz w:val="20"/>
          <w:szCs w:val="20"/>
          <w:color w:val="auto"/>
        </w:rPr>
      </w:pPr>
      <w:r>
        <w:rPr>
          <w:rFonts w:ascii="Times New Roman" w:cs="Times New Roman" w:eastAsia="Times New Roman" w:hAnsi="Times New Roman"/>
          <w:sz w:val="19"/>
          <w:szCs w:val="19"/>
          <w:color w:val="4C4C4E"/>
        </w:rPr>
        <w:t>The following is a summary of the principal risks that could adversely affect our business, operations and financial results, which should be read in conjunction with the complete discussion of risk factors we face, which are set forth in “Item 1A. Risk Factors.”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Risks Related to Our Business and Structure</w:t>
      </w:r>
    </w:p>
    <w:p>
      <w:pPr>
        <w:spacing w:after="0" w:line="127" w:lineRule="exact"/>
        <w:rPr>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4C4C4E"/>
        </w:rPr>
      </w:pPr>
      <w:r>
        <w:rPr>
          <w:rFonts w:ascii="Times New Roman" w:cs="Times New Roman" w:eastAsia="Times New Roman" w:hAnsi="Times New Roman"/>
          <w:sz w:val="20"/>
          <w:szCs w:val="20"/>
          <w:color w:val="4C4C4E"/>
        </w:rPr>
        <w:t>We are dependent upon management personnel of the Adviser, Sixth Street and their affiliates for our future success.</w:t>
      </w:r>
    </w:p>
    <w:p>
      <w:pPr>
        <w:spacing w:after="0" w:line="128" w:lineRule="exact"/>
        <w:rPr>
          <w:rFonts w:ascii="Arial" w:cs="Arial" w:eastAsia="Arial" w:hAnsi="Arial"/>
          <w:sz w:val="20"/>
          <w:szCs w:val="20"/>
          <w:color w:val="4C4C4E"/>
        </w:rPr>
      </w:pPr>
    </w:p>
    <w:p>
      <w:pPr>
        <w:ind w:left="720" w:right="40" w:hanging="360"/>
        <w:spacing w:after="0" w:line="272" w:lineRule="auto"/>
        <w:tabs>
          <w:tab w:leader="none" w:pos="720" w:val="left"/>
        </w:tabs>
        <w:numPr>
          <w:ilvl w:val="0"/>
          <w:numId w:val="4"/>
        </w:numPr>
        <w:rPr>
          <w:rFonts w:ascii="Arial" w:cs="Arial" w:eastAsia="Arial" w:hAnsi="Arial"/>
          <w:sz w:val="20"/>
          <w:szCs w:val="20"/>
          <w:color w:val="4C4C4E"/>
        </w:rPr>
      </w:pPr>
      <w:r>
        <w:rPr>
          <w:rFonts w:ascii="Times New Roman" w:cs="Times New Roman" w:eastAsia="Times New Roman" w:hAnsi="Times New Roman"/>
          <w:sz w:val="20"/>
          <w:szCs w:val="20"/>
          <w:color w:val="4C4C4E"/>
        </w:rPr>
        <w:t>We are subject to significant regulations governing our operation as a BDC, which affect our ability to, and the way in which we, raise additional capital. Changes in regulation could adversely affect our business.</w:t>
      </w:r>
    </w:p>
    <w:p>
      <w:pPr>
        <w:spacing w:after="0" w:line="62" w:lineRule="exact"/>
        <w:rPr>
          <w:rFonts w:ascii="Arial" w:cs="Arial" w:eastAsia="Arial" w:hAnsi="Arial"/>
          <w:sz w:val="20"/>
          <w:szCs w:val="20"/>
          <w:color w:val="4C4C4E"/>
        </w:rPr>
      </w:pPr>
    </w:p>
    <w:p>
      <w:pPr>
        <w:ind w:left="720" w:hanging="360"/>
        <w:spacing w:after="0"/>
        <w:tabs>
          <w:tab w:leader="none" w:pos="720" w:val="left"/>
        </w:tabs>
        <w:numPr>
          <w:ilvl w:val="0"/>
          <w:numId w:val="4"/>
        </w:numPr>
        <w:rPr>
          <w:rFonts w:ascii="Arial" w:cs="Arial" w:eastAsia="Arial" w:hAnsi="Arial"/>
          <w:sz w:val="20"/>
          <w:szCs w:val="20"/>
          <w:color w:val="4C4C4E"/>
        </w:rPr>
      </w:pPr>
      <w:r>
        <w:rPr>
          <w:rFonts w:ascii="Times New Roman" w:cs="Times New Roman" w:eastAsia="Times New Roman" w:hAnsi="Times New Roman"/>
          <w:sz w:val="20"/>
          <w:szCs w:val="20"/>
          <w:color w:val="4C4C4E"/>
        </w:rPr>
        <w:t>We borrow money, which magnifies the potential for gain or loss and increases the risk of investing in us.</w:t>
      </w:r>
    </w:p>
    <w:p>
      <w:pPr>
        <w:spacing w:after="0" w:line="128" w:lineRule="exact"/>
        <w:rPr>
          <w:rFonts w:ascii="Arial" w:cs="Arial" w:eastAsia="Arial" w:hAnsi="Arial"/>
          <w:sz w:val="20"/>
          <w:szCs w:val="20"/>
          <w:color w:val="4C4C4E"/>
        </w:rPr>
      </w:pPr>
    </w:p>
    <w:p>
      <w:pPr>
        <w:ind w:left="720" w:right="60" w:hanging="360"/>
        <w:spacing w:after="0" w:line="272" w:lineRule="auto"/>
        <w:tabs>
          <w:tab w:leader="none" w:pos="720" w:val="left"/>
        </w:tabs>
        <w:numPr>
          <w:ilvl w:val="0"/>
          <w:numId w:val="4"/>
        </w:numPr>
        <w:rPr>
          <w:rFonts w:ascii="Arial" w:cs="Arial" w:eastAsia="Arial" w:hAnsi="Arial"/>
          <w:sz w:val="20"/>
          <w:szCs w:val="20"/>
          <w:color w:val="4C4C4E"/>
        </w:rPr>
      </w:pPr>
      <w:r>
        <w:rPr>
          <w:rFonts w:ascii="Times New Roman" w:cs="Times New Roman" w:eastAsia="Times New Roman" w:hAnsi="Times New Roman"/>
          <w:sz w:val="20"/>
          <w:szCs w:val="20"/>
          <w:color w:val="4C4C4E"/>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62" w:lineRule="exact"/>
        <w:rPr>
          <w:rFonts w:ascii="Arial" w:cs="Arial" w:eastAsia="Arial" w:hAnsi="Arial"/>
          <w:sz w:val="20"/>
          <w:szCs w:val="20"/>
          <w:color w:val="4C4C4E"/>
        </w:rPr>
      </w:pPr>
    </w:p>
    <w:p>
      <w:pPr>
        <w:ind w:left="720" w:hanging="360"/>
        <w:spacing w:after="0"/>
        <w:tabs>
          <w:tab w:leader="none" w:pos="720" w:val="left"/>
        </w:tabs>
        <w:numPr>
          <w:ilvl w:val="0"/>
          <w:numId w:val="4"/>
        </w:numPr>
        <w:rPr>
          <w:rFonts w:ascii="Arial" w:cs="Arial" w:eastAsia="Arial" w:hAnsi="Arial"/>
          <w:sz w:val="20"/>
          <w:szCs w:val="20"/>
          <w:color w:val="4C4C4E"/>
        </w:rPr>
      </w:pPr>
      <w:r>
        <w:rPr>
          <w:rFonts w:ascii="Times New Roman" w:cs="Times New Roman" w:eastAsia="Times New Roman" w:hAnsi="Times New Roman"/>
          <w:sz w:val="20"/>
          <w:szCs w:val="20"/>
          <w:color w:val="4C4C4E"/>
        </w:rPr>
        <w:t>We operate in a highly competitive market for investment opportunities.</w:t>
      </w:r>
    </w:p>
    <w:p>
      <w:pPr>
        <w:spacing w:after="0" w:line="128" w:lineRule="exact"/>
        <w:rPr>
          <w:rFonts w:ascii="Arial" w:cs="Arial" w:eastAsia="Arial" w:hAnsi="Arial"/>
          <w:sz w:val="20"/>
          <w:szCs w:val="20"/>
          <w:color w:val="4C4C4E"/>
        </w:rPr>
      </w:pPr>
    </w:p>
    <w:p>
      <w:pPr>
        <w:ind w:left="720" w:right="220" w:hanging="360"/>
        <w:spacing w:after="0" w:line="272" w:lineRule="auto"/>
        <w:tabs>
          <w:tab w:leader="none" w:pos="720" w:val="left"/>
        </w:tabs>
        <w:numPr>
          <w:ilvl w:val="0"/>
          <w:numId w:val="4"/>
        </w:numPr>
        <w:rPr>
          <w:rFonts w:ascii="Arial" w:cs="Arial" w:eastAsia="Arial" w:hAnsi="Arial"/>
          <w:sz w:val="20"/>
          <w:szCs w:val="20"/>
          <w:color w:val="4C4C4E"/>
        </w:rPr>
      </w:pPr>
      <w:r>
        <w:rPr>
          <w:rFonts w:ascii="Times New Roman" w:cs="Times New Roman" w:eastAsia="Times New Roman" w:hAnsi="Times New Roman"/>
          <w:sz w:val="20"/>
          <w:szCs w:val="20"/>
          <w:color w:val="4C4C4E"/>
        </w:rPr>
        <w:t>If we are unable to source investments, access financing or manage future growth effectively, we may be unable to achieve our investment objective.</w:t>
      </w:r>
    </w:p>
    <w:p>
      <w:pPr>
        <w:sectPr>
          <w:pgSz w:w="11880" w:h="15480" w:orient="portrait"/>
          <w:cols w:equalWidth="0" w:num="1">
            <w:col w:w="10780"/>
          </w:cols>
          <w:pgMar w:left="540" w:top="746" w:right="560" w:bottom="0" w:gutter="0" w:footer="0" w:header="0"/>
        </w:sectPr>
      </w:pPr>
    </w:p>
    <w:p>
      <w:pPr>
        <w:spacing w:after="0" w:line="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3</w:t>
      </w:r>
    </w:p>
    <w:p>
      <w:pPr>
        <w:sectPr>
          <w:pgSz w:w="11880" w:h="15480" w:orient="portrait"/>
          <w:cols w:equalWidth="0" w:num="1">
            <w:col w:w="10780"/>
          </w:cols>
          <w:pgMar w:left="540" w:top="746" w:right="560" w:bottom="0" w:gutter="0" w:footer="0" w:header="0"/>
          <w:type w:val="continuous"/>
        </w:sectPr>
      </w:pPr>
    </w:p>
    <w:bookmarkStart w:id="3" w:name="page4"/>
    <w:bookmarkEnd w:id="3"/>
    <w:p>
      <w:pPr>
        <w:ind w:left="720" w:hanging="360"/>
        <w:spacing w:after="0" w:line="272" w:lineRule="auto"/>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Even in the event the value of your investment declines, the Management Fee and, in certain circumstances, the Incentive Fee will still be payable to the Adviser.</w:t>
      </w:r>
    </w:p>
    <w:p>
      <w:pPr>
        <w:spacing w:after="0" w:line="62" w:lineRule="exact"/>
        <w:rPr>
          <w:rFonts w:ascii="Arial" w:cs="Arial" w:eastAsia="Arial" w:hAnsi="Arial"/>
          <w:sz w:val="20"/>
          <w:szCs w:val="20"/>
          <w:color w:val="4C4C4E"/>
        </w:rPr>
      </w:pPr>
    </w:p>
    <w:p>
      <w:pPr>
        <w:ind w:left="720" w:right="120" w:hanging="360"/>
        <w:spacing w:after="0" w:line="272" w:lineRule="auto"/>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To the extent that we do not realize income or choose not to retain after-tax realized net capital gains, we will have a greater need for additional capital to fund our investments and operating expenses.</w:t>
      </w:r>
    </w:p>
    <w:p>
      <w:pPr>
        <w:spacing w:after="0" w:line="62" w:lineRule="exact"/>
        <w:rPr>
          <w:rFonts w:ascii="Arial" w:cs="Arial" w:eastAsia="Arial" w:hAnsi="Arial"/>
          <w:sz w:val="20"/>
          <w:szCs w:val="20"/>
          <w:color w:val="4C4C4E"/>
        </w:rPr>
      </w:pPr>
    </w:p>
    <w:p>
      <w:pPr>
        <w:ind w:left="720" w:right="240" w:hanging="360"/>
        <w:spacing w:after="0" w:line="272" w:lineRule="auto"/>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rFonts w:ascii="Arial" w:cs="Arial" w:eastAsia="Arial" w:hAnsi="Arial"/>
          <w:sz w:val="20"/>
          <w:szCs w:val="20"/>
          <w:color w:val="4C4C4E"/>
        </w:rPr>
      </w:pPr>
    </w:p>
    <w:p>
      <w:pPr>
        <w:ind w:left="720" w:hanging="360"/>
        <w:spacing w:after="0" w:line="272" w:lineRule="auto"/>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We can be expected to retain some income and capital gains in excess of what is permissible for excise tax purposes and such amounts will be subject to 4% U.S. federal excise tax.</w:t>
      </w:r>
    </w:p>
    <w:p>
      <w:pPr>
        <w:spacing w:after="0" w:line="62" w:lineRule="exact"/>
        <w:rPr>
          <w:rFonts w:ascii="Arial" w:cs="Arial" w:eastAsia="Arial" w:hAnsi="Arial"/>
          <w:sz w:val="20"/>
          <w:szCs w:val="20"/>
          <w:color w:val="4C4C4E"/>
        </w:rPr>
      </w:pPr>
    </w:p>
    <w:p>
      <w:pPr>
        <w:ind w:left="720" w:hanging="360"/>
        <w:spacing w:after="0"/>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Our Adviser and its affiliates, officers and employees may face certain conflicts of interest.</w:t>
      </w:r>
    </w:p>
    <w:p>
      <w:pPr>
        <w:spacing w:after="0" w:line="128" w:lineRule="exact"/>
        <w:rPr>
          <w:rFonts w:ascii="Arial" w:cs="Arial" w:eastAsia="Arial" w:hAnsi="Arial"/>
          <w:sz w:val="20"/>
          <w:szCs w:val="20"/>
          <w:color w:val="4C4C4E"/>
        </w:rPr>
      </w:pPr>
    </w:p>
    <w:p>
      <w:pPr>
        <w:ind w:left="720" w:hanging="360"/>
        <w:spacing w:after="0"/>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Our ability to enter into transactions with our affiliates is restricted.</w:t>
      </w:r>
    </w:p>
    <w:p>
      <w:pPr>
        <w:spacing w:after="0" w:line="128" w:lineRule="exact"/>
        <w:rPr>
          <w:rFonts w:ascii="Arial" w:cs="Arial" w:eastAsia="Arial" w:hAnsi="Arial"/>
          <w:sz w:val="20"/>
          <w:szCs w:val="20"/>
          <w:color w:val="4C4C4E"/>
        </w:rPr>
      </w:pPr>
    </w:p>
    <w:p>
      <w:pPr>
        <w:ind w:left="720" w:right="100" w:hanging="360"/>
        <w:spacing w:after="0" w:line="272" w:lineRule="auto"/>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Our Adviser can resign on 60 days’ notice. We may not be able to find a suitable replacement within that time, resulting in a disruption in our operations and a loss of the benefits from our relationship with Sixth Street.</w:t>
      </w:r>
    </w:p>
    <w:p>
      <w:pPr>
        <w:spacing w:after="0" w:line="62" w:lineRule="exact"/>
        <w:rPr>
          <w:rFonts w:ascii="Arial" w:cs="Arial" w:eastAsia="Arial" w:hAnsi="Arial"/>
          <w:sz w:val="20"/>
          <w:szCs w:val="20"/>
          <w:color w:val="4C4C4E"/>
        </w:rPr>
      </w:pPr>
    </w:p>
    <w:p>
      <w:pPr>
        <w:jc w:val="both"/>
        <w:ind w:left="720" w:right="180" w:hanging="360"/>
        <w:spacing w:after="0" w:line="253" w:lineRule="auto"/>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81" w:lineRule="exact"/>
        <w:rPr>
          <w:rFonts w:ascii="Arial" w:cs="Arial" w:eastAsia="Arial" w:hAnsi="Arial"/>
          <w:sz w:val="20"/>
          <w:szCs w:val="20"/>
          <w:color w:val="4C4C4E"/>
        </w:rPr>
      </w:pPr>
    </w:p>
    <w:p>
      <w:pPr>
        <w:ind w:left="720" w:hanging="360"/>
        <w:spacing w:after="0"/>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Any failure to maintain our status as a BDC would reduce our operating flexibility.</w:t>
      </w:r>
    </w:p>
    <w:p>
      <w:pPr>
        <w:spacing w:after="0" w:line="128" w:lineRule="exact"/>
        <w:rPr>
          <w:rFonts w:ascii="Arial" w:cs="Arial" w:eastAsia="Arial" w:hAnsi="Arial"/>
          <w:sz w:val="20"/>
          <w:szCs w:val="20"/>
          <w:color w:val="4C4C4E"/>
        </w:rPr>
      </w:pPr>
    </w:p>
    <w:p>
      <w:pPr>
        <w:ind w:left="720" w:hanging="360"/>
        <w:spacing w:after="0"/>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We incur significant costs as a result of being a publicly traded company.</w:t>
      </w:r>
    </w:p>
    <w:p>
      <w:pPr>
        <w:spacing w:after="0" w:line="128" w:lineRule="exact"/>
        <w:rPr>
          <w:rFonts w:ascii="Arial" w:cs="Arial" w:eastAsia="Arial" w:hAnsi="Arial"/>
          <w:sz w:val="20"/>
          <w:szCs w:val="20"/>
          <w:color w:val="4C4C4E"/>
        </w:rPr>
      </w:pPr>
    </w:p>
    <w:p>
      <w:pPr>
        <w:ind w:left="720" w:right="300" w:hanging="360"/>
        <w:spacing w:after="0" w:line="272" w:lineRule="auto"/>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Provisions of the General Corporation Law of the State of Delaware and our certificate of incorporation and bylaws could deter takeover attempts and have an adverse effect on the price of our common stock.</w:t>
      </w:r>
    </w:p>
    <w:p>
      <w:pPr>
        <w:spacing w:after="0" w:line="62" w:lineRule="exact"/>
        <w:rPr>
          <w:rFonts w:ascii="Arial" w:cs="Arial" w:eastAsia="Arial" w:hAnsi="Arial"/>
          <w:sz w:val="20"/>
          <w:szCs w:val="20"/>
          <w:color w:val="4C4C4E"/>
        </w:rPr>
      </w:pPr>
    </w:p>
    <w:p>
      <w:pPr>
        <w:ind w:left="720" w:hanging="360"/>
        <w:spacing w:after="0"/>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Certain investors are limited in their ability to make significant investments in us.</w:t>
      </w:r>
    </w:p>
    <w:p>
      <w:pPr>
        <w:spacing w:after="0" w:line="128" w:lineRule="exact"/>
        <w:rPr>
          <w:rFonts w:ascii="Arial" w:cs="Arial" w:eastAsia="Arial" w:hAnsi="Arial"/>
          <w:sz w:val="20"/>
          <w:szCs w:val="20"/>
          <w:color w:val="4C4C4E"/>
        </w:rPr>
      </w:pPr>
    </w:p>
    <w:p>
      <w:pPr>
        <w:ind w:left="720" w:hanging="360"/>
        <w:spacing w:after="0"/>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Cybersecurity risks and cyber incidents may adversely affect our business or those of our portfolio companies.</w:t>
      </w:r>
    </w:p>
    <w:p>
      <w:pPr>
        <w:spacing w:after="0" w:line="128" w:lineRule="exact"/>
        <w:rPr>
          <w:rFonts w:ascii="Arial" w:cs="Arial" w:eastAsia="Arial" w:hAnsi="Arial"/>
          <w:sz w:val="20"/>
          <w:szCs w:val="20"/>
          <w:color w:val="4C4C4E"/>
        </w:rPr>
      </w:pPr>
    </w:p>
    <w:p>
      <w:pPr>
        <w:ind w:left="720" w:right="660" w:hanging="360"/>
        <w:spacing w:after="0" w:line="272" w:lineRule="auto"/>
        <w:tabs>
          <w:tab w:leader="none" w:pos="720" w:val="left"/>
        </w:tabs>
        <w:numPr>
          <w:ilvl w:val="0"/>
          <w:numId w:val="5"/>
        </w:numPr>
        <w:rPr>
          <w:rFonts w:ascii="Arial" w:cs="Arial" w:eastAsia="Arial" w:hAnsi="Arial"/>
          <w:sz w:val="20"/>
          <w:szCs w:val="20"/>
          <w:color w:val="4C4C4E"/>
        </w:rPr>
      </w:pPr>
      <w:r>
        <w:rPr>
          <w:rFonts w:ascii="Times New Roman" w:cs="Times New Roman" w:eastAsia="Times New Roman" w:hAnsi="Times New Roman"/>
          <w:sz w:val="20"/>
          <w:szCs w:val="20"/>
          <w:color w:val="4C4C4E"/>
        </w:rPr>
        <w:t>Our Board may change our investment objective, operating policies and strategies without prior notice or stockholder approval.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Risks Related to Economic Conditions</w:t>
      </w:r>
    </w:p>
    <w:p>
      <w:pPr>
        <w:spacing w:after="0" w:line="132" w:lineRule="exact"/>
        <w:rPr>
          <w:sz w:val="20"/>
          <w:szCs w:val="20"/>
          <w:color w:val="auto"/>
        </w:rPr>
      </w:pPr>
    </w:p>
    <w:p>
      <w:pPr>
        <w:ind w:left="720" w:right="240" w:hanging="360"/>
        <w:spacing w:after="0" w:line="276" w:lineRule="auto"/>
        <w:tabs>
          <w:tab w:leader="none" w:pos="720" w:val="left"/>
        </w:tabs>
        <w:numPr>
          <w:ilvl w:val="0"/>
          <w:numId w:val="6"/>
        </w:numPr>
        <w:rPr>
          <w:rFonts w:ascii="Arial" w:cs="Arial" w:eastAsia="Arial" w:hAnsi="Arial"/>
          <w:sz w:val="20"/>
          <w:szCs w:val="20"/>
          <w:color w:val="4C4C4E"/>
        </w:rPr>
      </w:pPr>
      <w:r>
        <w:rPr>
          <w:rFonts w:ascii="Times New Roman" w:cs="Times New Roman" w:eastAsia="Times New Roman" w:hAnsi="Times New Roman"/>
          <w:sz w:val="20"/>
          <w:szCs w:val="20"/>
          <w:color w:val="4C4C4E"/>
        </w:rPr>
        <w:t>The current state of the economy and financial markets increases the likelihood of adverse effects on our financial position and results of operations.</w:t>
      </w:r>
    </w:p>
    <w:p>
      <w:pPr>
        <w:spacing w:after="0" w:line="64" w:lineRule="exact"/>
        <w:rPr>
          <w:rFonts w:ascii="Arial" w:cs="Arial" w:eastAsia="Arial" w:hAnsi="Arial"/>
          <w:sz w:val="20"/>
          <w:szCs w:val="20"/>
          <w:color w:val="4C4C4E"/>
        </w:rPr>
      </w:pPr>
    </w:p>
    <w:p>
      <w:pPr>
        <w:ind w:left="720" w:hanging="360"/>
        <w:spacing w:after="0"/>
        <w:tabs>
          <w:tab w:leader="none" w:pos="720" w:val="left"/>
        </w:tabs>
        <w:numPr>
          <w:ilvl w:val="0"/>
          <w:numId w:val="6"/>
        </w:numPr>
        <w:rPr>
          <w:rFonts w:ascii="Arial" w:cs="Arial" w:eastAsia="Arial" w:hAnsi="Arial"/>
          <w:sz w:val="20"/>
          <w:szCs w:val="20"/>
          <w:color w:val="4C4C4E"/>
        </w:rPr>
      </w:pPr>
      <w:r>
        <w:rPr>
          <w:rFonts w:ascii="Times New Roman" w:cs="Times New Roman" w:eastAsia="Times New Roman" w:hAnsi="Times New Roman"/>
          <w:sz w:val="20"/>
          <w:szCs w:val="20"/>
          <w:color w:val="4C4C4E"/>
        </w:rPr>
        <w:t>Economic recessions or downturns could impair our portfolio companies and harm our operating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Risks Related to Our Portfolio Company Investments</w:t>
      </w:r>
    </w:p>
    <w:p>
      <w:pPr>
        <w:spacing w:after="0" w:line="132" w:lineRule="exact"/>
        <w:rPr>
          <w:sz w:val="20"/>
          <w:szCs w:val="20"/>
          <w:color w:val="auto"/>
        </w:rPr>
      </w:pPr>
    </w:p>
    <w:p>
      <w:pPr>
        <w:ind w:left="720" w:hanging="360"/>
        <w:spacing w:after="0"/>
        <w:tabs>
          <w:tab w:leader="none" w:pos="720" w:val="left"/>
        </w:tabs>
        <w:numPr>
          <w:ilvl w:val="0"/>
          <w:numId w:val="7"/>
        </w:numPr>
        <w:rPr>
          <w:rFonts w:ascii="Arial" w:cs="Arial" w:eastAsia="Arial" w:hAnsi="Arial"/>
          <w:sz w:val="20"/>
          <w:szCs w:val="20"/>
          <w:color w:val="4C4C4E"/>
        </w:rPr>
      </w:pPr>
      <w:r>
        <w:rPr>
          <w:rFonts w:ascii="Times New Roman" w:cs="Times New Roman" w:eastAsia="Times New Roman" w:hAnsi="Times New Roman"/>
          <w:sz w:val="20"/>
          <w:szCs w:val="20"/>
          <w:color w:val="4C4C4E"/>
        </w:rPr>
        <w:t>Our investments are very risky and highly speculative.</w:t>
      </w:r>
    </w:p>
    <w:p>
      <w:pPr>
        <w:spacing w:after="0" w:line="133" w:lineRule="exact"/>
        <w:rPr>
          <w:rFonts w:ascii="Arial" w:cs="Arial" w:eastAsia="Arial" w:hAnsi="Arial"/>
          <w:sz w:val="20"/>
          <w:szCs w:val="20"/>
          <w:color w:val="4C4C4E"/>
        </w:rPr>
      </w:pPr>
    </w:p>
    <w:p>
      <w:pPr>
        <w:jc w:val="both"/>
        <w:ind w:left="720" w:right="240" w:hanging="360"/>
        <w:spacing w:after="0" w:line="258" w:lineRule="auto"/>
        <w:tabs>
          <w:tab w:leader="none" w:pos="720" w:val="left"/>
        </w:tabs>
        <w:numPr>
          <w:ilvl w:val="0"/>
          <w:numId w:val="7"/>
        </w:numPr>
        <w:rPr>
          <w:rFonts w:ascii="Arial" w:cs="Arial" w:eastAsia="Arial" w:hAnsi="Arial"/>
          <w:sz w:val="20"/>
          <w:szCs w:val="20"/>
          <w:color w:val="4C4C4E"/>
        </w:rPr>
      </w:pPr>
      <w:r>
        <w:rPr>
          <w:rFonts w:ascii="Times New Roman" w:cs="Times New Roman" w:eastAsia="Times New Roman" w:hAnsi="Times New Roman"/>
          <w:sz w:val="20"/>
          <w:szCs w:val="20"/>
          <w:color w:val="4C4C4E"/>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Arial" w:cs="Arial" w:eastAsia="Arial" w:hAnsi="Arial"/>
          <w:sz w:val="20"/>
          <w:szCs w:val="20"/>
          <w:color w:val="4C4C4E"/>
        </w:rPr>
      </w:pPr>
    </w:p>
    <w:p>
      <w:pPr>
        <w:ind w:left="720" w:hanging="360"/>
        <w:spacing w:after="0"/>
        <w:tabs>
          <w:tab w:leader="none" w:pos="720" w:val="left"/>
        </w:tabs>
        <w:numPr>
          <w:ilvl w:val="0"/>
          <w:numId w:val="7"/>
        </w:numPr>
        <w:rPr>
          <w:rFonts w:ascii="Arial" w:cs="Arial" w:eastAsia="Arial" w:hAnsi="Arial"/>
          <w:sz w:val="20"/>
          <w:szCs w:val="20"/>
          <w:color w:val="4C4C4E"/>
        </w:rPr>
      </w:pPr>
      <w:r>
        <w:rPr>
          <w:rFonts w:ascii="Times New Roman" w:cs="Times New Roman" w:eastAsia="Times New Roman" w:hAnsi="Times New Roman"/>
          <w:sz w:val="20"/>
          <w:szCs w:val="20"/>
          <w:color w:val="4C4C4E"/>
        </w:rPr>
        <w:t>The lack of liquidity in our investments may adversely affect our business.</w:t>
      </w:r>
    </w:p>
    <w:p>
      <w:pPr>
        <w:spacing w:after="0" w:line="133" w:lineRule="exact"/>
        <w:rPr>
          <w:rFonts w:ascii="Arial" w:cs="Arial" w:eastAsia="Arial" w:hAnsi="Arial"/>
          <w:sz w:val="20"/>
          <w:szCs w:val="20"/>
          <w:color w:val="4C4C4E"/>
        </w:rPr>
      </w:pPr>
    </w:p>
    <w:p>
      <w:pPr>
        <w:ind w:left="720" w:hanging="360"/>
        <w:spacing w:after="0" w:line="258" w:lineRule="auto"/>
        <w:tabs>
          <w:tab w:leader="none" w:pos="720" w:val="left"/>
        </w:tabs>
        <w:numPr>
          <w:ilvl w:val="0"/>
          <w:numId w:val="7"/>
        </w:numPr>
        <w:rPr>
          <w:rFonts w:ascii="Arial" w:cs="Arial" w:eastAsia="Arial" w:hAnsi="Arial"/>
          <w:sz w:val="20"/>
          <w:szCs w:val="20"/>
          <w:color w:val="4C4C4E"/>
        </w:rPr>
      </w:pPr>
      <w:r>
        <w:rPr>
          <w:rFonts w:ascii="Times New Roman" w:cs="Times New Roman" w:eastAsia="Times New Roman" w:hAnsi="Times New Roman"/>
          <w:sz w:val="20"/>
          <w:szCs w:val="20"/>
          <w:color w:val="4C4C4E"/>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81" w:lineRule="exact"/>
        <w:rPr>
          <w:rFonts w:ascii="Arial" w:cs="Arial" w:eastAsia="Arial" w:hAnsi="Arial"/>
          <w:sz w:val="20"/>
          <w:szCs w:val="20"/>
          <w:color w:val="4C4C4E"/>
        </w:rPr>
      </w:pPr>
    </w:p>
    <w:p>
      <w:pPr>
        <w:ind w:left="720" w:hanging="360"/>
        <w:spacing w:after="0"/>
        <w:tabs>
          <w:tab w:leader="none" w:pos="720" w:val="left"/>
        </w:tabs>
        <w:numPr>
          <w:ilvl w:val="0"/>
          <w:numId w:val="7"/>
        </w:numPr>
        <w:rPr>
          <w:rFonts w:ascii="Arial" w:cs="Arial" w:eastAsia="Arial" w:hAnsi="Arial"/>
          <w:sz w:val="20"/>
          <w:szCs w:val="20"/>
          <w:color w:val="4C4C4E"/>
        </w:rPr>
      </w:pPr>
      <w:r>
        <w:rPr>
          <w:rFonts w:ascii="Times New Roman" w:cs="Times New Roman" w:eastAsia="Times New Roman" w:hAnsi="Times New Roman"/>
          <w:sz w:val="20"/>
          <w:szCs w:val="20"/>
          <w:color w:val="4C4C4E"/>
        </w:rPr>
        <w:t>We may securitize certain of our investments, which may subject us to certain structured financing risks.</w:t>
      </w:r>
    </w:p>
    <w:p>
      <w:pPr>
        <w:spacing w:after="0" w:line="133" w:lineRule="exact"/>
        <w:rPr>
          <w:rFonts w:ascii="Arial" w:cs="Arial" w:eastAsia="Arial" w:hAnsi="Arial"/>
          <w:sz w:val="20"/>
          <w:szCs w:val="20"/>
          <w:color w:val="4C4C4E"/>
        </w:rPr>
      </w:pPr>
    </w:p>
    <w:p>
      <w:pPr>
        <w:ind w:left="720" w:right="40" w:hanging="360"/>
        <w:spacing w:after="0" w:line="258" w:lineRule="auto"/>
        <w:tabs>
          <w:tab w:leader="none" w:pos="720" w:val="left"/>
        </w:tabs>
        <w:numPr>
          <w:ilvl w:val="0"/>
          <w:numId w:val="7"/>
        </w:numPr>
        <w:rPr>
          <w:rFonts w:ascii="Arial" w:cs="Arial" w:eastAsia="Arial" w:hAnsi="Arial"/>
          <w:sz w:val="20"/>
          <w:szCs w:val="20"/>
          <w:color w:val="4C4C4E"/>
        </w:rPr>
      </w:pPr>
      <w:r>
        <w:rPr>
          <w:rFonts w:ascii="Times New Roman" w:cs="Times New Roman" w:eastAsia="Times New Roman" w:hAnsi="Times New Roman"/>
          <w:sz w:val="20"/>
          <w:szCs w:val="20"/>
          <w:color w:val="4C4C4E"/>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Arial" w:cs="Arial" w:eastAsia="Arial" w:hAnsi="Arial"/>
          <w:sz w:val="20"/>
          <w:szCs w:val="20"/>
          <w:color w:val="4C4C4E"/>
        </w:rPr>
      </w:pPr>
    </w:p>
    <w:p>
      <w:pPr>
        <w:ind w:left="720" w:hanging="360"/>
        <w:spacing w:after="0"/>
        <w:tabs>
          <w:tab w:leader="none" w:pos="720" w:val="left"/>
        </w:tabs>
        <w:numPr>
          <w:ilvl w:val="0"/>
          <w:numId w:val="7"/>
        </w:numPr>
        <w:rPr>
          <w:rFonts w:ascii="Arial" w:cs="Arial" w:eastAsia="Arial" w:hAnsi="Arial"/>
          <w:sz w:val="20"/>
          <w:szCs w:val="20"/>
          <w:color w:val="4C4C4E"/>
        </w:rPr>
      </w:pPr>
      <w:r>
        <w:rPr>
          <w:rFonts w:ascii="Times New Roman" w:cs="Times New Roman" w:eastAsia="Times New Roman" w:hAnsi="Times New Roman"/>
          <w:sz w:val="20"/>
          <w:szCs w:val="20"/>
          <w:color w:val="4C4C4E"/>
        </w:rPr>
        <w:t>We are exposed to risks associated with changes in interest rates.</w:t>
      </w:r>
    </w:p>
    <w:p>
      <w:pPr>
        <w:spacing w:after="0" w:line="133" w:lineRule="exact"/>
        <w:rPr>
          <w:rFonts w:ascii="Arial" w:cs="Arial" w:eastAsia="Arial" w:hAnsi="Arial"/>
          <w:sz w:val="20"/>
          <w:szCs w:val="20"/>
          <w:color w:val="4C4C4E"/>
        </w:rPr>
      </w:pPr>
    </w:p>
    <w:p>
      <w:pPr>
        <w:ind w:left="720" w:hanging="360"/>
        <w:spacing w:after="0"/>
        <w:tabs>
          <w:tab w:leader="none" w:pos="720" w:val="left"/>
        </w:tabs>
        <w:numPr>
          <w:ilvl w:val="0"/>
          <w:numId w:val="7"/>
        </w:numPr>
        <w:rPr>
          <w:rFonts w:ascii="Arial" w:cs="Arial" w:eastAsia="Arial" w:hAnsi="Arial"/>
          <w:sz w:val="20"/>
          <w:szCs w:val="20"/>
          <w:color w:val="4C4C4E"/>
        </w:rPr>
      </w:pPr>
      <w:r>
        <w:rPr>
          <w:rFonts w:ascii="Times New Roman" w:cs="Times New Roman" w:eastAsia="Times New Roman" w:hAnsi="Times New Roman"/>
          <w:sz w:val="20"/>
          <w:szCs w:val="20"/>
          <w:color w:val="4C4C4E"/>
        </w:rPr>
        <w:t>We may not be able to realize expected returns on our invested capital.</w:t>
      </w:r>
    </w:p>
    <w:p>
      <w:pPr>
        <w:spacing w:after="0" w:line="133" w:lineRule="exact"/>
        <w:rPr>
          <w:rFonts w:ascii="Arial" w:cs="Arial" w:eastAsia="Arial" w:hAnsi="Arial"/>
          <w:sz w:val="20"/>
          <w:szCs w:val="20"/>
          <w:color w:val="4C4C4E"/>
        </w:rPr>
      </w:pPr>
    </w:p>
    <w:p>
      <w:pPr>
        <w:ind w:left="720" w:right="200" w:hanging="360"/>
        <w:spacing w:after="0" w:line="276" w:lineRule="auto"/>
        <w:tabs>
          <w:tab w:leader="none" w:pos="720" w:val="left"/>
        </w:tabs>
        <w:numPr>
          <w:ilvl w:val="0"/>
          <w:numId w:val="7"/>
        </w:numPr>
        <w:rPr>
          <w:rFonts w:ascii="Arial" w:cs="Arial" w:eastAsia="Arial" w:hAnsi="Arial"/>
          <w:sz w:val="20"/>
          <w:szCs w:val="20"/>
          <w:color w:val="4C4C4E"/>
        </w:rPr>
      </w:pPr>
      <w:r>
        <w:rPr>
          <w:rFonts w:ascii="Times New Roman" w:cs="Times New Roman" w:eastAsia="Times New Roman" w:hAnsi="Times New Roman"/>
          <w:sz w:val="20"/>
          <w:szCs w:val="20"/>
          <w:color w:val="4C4C4E"/>
        </w:rPr>
        <w:t>By originating loans to companies that are experiencing significant financial or business difficulties, we may be exposed to distressed lending risks.</w:t>
      </w:r>
    </w:p>
    <w:p>
      <w:pPr>
        <w:sectPr>
          <w:pgSz w:w="11880" w:h="15480" w:orient="portrait"/>
          <w:cols w:equalWidth="0" w:num="1">
            <w:col w:w="10780"/>
          </w:cols>
          <w:pgMar w:left="540" w:top="760" w:right="560" w:bottom="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4</w:t>
      </w:r>
    </w:p>
    <w:p>
      <w:pPr>
        <w:sectPr>
          <w:pgSz w:w="11880" w:h="15480" w:orient="portrait"/>
          <w:cols w:equalWidth="0" w:num="1">
            <w:col w:w="10780"/>
          </w:cols>
          <w:pgMar w:left="540" w:top="760" w:right="560" w:bottom="0" w:gutter="0" w:footer="0" w:header="0"/>
          <w:type w:val="continuous"/>
        </w:sectPr>
      </w:pPr>
    </w:p>
    <w:bookmarkStart w:id="4" w:name="page5"/>
    <w:bookmarkEnd w:id="4"/>
    <w:p>
      <w:pPr>
        <w:ind w:left="720" w:right="420" w:hanging="360"/>
        <w:spacing w:after="0" w:line="276" w:lineRule="auto"/>
        <w:tabs>
          <w:tab w:leader="none" w:pos="720" w:val="left"/>
        </w:tabs>
        <w:numPr>
          <w:ilvl w:val="0"/>
          <w:numId w:val="8"/>
        </w:numPr>
        <w:rPr>
          <w:rFonts w:ascii="Arial" w:cs="Arial" w:eastAsia="Arial" w:hAnsi="Arial"/>
          <w:sz w:val="20"/>
          <w:szCs w:val="20"/>
          <w:color w:val="4C4C4E"/>
        </w:rPr>
      </w:pPr>
      <w:r>
        <w:rPr>
          <w:rFonts w:ascii="Times New Roman" w:cs="Times New Roman" w:eastAsia="Times New Roman" w:hAnsi="Times New Roman"/>
          <w:sz w:val="20"/>
          <w:szCs w:val="20"/>
          <w:color w:val="4C4C4E"/>
        </w:rPr>
        <w:t>Our portfolio companies may incur debt or issue equity securities that rank equally with, or senior to, our investments in those companies and we may be exposed to special risks associated with bankruptcy cases.</w:t>
      </w:r>
    </w:p>
    <w:p>
      <w:pPr>
        <w:spacing w:after="0" w:line="64" w:lineRule="exact"/>
        <w:rPr>
          <w:rFonts w:ascii="Arial" w:cs="Arial" w:eastAsia="Arial" w:hAnsi="Arial"/>
          <w:sz w:val="20"/>
          <w:szCs w:val="20"/>
          <w:color w:val="4C4C4E"/>
        </w:rPr>
      </w:pPr>
    </w:p>
    <w:p>
      <w:pPr>
        <w:ind w:left="720" w:hanging="360"/>
        <w:spacing w:after="0"/>
        <w:tabs>
          <w:tab w:leader="none" w:pos="720" w:val="left"/>
        </w:tabs>
        <w:numPr>
          <w:ilvl w:val="0"/>
          <w:numId w:val="8"/>
        </w:numPr>
        <w:rPr>
          <w:rFonts w:ascii="Arial" w:cs="Arial" w:eastAsia="Arial" w:hAnsi="Arial"/>
          <w:sz w:val="20"/>
          <w:szCs w:val="20"/>
          <w:color w:val="4C4C4E"/>
        </w:rPr>
      </w:pPr>
      <w:r>
        <w:rPr>
          <w:rFonts w:ascii="Times New Roman" w:cs="Times New Roman" w:eastAsia="Times New Roman" w:hAnsi="Times New Roman"/>
          <w:sz w:val="20"/>
          <w:szCs w:val="20"/>
          <w:color w:val="4C4C4E"/>
        </w:rPr>
        <w:t>Our failure to make follow-on investments in our portfolio companies could impair the value of our investments.</w:t>
      </w:r>
    </w:p>
    <w:p>
      <w:pPr>
        <w:spacing w:after="0" w:line="133" w:lineRule="exact"/>
        <w:rPr>
          <w:rFonts w:ascii="Arial" w:cs="Arial" w:eastAsia="Arial" w:hAnsi="Arial"/>
          <w:sz w:val="20"/>
          <w:szCs w:val="20"/>
          <w:color w:val="4C4C4E"/>
        </w:rPr>
      </w:pPr>
    </w:p>
    <w:p>
      <w:pPr>
        <w:ind w:left="720" w:hanging="360"/>
        <w:spacing w:after="0"/>
        <w:tabs>
          <w:tab w:leader="none" w:pos="720" w:val="left"/>
        </w:tabs>
        <w:numPr>
          <w:ilvl w:val="0"/>
          <w:numId w:val="8"/>
        </w:numPr>
        <w:rPr>
          <w:rFonts w:ascii="Arial" w:cs="Arial" w:eastAsia="Arial" w:hAnsi="Arial"/>
          <w:sz w:val="20"/>
          <w:szCs w:val="20"/>
          <w:color w:val="4C4C4E"/>
        </w:rPr>
      </w:pPr>
      <w:r>
        <w:rPr>
          <w:rFonts w:ascii="Times New Roman" w:cs="Times New Roman" w:eastAsia="Times New Roman" w:hAnsi="Times New Roman"/>
          <w:sz w:val="20"/>
          <w:szCs w:val="20"/>
          <w:color w:val="4C4C4E"/>
        </w:rPr>
        <w:t>Any acquisitions or strategic investments that we pursue are subject to risks and uncertainties.</w:t>
      </w:r>
    </w:p>
    <w:p>
      <w:pPr>
        <w:spacing w:after="0" w:line="133" w:lineRule="exact"/>
        <w:rPr>
          <w:rFonts w:ascii="Arial" w:cs="Arial" w:eastAsia="Arial" w:hAnsi="Arial"/>
          <w:sz w:val="20"/>
          <w:szCs w:val="20"/>
          <w:color w:val="4C4C4E"/>
        </w:rPr>
      </w:pPr>
    </w:p>
    <w:p>
      <w:pPr>
        <w:ind w:left="720" w:right="120" w:hanging="360"/>
        <w:spacing w:after="0" w:line="276" w:lineRule="auto"/>
        <w:tabs>
          <w:tab w:leader="none" w:pos="720" w:val="left"/>
        </w:tabs>
        <w:numPr>
          <w:ilvl w:val="0"/>
          <w:numId w:val="8"/>
        </w:numPr>
        <w:rPr>
          <w:rFonts w:ascii="Arial" w:cs="Arial" w:eastAsia="Arial" w:hAnsi="Arial"/>
          <w:sz w:val="20"/>
          <w:szCs w:val="20"/>
          <w:color w:val="4C4C4E"/>
        </w:rPr>
      </w:pPr>
      <w:r>
        <w:rPr>
          <w:rFonts w:ascii="Times New Roman" w:cs="Times New Roman" w:eastAsia="Times New Roman" w:hAnsi="Times New Roman"/>
          <w:sz w:val="20"/>
          <w:szCs w:val="20"/>
          <w:color w:val="4C4C4E"/>
        </w:rPr>
        <w:t>We cannot guarantee that we will be able to obtain various required licenses in U.S. states or in any other jurisdiction where they may be required in the future.</w:t>
      </w:r>
    </w:p>
    <w:p>
      <w:pPr>
        <w:spacing w:after="0" w:line="64" w:lineRule="exact"/>
        <w:rPr>
          <w:rFonts w:ascii="Arial" w:cs="Arial" w:eastAsia="Arial" w:hAnsi="Arial"/>
          <w:sz w:val="20"/>
          <w:szCs w:val="20"/>
          <w:color w:val="4C4C4E"/>
        </w:rPr>
      </w:pPr>
    </w:p>
    <w:p>
      <w:pPr>
        <w:ind w:left="720" w:hanging="360"/>
        <w:spacing w:after="0"/>
        <w:tabs>
          <w:tab w:leader="none" w:pos="720" w:val="left"/>
        </w:tabs>
        <w:numPr>
          <w:ilvl w:val="0"/>
          <w:numId w:val="8"/>
        </w:numPr>
        <w:rPr>
          <w:rFonts w:ascii="Arial" w:cs="Arial" w:eastAsia="Arial" w:hAnsi="Arial"/>
          <w:sz w:val="20"/>
          <w:szCs w:val="20"/>
          <w:color w:val="4C4C4E"/>
        </w:rPr>
      </w:pPr>
      <w:r>
        <w:rPr>
          <w:rFonts w:ascii="Times New Roman" w:cs="Times New Roman" w:eastAsia="Times New Roman" w:hAnsi="Times New Roman"/>
          <w:sz w:val="20"/>
          <w:szCs w:val="20"/>
          <w:color w:val="4C4C4E"/>
        </w:rPr>
        <w:t>Our investments in foreign companies may involve significant risks in addition to the risks inherent in U.S. investments.</w:t>
      </w:r>
    </w:p>
    <w:p>
      <w:pPr>
        <w:spacing w:after="0" w:line="133" w:lineRule="exact"/>
        <w:rPr>
          <w:rFonts w:ascii="Arial" w:cs="Arial" w:eastAsia="Arial" w:hAnsi="Arial"/>
          <w:sz w:val="20"/>
          <w:szCs w:val="20"/>
          <w:color w:val="4C4C4E"/>
        </w:rPr>
      </w:pPr>
    </w:p>
    <w:p>
      <w:pPr>
        <w:ind w:left="720" w:hanging="360"/>
        <w:spacing w:after="0"/>
        <w:tabs>
          <w:tab w:leader="none" w:pos="720" w:val="left"/>
        </w:tabs>
        <w:numPr>
          <w:ilvl w:val="0"/>
          <w:numId w:val="8"/>
        </w:numPr>
        <w:rPr>
          <w:rFonts w:ascii="Arial" w:cs="Arial" w:eastAsia="Arial" w:hAnsi="Arial"/>
          <w:sz w:val="20"/>
          <w:szCs w:val="20"/>
          <w:color w:val="4C4C4E"/>
        </w:rPr>
      </w:pPr>
      <w:r>
        <w:rPr>
          <w:rFonts w:ascii="Times New Roman" w:cs="Times New Roman" w:eastAsia="Times New Roman" w:hAnsi="Times New Roman"/>
          <w:sz w:val="20"/>
          <w:szCs w:val="20"/>
          <w:color w:val="4C4C4E"/>
        </w:rPr>
        <w:t>We expose ourselves to risks when we engage in hedging transactions.</w:t>
      </w:r>
    </w:p>
    <w:p>
      <w:pPr>
        <w:spacing w:after="0" w:line="133" w:lineRule="exact"/>
        <w:rPr>
          <w:rFonts w:ascii="Arial" w:cs="Arial" w:eastAsia="Arial" w:hAnsi="Arial"/>
          <w:sz w:val="20"/>
          <w:szCs w:val="20"/>
          <w:color w:val="4C4C4E"/>
        </w:rPr>
      </w:pPr>
    </w:p>
    <w:p>
      <w:pPr>
        <w:ind w:left="720" w:right="40" w:hanging="360"/>
        <w:spacing w:after="0" w:line="276" w:lineRule="auto"/>
        <w:tabs>
          <w:tab w:leader="none" w:pos="720" w:val="left"/>
        </w:tabs>
        <w:numPr>
          <w:ilvl w:val="0"/>
          <w:numId w:val="8"/>
        </w:numPr>
        <w:rPr>
          <w:rFonts w:ascii="Arial" w:cs="Arial" w:eastAsia="Arial" w:hAnsi="Arial"/>
          <w:sz w:val="20"/>
          <w:szCs w:val="20"/>
          <w:color w:val="4C4C4E"/>
        </w:rPr>
      </w:pPr>
      <w:r>
        <w:rPr>
          <w:rFonts w:ascii="Times New Roman" w:cs="Times New Roman" w:eastAsia="Times New Roman" w:hAnsi="Times New Roman"/>
          <w:sz w:val="20"/>
          <w:szCs w:val="20"/>
          <w:color w:val="4C4C4E"/>
        </w:rPr>
        <w:t>The market structure applicable to derivatives imposed by the Dodd-Frank Act may affect our ability to use over-the-counter (“OTC”) derivatives for hedging purposes.</w:t>
      </w:r>
    </w:p>
    <w:p>
      <w:pPr>
        <w:spacing w:after="0" w:line="64" w:lineRule="exact"/>
        <w:rPr>
          <w:rFonts w:ascii="Arial" w:cs="Arial" w:eastAsia="Arial" w:hAnsi="Arial"/>
          <w:sz w:val="20"/>
          <w:szCs w:val="20"/>
          <w:color w:val="4C4C4E"/>
        </w:rPr>
      </w:pPr>
    </w:p>
    <w:p>
      <w:pPr>
        <w:ind w:left="720" w:right="100" w:hanging="360"/>
        <w:spacing w:after="0" w:line="276" w:lineRule="auto"/>
        <w:tabs>
          <w:tab w:leader="none" w:pos="720" w:val="left"/>
        </w:tabs>
        <w:numPr>
          <w:ilvl w:val="0"/>
          <w:numId w:val="8"/>
        </w:numPr>
        <w:rPr>
          <w:rFonts w:ascii="Arial" w:cs="Arial" w:eastAsia="Arial" w:hAnsi="Arial"/>
          <w:sz w:val="20"/>
          <w:szCs w:val="20"/>
          <w:color w:val="4C4C4E"/>
        </w:rPr>
      </w:pPr>
      <w:r>
        <w:rPr>
          <w:rFonts w:ascii="Times New Roman" w:cs="Times New Roman" w:eastAsia="Times New Roman" w:hAnsi="Times New Roman"/>
          <w:sz w:val="20"/>
          <w:szCs w:val="20"/>
          <w:color w:val="4C4C4E"/>
        </w:rPr>
        <w:t>Our portfolio investments may present special tax issues, and there are certain risks associated with holding debt obligations that have original issue discount or payment-in-kind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Risks Related to Our Securities</w:t>
      </w:r>
    </w:p>
    <w:p>
      <w:pPr>
        <w:spacing w:after="0" w:line="132" w:lineRule="exact"/>
        <w:rPr>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4C4C4E"/>
        </w:rPr>
      </w:pPr>
      <w:r>
        <w:rPr>
          <w:rFonts w:ascii="Times New Roman" w:cs="Times New Roman" w:eastAsia="Times New Roman" w:hAnsi="Times New Roman"/>
          <w:sz w:val="20"/>
          <w:szCs w:val="20"/>
          <w:color w:val="4C4C4E"/>
        </w:rPr>
        <w:t>There is a risk that investors in our common stock may not receive dividends or that our dividends may not grow over time.</w:t>
      </w:r>
    </w:p>
    <w:p>
      <w:pPr>
        <w:spacing w:after="0" w:line="133" w:lineRule="exact"/>
        <w:rPr>
          <w:rFonts w:ascii="Arial" w:cs="Arial" w:eastAsia="Arial" w:hAnsi="Arial"/>
          <w:sz w:val="20"/>
          <w:szCs w:val="20"/>
          <w:color w:val="4C4C4E"/>
        </w:rPr>
      </w:pPr>
    </w:p>
    <w:p>
      <w:pPr>
        <w:ind w:left="720" w:right="640" w:hanging="360"/>
        <w:spacing w:after="0" w:line="276" w:lineRule="auto"/>
        <w:tabs>
          <w:tab w:leader="none" w:pos="720" w:val="left"/>
        </w:tabs>
        <w:numPr>
          <w:ilvl w:val="0"/>
          <w:numId w:val="9"/>
        </w:numPr>
        <w:rPr>
          <w:rFonts w:ascii="Arial" w:cs="Arial" w:eastAsia="Arial" w:hAnsi="Arial"/>
          <w:sz w:val="20"/>
          <w:szCs w:val="20"/>
          <w:color w:val="4C4C4E"/>
        </w:rPr>
      </w:pPr>
      <w:r>
        <w:rPr>
          <w:rFonts w:ascii="Times New Roman" w:cs="Times New Roman" w:eastAsia="Times New Roman" w:hAnsi="Times New Roman"/>
          <w:sz w:val="20"/>
          <w:szCs w:val="20"/>
          <w:color w:val="4C4C4E"/>
        </w:rPr>
        <w:t>Investing in our securities may involve a high degree of risk and the market price of our common stock may fluctuate significantly and could decline.</w:t>
      </w:r>
    </w:p>
    <w:p>
      <w:pPr>
        <w:spacing w:after="0" w:line="64" w:lineRule="exact"/>
        <w:rPr>
          <w:rFonts w:ascii="Arial" w:cs="Arial" w:eastAsia="Arial" w:hAnsi="Arial"/>
          <w:sz w:val="20"/>
          <w:szCs w:val="20"/>
          <w:color w:val="4C4C4E"/>
        </w:rPr>
      </w:pPr>
    </w:p>
    <w:p>
      <w:pPr>
        <w:ind w:left="720" w:hanging="360"/>
        <w:spacing w:after="0"/>
        <w:tabs>
          <w:tab w:leader="none" w:pos="720" w:val="left"/>
        </w:tabs>
        <w:numPr>
          <w:ilvl w:val="0"/>
          <w:numId w:val="9"/>
        </w:numPr>
        <w:rPr>
          <w:rFonts w:ascii="Arial" w:cs="Arial" w:eastAsia="Arial" w:hAnsi="Arial"/>
          <w:sz w:val="20"/>
          <w:szCs w:val="20"/>
          <w:color w:val="4C4C4E"/>
        </w:rPr>
      </w:pPr>
      <w:r>
        <w:rPr>
          <w:rFonts w:ascii="Times New Roman" w:cs="Times New Roman" w:eastAsia="Times New Roman" w:hAnsi="Times New Roman"/>
          <w:sz w:val="20"/>
          <w:szCs w:val="20"/>
          <w:color w:val="4C4C4E"/>
        </w:rPr>
        <w:t>Our stockholders will experience dilution in their ownership percentage if they opt out of our dividend reinvestment plan.</w:t>
      </w:r>
    </w:p>
    <w:p>
      <w:pPr>
        <w:spacing w:after="0" w:line="133" w:lineRule="exact"/>
        <w:rPr>
          <w:rFonts w:ascii="Arial" w:cs="Arial" w:eastAsia="Arial" w:hAnsi="Arial"/>
          <w:sz w:val="20"/>
          <w:szCs w:val="20"/>
          <w:color w:val="4C4C4E"/>
        </w:rPr>
      </w:pPr>
    </w:p>
    <w:p>
      <w:pPr>
        <w:ind w:left="720" w:right="80" w:hanging="360"/>
        <w:spacing w:after="0" w:line="276" w:lineRule="auto"/>
        <w:tabs>
          <w:tab w:leader="none" w:pos="720" w:val="left"/>
        </w:tabs>
        <w:numPr>
          <w:ilvl w:val="0"/>
          <w:numId w:val="9"/>
        </w:numPr>
        <w:rPr>
          <w:rFonts w:ascii="Arial" w:cs="Arial" w:eastAsia="Arial" w:hAnsi="Arial"/>
          <w:sz w:val="20"/>
          <w:szCs w:val="20"/>
          <w:color w:val="4C4C4E"/>
        </w:rPr>
      </w:pPr>
      <w:r>
        <w:rPr>
          <w:rFonts w:ascii="Times New Roman" w:cs="Times New Roman" w:eastAsia="Times New Roman" w:hAnsi="Times New Roman"/>
          <w:sz w:val="20"/>
          <w:szCs w:val="20"/>
          <w:color w:val="4C4C4E"/>
        </w:rPr>
        <w:t>Purchases of our common stock by us under the Company 10b5-1 Plan may result in dilution to our net asset value per share and the price of our common stock being higher than the price that otherwise might exist in the open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General Risk Factors</w:t>
      </w:r>
    </w:p>
    <w:p>
      <w:pPr>
        <w:spacing w:after="0" w:line="132" w:lineRule="exact"/>
        <w:rPr>
          <w:sz w:val="20"/>
          <w:szCs w:val="20"/>
          <w:color w:val="auto"/>
        </w:rPr>
      </w:pPr>
    </w:p>
    <w:p>
      <w:pPr>
        <w:ind w:left="720" w:hanging="360"/>
        <w:spacing w:after="0" w:line="276" w:lineRule="auto"/>
        <w:tabs>
          <w:tab w:leader="none" w:pos="720" w:val="left"/>
        </w:tabs>
        <w:numPr>
          <w:ilvl w:val="0"/>
          <w:numId w:val="10"/>
        </w:numPr>
        <w:rPr>
          <w:rFonts w:ascii="Arial" w:cs="Arial" w:eastAsia="Arial" w:hAnsi="Arial"/>
          <w:sz w:val="20"/>
          <w:szCs w:val="20"/>
          <w:color w:val="4C4C4E"/>
        </w:rPr>
      </w:pPr>
      <w:r>
        <w:rPr>
          <w:rFonts w:ascii="Times New Roman" w:cs="Times New Roman" w:eastAsia="Times New Roman" w:hAnsi="Times New Roman"/>
          <w:sz w:val="20"/>
          <w:szCs w:val="20"/>
          <w:color w:val="4C4C4E"/>
        </w:rPr>
        <w:t>We are highly dependent on information systems and systems failures could significantly disrupt our business, which may, in turn, negatively affect the market price of our common stock and our ability to pay dividend.</w:t>
      </w:r>
    </w:p>
    <w:p>
      <w:pPr>
        <w:spacing w:after="0" w:line="64" w:lineRule="exact"/>
        <w:rPr>
          <w:rFonts w:ascii="Arial" w:cs="Arial" w:eastAsia="Arial" w:hAnsi="Arial"/>
          <w:sz w:val="20"/>
          <w:szCs w:val="20"/>
          <w:color w:val="4C4C4E"/>
        </w:rPr>
      </w:pPr>
    </w:p>
    <w:p>
      <w:pPr>
        <w:ind w:left="720" w:hanging="360"/>
        <w:spacing w:after="0"/>
        <w:tabs>
          <w:tab w:leader="none" w:pos="720" w:val="left"/>
        </w:tabs>
        <w:numPr>
          <w:ilvl w:val="0"/>
          <w:numId w:val="10"/>
        </w:numPr>
        <w:rPr>
          <w:rFonts w:ascii="Arial" w:cs="Arial" w:eastAsia="Arial" w:hAnsi="Arial"/>
          <w:sz w:val="20"/>
          <w:szCs w:val="20"/>
          <w:color w:val="4C4C4E"/>
        </w:rPr>
      </w:pPr>
      <w:r>
        <w:rPr>
          <w:rFonts w:ascii="Times New Roman" w:cs="Times New Roman" w:eastAsia="Times New Roman" w:hAnsi="Times New Roman"/>
          <w:sz w:val="20"/>
          <w:szCs w:val="20"/>
          <w:color w:val="4C4C4E"/>
        </w:rPr>
        <w:t>Changes in laws or regulations governing our operations may adversely affect our business.</w:t>
      </w:r>
    </w:p>
    <w:p>
      <w:pPr>
        <w:spacing w:after="0" w:line="133" w:lineRule="exact"/>
        <w:rPr>
          <w:rFonts w:ascii="Arial" w:cs="Arial" w:eastAsia="Arial" w:hAnsi="Arial"/>
          <w:sz w:val="20"/>
          <w:szCs w:val="20"/>
          <w:color w:val="4C4C4E"/>
        </w:rPr>
      </w:pPr>
    </w:p>
    <w:p>
      <w:pPr>
        <w:ind w:left="720" w:hanging="360"/>
        <w:spacing w:after="0"/>
        <w:tabs>
          <w:tab w:leader="none" w:pos="720" w:val="left"/>
        </w:tabs>
        <w:numPr>
          <w:ilvl w:val="0"/>
          <w:numId w:val="10"/>
        </w:numPr>
        <w:rPr>
          <w:rFonts w:ascii="Arial" w:cs="Arial" w:eastAsia="Arial" w:hAnsi="Arial"/>
          <w:sz w:val="20"/>
          <w:szCs w:val="20"/>
          <w:color w:val="4C4C4E"/>
        </w:rPr>
      </w:pPr>
      <w:r>
        <w:rPr>
          <w:rFonts w:ascii="Times New Roman" w:cs="Times New Roman" w:eastAsia="Times New Roman" w:hAnsi="Times New Roman"/>
          <w:sz w:val="20"/>
          <w:szCs w:val="20"/>
          <w:color w:val="4C4C4E"/>
        </w:rPr>
        <w:t>We are subject to risks related to sustainability matters.</w:t>
      </w:r>
    </w:p>
    <w:p>
      <w:pPr>
        <w:sectPr>
          <w:pgSz w:w="11880" w:h="15480" w:orient="portrait"/>
          <w:cols w:equalWidth="0" w:num="1">
            <w:col w:w="10760"/>
          </w:cols>
          <w:pgMar w:left="540" w:top="76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C4C4E"/>
        </w:rPr>
        <w:t>5</w:t>
      </w:r>
    </w:p>
    <w:p>
      <w:pPr>
        <w:sectPr>
          <w:pgSz w:w="11880" w:h="15480" w:orient="portrait"/>
          <w:cols w:equalWidth="0" w:num="1">
            <w:col w:w="10760"/>
          </w:cols>
          <w:pgMar w:left="540" w:top="764" w:right="580" w:bottom="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20"/>
          <w:szCs w:val="20"/>
          <w:b w:val="1"/>
          <w:bCs w:val="1"/>
          <w:color w:val="4C4C4E"/>
        </w:rPr>
        <w:t>PART I</w:t>
      </w:r>
    </w:p>
    <w:p>
      <w:pPr>
        <w:spacing w:after="0" w:line="244"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4C4C4E"/>
        </w:rPr>
        <w:t>In this Annual Report, except where the context suggests otherwise, the terms “TSLX,” “we,” “us,” “our,” and “the Company” refer to Sixth Street Specialty Lending, Inc. The term “Adviser” refers to Sixth Street Specialty Lending Advisers, LLC, a Delaware limited liability company. The term “Sixth Street” refers to Sixth Street Partners, LLC.</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General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Our Company</w:t>
      </w:r>
    </w:p>
    <w:p>
      <w:pPr>
        <w:spacing w:after="0" w:line="124"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4C4C4E"/>
        </w:rPr>
        <w:t>Our investment objective is to generate current income by targeting investments with favorable “risk-adjusted returns,” which are expected returns that are adjusted based on the levels of risk associated with the investments. Since we began our investment activities in July 2011, through December 31, 2025, we have originated approximately $53.3 billion aggregate principal amount of investments and retained approximately $ 11.8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80"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4C4C4E"/>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2025, our core portfolio companies, which exclude certain investments that fall outside of our typical borrower profile and represent 87.9% of our total investments based on fair value, had weighted average annual revenue of $449.2 million and weighted average annual EBITDA of $127.3 million. As of December 31, 2025, our core portfolio companies had a median annual revenue of $159.4 million and a median annual EBITDA of $48.0 million.</w:t>
      </w:r>
    </w:p>
    <w:p>
      <w:pPr>
        <w:spacing w:after="0" w:line="200" w:lineRule="exact"/>
        <w:rPr>
          <w:sz w:val="20"/>
          <w:szCs w:val="20"/>
          <w:color w:val="auto"/>
        </w:rPr>
      </w:pPr>
    </w:p>
    <w:p>
      <w:pPr>
        <w:ind w:right="200" w:firstLine="245"/>
        <w:spacing w:after="0" w:line="277" w:lineRule="auto"/>
        <w:rPr>
          <w:sz w:val="20"/>
          <w:szCs w:val="20"/>
          <w:color w:val="auto"/>
        </w:rPr>
      </w:pPr>
      <w:r>
        <w:rPr>
          <w:rFonts w:ascii="Times New Roman" w:cs="Times New Roman" w:eastAsia="Times New Roman" w:hAnsi="Times New Roman"/>
          <w:sz w:val="20"/>
          <w:szCs w:val="20"/>
          <w:color w:val="4C4C4E"/>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69" w:lineRule="exact"/>
        <w:rPr>
          <w:sz w:val="20"/>
          <w:szCs w:val="20"/>
          <w:color w:val="auto"/>
        </w:rPr>
      </w:pPr>
    </w:p>
    <w:p>
      <w:pPr>
        <w:jc w:val="both"/>
        <w:ind w:right="460" w:firstLine="245"/>
        <w:spacing w:after="0" w:line="258" w:lineRule="auto"/>
        <w:rPr>
          <w:sz w:val="20"/>
          <w:szCs w:val="20"/>
          <w:color w:val="auto"/>
        </w:rPr>
      </w:pPr>
      <w:r>
        <w:rPr>
          <w:rFonts w:ascii="Times New Roman" w:cs="Times New Roman" w:eastAsia="Times New Roman" w:hAnsi="Times New Roman"/>
          <w:sz w:val="20"/>
          <w:szCs w:val="20"/>
          <w:color w:val="4C4C4E"/>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88"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4C4C4E"/>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200" w:lineRule="exact"/>
        <w:rPr>
          <w:sz w:val="20"/>
          <w:szCs w:val="20"/>
          <w:color w:val="auto"/>
        </w:rPr>
      </w:pPr>
    </w:p>
    <w:p>
      <w:pPr>
        <w:jc w:val="both"/>
        <w:ind w:right="280" w:firstLine="245"/>
        <w:spacing w:after="0" w:line="258" w:lineRule="auto"/>
        <w:rPr>
          <w:sz w:val="20"/>
          <w:szCs w:val="20"/>
          <w:color w:val="auto"/>
        </w:rPr>
      </w:pPr>
      <w:r>
        <w:rPr>
          <w:rFonts w:ascii="Times New Roman" w:cs="Times New Roman" w:eastAsia="Times New Roman" w:hAnsi="Times New Roman"/>
          <w:sz w:val="20"/>
          <w:szCs w:val="20"/>
          <w:color w:val="4C4C4E"/>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8" w:lineRule="exact"/>
        <w:rPr>
          <w:sz w:val="20"/>
          <w:szCs w:val="20"/>
          <w:color w:val="auto"/>
        </w:rPr>
      </w:pPr>
    </w:p>
    <w:p>
      <w:pPr>
        <w:ind w:right="20" w:firstLine="245"/>
        <w:spacing w:after="0" w:line="245" w:lineRule="auto"/>
        <w:rPr>
          <w:sz w:val="20"/>
          <w:szCs w:val="20"/>
          <w:color w:val="auto"/>
        </w:rPr>
      </w:pPr>
      <w:r>
        <w:rPr>
          <w:rFonts w:ascii="Times New Roman" w:cs="Times New Roman" w:eastAsia="Times New Roman" w:hAnsi="Times New Roman"/>
          <w:sz w:val="20"/>
          <w:szCs w:val="20"/>
          <w:color w:val="4C4C4E"/>
        </w:rPr>
        <w:t>As of December 31, 2025, we had investments in 143 portfolio companies (including 36 structured credit investments, which includes each series of collateralized loan obligation as a separate portfolio company investment), the average investment size in each of our portfolio companies was approximately $23.4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$30.4 million as of December 31, 2025. The companies in which we invest use our capital to support organic growth, acquisitions, market or product expansion and recapitalizations (including restructurings). As of December 31, 2025, the largest single investment based on fair value represented 2.4% of our total investment portfolio.</w:t>
      </w:r>
    </w:p>
    <w:p>
      <w:pPr>
        <w:spacing w:after="0" w:line="202"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4C4C4E"/>
        </w:rPr>
        <w:t>As of December 31, 2025, our portfolio was invested across 19 different industries. The largest industry in our portfolio as of December 31, 2025 was Internet Services, which represented, as a percentage of our portfolio, 18.3% of the total portfolio based on fair value.</w:t>
      </w:r>
    </w:p>
    <w:p>
      <w:pPr>
        <w:sectPr>
          <w:pgSz w:w="11880" w:h="15480" w:orient="portrait"/>
          <w:cols w:equalWidth="0" w:num="1">
            <w:col w:w="10620"/>
          </w:cols>
          <w:pgMar w:left="68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6</w:t>
      </w:r>
    </w:p>
    <w:p>
      <w:pPr>
        <w:sectPr>
          <w:pgSz w:w="11880" w:h="15480" w:orient="portrait"/>
          <w:cols w:equalWidth="0" w:num="1">
            <w:col w:w="10620"/>
          </w:cols>
          <w:pgMar w:left="680" w:top="746" w:right="58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4C4C4E"/>
        </w:rPr>
        <w:t>Relationship with our Adviser, and Sixth Street</w:t>
      </w:r>
    </w:p>
    <w:p>
      <w:pPr>
        <w:spacing w:after="0" w:line="124"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4C4C4E"/>
        </w:rPr>
        <w:t>Our Adviser is a Delaware limited liability company. Our Adviser acts as our investment adviser and administrator, and is a registered investment adviser with the SEC under the Investment Advisers Act of 1940, as amended (the “Advisers Act”). Our Adviser sources and manages our portfolio through a dedicated team of investment professionals predominately focused on direct lending, which we refer to as our Investment Team. Our Investment Team is led by our Adviser’s Co-Founding Partner, Co-President and Co-Chief Investment Officer Joshua Easterly, our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206" w:lineRule="exact"/>
        <w:rPr>
          <w:sz w:val="20"/>
          <w:szCs w:val="20"/>
          <w:color w:val="auto"/>
        </w:rPr>
      </w:pPr>
    </w:p>
    <w:p>
      <w:pPr>
        <w:ind w:right="60" w:firstLine="245"/>
        <w:spacing w:after="0" w:line="242" w:lineRule="auto"/>
        <w:rPr>
          <w:sz w:val="20"/>
          <w:szCs w:val="20"/>
          <w:color w:val="auto"/>
        </w:rPr>
      </w:pPr>
      <w:r>
        <w:rPr>
          <w:rFonts w:ascii="Times New Roman" w:cs="Times New Roman" w:eastAsia="Times New Roman" w:hAnsi="Times New Roman"/>
          <w:sz w:val="20"/>
          <w:szCs w:val="20"/>
          <w:color w:val="4C4C4E"/>
        </w:rPr>
        <w:t>Sixth Street is a global investment business with over $125 billion of assets under management as of December 31, 2025.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740 investment and operating professionals. As of December 31, 2025, seventy-eight (78) of these personnel are dedicated to direct lending, including sixty-three (63) investment professionals.</w:t>
      </w:r>
    </w:p>
    <w:p>
      <w:pPr>
        <w:spacing w:after="0" w:line="213" w:lineRule="exact"/>
        <w:rPr>
          <w:sz w:val="20"/>
          <w:szCs w:val="20"/>
          <w:color w:val="auto"/>
        </w:rPr>
      </w:pPr>
    </w:p>
    <w:p>
      <w:pPr>
        <w:ind w:right="200" w:firstLine="245"/>
        <w:spacing w:after="0" w:line="246" w:lineRule="auto"/>
        <w:rPr>
          <w:sz w:val="20"/>
          <w:szCs w:val="20"/>
          <w:color w:val="auto"/>
        </w:rPr>
      </w:pPr>
      <w:r>
        <w:rPr>
          <w:rFonts w:ascii="Times New Roman" w:cs="Times New Roman" w:eastAsia="Times New Roman" w:hAnsi="Times New Roman"/>
          <w:sz w:val="20"/>
          <w:szCs w:val="20"/>
          <w:color w:val="4C4C4E"/>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00" w:lineRule="exact"/>
        <w:rPr>
          <w:sz w:val="20"/>
          <w:szCs w:val="20"/>
          <w:color w:val="auto"/>
        </w:rPr>
      </w:pPr>
    </w:p>
    <w:p>
      <w:pPr>
        <w:ind w:right="20" w:firstLine="245"/>
        <w:spacing w:after="0" w:line="258" w:lineRule="auto"/>
        <w:rPr>
          <w:sz w:val="20"/>
          <w:szCs w:val="20"/>
          <w:color w:val="auto"/>
        </w:rPr>
      </w:pPr>
      <w:r>
        <w:rPr>
          <w:rFonts w:ascii="Times New Roman" w:cs="Times New Roman" w:eastAsia="Times New Roman" w:hAnsi="Times New Roman"/>
          <w:sz w:val="20"/>
          <w:szCs w:val="20"/>
          <w:color w:val="4C4C4E"/>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88"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4C4C4E"/>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20"/>
          <w:szCs w:val="20"/>
          <w:i w:val="1"/>
          <w:iCs w:val="1"/>
          <w:color w:val="4C4C4E"/>
        </w:rPr>
        <w:t>Regulation as a Business Development Company—Transactions with our Affiliates.”</w:t>
      </w:r>
    </w:p>
    <w:p>
      <w:pPr>
        <w:spacing w:after="0" w:line="197" w:lineRule="exact"/>
        <w:rPr>
          <w:sz w:val="20"/>
          <w:szCs w:val="20"/>
          <w:color w:val="auto"/>
        </w:rPr>
      </w:pPr>
    </w:p>
    <w:p>
      <w:pPr>
        <w:ind w:right="240" w:firstLine="245"/>
        <w:spacing w:after="0" w:line="258" w:lineRule="auto"/>
        <w:rPr>
          <w:sz w:val="20"/>
          <w:szCs w:val="20"/>
          <w:color w:val="auto"/>
        </w:rPr>
      </w:pPr>
      <w:r>
        <w:rPr>
          <w:rFonts w:ascii="Times New Roman" w:cs="Times New Roman" w:eastAsia="Times New Roman" w:hAnsi="Times New Roman"/>
          <w:sz w:val="20"/>
          <w:szCs w:val="20"/>
          <w:color w:val="4C4C4E"/>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84" w:lineRule="exact"/>
        <w:rPr>
          <w:sz w:val="20"/>
          <w:szCs w:val="20"/>
          <w:color w:val="auto"/>
        </w:rPr>
      </w:pPr>
    </w:p>
    <w:p>
      <w:pPr>
        <w:ind w:right="160" w:firstLine="245"/>
        <w:spacing w:after="0" w:line="253" w:lineRule="auto"/>
        <w:rPr>
          <w:sz w:val="20"/>
          <w:szCs w:val="20"/>
          <w:color w:val="auto"/>
        </w:rPr>
      </w:pPr>
      <w:r>
        <w:rPr>
          <w:rFonts w:ascii="Times New Roman" w:cs="Times New Roman" w:eastAsia="Times New Roman" w:hAnsi="Times New Roman"/>
          <w:sz w:val="20"/>
          <w:szCs w:val="20"/>
          <w:color w:val="4C4C4E"/>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88" w:lineRule="exact"/>
        <w:rPr>
          <w:sz w:val="20"/>
          <w:szCs w:val="20"/>
          <w:color w:val="auto"/>
        </w:rPr>
      </w:pPr>
    </w:p>
    <w:p>
      <w:pPr>
        <w:ind w:firstLine="245"/>
        <w:spacing w:after="0" w:line="241" w:lineRule="auto"/>
        <w:rPr>
          <w:sz w:val="20"/>
          <w:szCs w:val="20"/>
          <w:color w:val="auto"/>
        </w:rPr>
      </w:pPr>
      <w:r>
        <w:rPr>
          <w:rFonts w:ascii="Times New Roman" w:cs="Times New Roman" w:eastAsia="Times New Roman" w:hAnsi="Times New Roman"/>
          <w:sz w:val="20"/>
          <w:szCs w:val="20"/>
          <w:color w:val="4C4C4E"/>
        </w:rPr>
        <w:t>Under the terms of the Investment Advisory Agreement, the Adviser’s services under the Investment Advisory Agreement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 For a discussion of the Management Fee and Incentive Fee payable by us to the Adviser, see “</w:t>
      </w:r>
      <w:r>
        <w:rPr>
          <w:rFonts w:ascii="Times New Roman" w:cs="Times New Roman" w:eastAsia="Times New Roman" w:hAnsi="Times New Roman"/>
          <w:sz w:val="20"/>
          <w:szCs w:val="20"/>
          <w:i w:val="1"/>
          <w:iCs w:val="1"/>
          <w:color w:val="4C4C4E"/>
        </w:rPr>
        <w:t>Management Agreements—Investment Advisory Agreement; Administration Agreement; License Agreement</w:t>
      </w:r>
      <w:r>
        <w:rPr>
          <w:rFonts w:ascii="Times New Roman" w:cs="Times New Roman" w:eastAsia="Times New Roman" w:hAnsi="Times New Roman"/>
          <w:sz w:val="20"/>
          <w:szCs w:val="20"/>
          <w:color w:val="4C4C4E"/>
        </w:rPr>
        <w:t>.” Our Board monitors the mix and performance of our investments over time and seeks to satisfy itself that the Adviser is acting in our interests and that our fee structure appropriately incentivizes the Adviser to do so.</w:t>
      </w:r>
    </w:p>
    <w:p>
      <w:pPr>
        <w:sectPr>
          <w:pgSz w:w="11880" w:h="15480" w:orient="portrait"/>
          <w:cols w:equalWidth="0" w:num="1">
            <w:col w:w="10660"/>
          </w:cols>
          <w:pgMar w:left="680" w:top="746" w:right="540" w:bottom="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7</w:t>
      </w:r>
    </w:p>
    <w:p>
      <w:pPr>
        <w:sectPr>
          <w:pgSz w:w="11880" w:h="15480" w:orient="portrait"/>
          <w:cols w:equalWidth="0" w:num="1">
            <w:col w:w="10660"/>
          </w:cols>
          <w:pgMar w:left="680" w:top="746" w:right="540" w:bottom="0" w:gutter="0" w:footer="0" w:header="0"/>
          <w:type w:val="continuous"/>
        </w:sectPr>
      </w:pPr>
    </w:p>
    <w:bookmarkStart w:id="7" w:name="page8"/>
    <w:bookmarkEnd w:id="7"/>
    <w:p>
      <w:pPr>
        <w:ind w:right="40" w:firstLine="245"/>
        <w:spacing w:after="0" w:line="249" w:lineRule="auto"/>
        <w:rPr>
          <w:sz w:val="20"/>
          <w:szCs w:val="20"/>
          <w:color w:val="auto"/>
        </w:rPr>
      </w:pPr>
      <w:r>
        <w:rPr>
          <w:rFonts w:ascii="Times New Roman" w:cs="Times New Roman" w:eastAsia="Times New Roman" w:hAnsi="Times New Roman"/>
          <w:sz w:val="20"/>
          <w:szCs w:val="20"/>
          <w:color w:val="4C4C4E"/>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93" w:lineRule="exact"/>
        <w:rPr>
          <w:sz w:val="20"/>
          <w:szCs w:val="20"/>
          <w:color w:val="auto"/>
        </w:rPr>
      </w:pPr>
    </w:p>
    <w:p>
      <w:pPr>
        <w:ind w:right="20" w:firstLine="245"/>
        <w:spacing w:after="0" w:line="253" w:lineRule="auto"/>
        <w:rPr>
          <w:sz w:val="20"/>
          <w:szCs w:val="20"/>
          <w:color w:val="auto"/>
        </w:rPr>
      </w:pPr>
      <w:r>
        <w:rPr>
          <w:rFonts w:ascii="Times New Roman" w:cs="Times New Roman" w:eastAsia="Times New Roman" w:hAnsi="Times New Roman"/>
          <w:sz w:val="20"/>
          <w:szCs w:val="20"/>
          <w:color w:val="4C4C4E"/>
        </w:rPr>
        <w:t>In November 2025, our Board renewed the Investment Advisory Agreement and the Administration Agreement. Unless earlier terminated, the Investment Advisory Agreement will remain in effect until November 2026, and may be extended subject to required approvals.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Joint Venture</w:t>
      </w:r>
    </w:p>
    <w:p>
      <w:pPr>
        <w:spacing w:after="0" w:line="123"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20"/>
          <w:szCs w:val="20"/>
          <w:color w:val="4C4C4E"/>
        </w:rPr>
        <w:t>On December 23, 2025, affiliates of Sixth Street, including us,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managed by affiliates of Sixth Street or Carlyle on a no-fee basis.</w:t>
      </w:r>
    </w:p>
    <w:p>
      <w:pPr>
        <w:spacing w:after="0" w:line="197" w:lineRule="exact"/>
        <w:rPr>
          <w:sz w:val="20"/>
          <w:szCs w:val="20"/>
          <w:color w:val="auto"/>
        </w:rPr>
      </w:pPr>
    </w:p>
    <w:p>
      <w:pPr>
        <w:ind w:right="80" w:firstLine="245"/>
        <w:spacing w:after="0" w:line="247" w:lineRule="auto"/>
        <w:rPr>
          <w:sz w:val="20"/>
          <w:szCs w:val="20"/>
          <w:color w:val="auto"/>
        </w:rPr>
      </w:pPr>
      <w:r>
        <w:rPr>
          <w:rFonts w:ascii="Times New Roman" w:cs="Times New Roman" w:eastAsia="Times New Roman" w:hAnsi="Times New Roman"/>
          <w:sz w:val="20"/>
          <w:szCs w:val="20"/>
          <w:color w:val="4C4C4E"/>
        </w:rPr>
        <w:t>Sixth Street affiliates own 50.0% of the equity interests in SCP and the Carlyle affiliates own 50.0%, with investment decisions requiring approval by representatives of both the Sixth Street affiliates and the Carlyle affiliates. SCP will be initially capitalized with $600.0 million of aggregate capital commitments from Sixth Street Specialty Lending, Inc., Sixth Street Lending Partners, Carlyle Secured Lending, Inc. and Carlyle Credit Solutions, Inc., as members of SCP, with all members of SCP having equal voting control. Equity contributions will be called from each member on a pro-rata basis, based on their equity commitments. As of December 31, 2025, SCP had not commenced operations and no capital had been contributed to SCP.</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Investment Criteria/Guidelines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Investment Decision Process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Our investment approach involves, among other things:</w:t>
      </w:r>
    </w:p>
    <w:p>
      <w:pPr>
        <w:spacing w:after="0" w:line="129" w:lineRule="exact"/>
        <w:rPr>
          <w:sz w:val="20"/>
          <w:szCs w:val="20"/>
          <w:color w:val="auto"/>
        </w:rPr>
      </w:pPr>
    </w:p>
    <w:p>
      <w:pPr>
        <w:ind w:left="500" w:right="800" w:hanging="251"/>
        <w:spacing w:after="0" w:line="272" w:lineRule="auto"/>
        <w:tabs>
          <w:tab w:leader="none" w:pos="500" w:val="left"/>
        </w:tabs>
        <w:numPr>
          <w:ilvl w:val="0"/>
          <w:numId w:val="11"/>
        </w:numPr>
        <w:rPr>
          <w:rFonts w:ascii="Arial" w:cs="Arial" w:eastAsia="Arial" w:hAnsi="Arial"/>
          <w:sz w:val="20"/>
          <w:szCs w:val="20"/>
          <w:color w:val="4C4C4E"/>
        </w:rPr>
      </w:pPr>
      <w:r>
        <w:rPr>
          <w:rFonts w:ascii="Times New Roman" w:cs="Times New Roman" w:eastAsia="Times New Roman" w:hAnsi="Times New Roman"/>
          <w:sz w:val="20"/>
          <w:szCs w:val="20"/>
          <w:color w:val="4C4C4E"/>
        </w:rPr>
        <w:t>an assessment of the markets, overall macroeconomic environment and how the assessment may impact industry and investment selection;</w:t>
      </w:r>
    </w:p>
    <w:p>
      <w:pPr>
        <w:spacing w:after="0" w:line="62" w:lineRule="exact"/>
        <w:rPr>
          <w:rFonts w:ascii="Arial" w:cs="Arial" w:eastAsia="Arial" w:hAnsi="Arial"/>
          <w:sz w:val="20"/>
          <w:szCs w:val="20"/>
          <w:color w:val="4C4C4E"/>
        </w:rPr>
      </w:pPr>
    </w:p>
    <w:p>
      <w:pPr>
        <w:ind w:left="500" w:hanging="251"/>
        <w:spacing w:after="0"/>
        <w:tabs>
          <w:tab w:leader="none" w:pos="500" w:val="left"/>
        </w:tabs>
        <w:numPr>
          <w:ilvl w:val="0"/>
          <w:numId w:val="11"/>
        </w:numPr>
        <w:rPr>
          <w:rFonts w:ascii="Arial" w:cs="Arial" w:eastAsia="Arial" w:hAnsi="Arial"/>
          <w:sz w:val="20"/>
          <w:szCs w:val="20"/>
          <w:color w:val="4C4C4E"/>
        </w:rPr>
      </w:pPr>
      <w:r>
        <w:rPr>
          <w:rFonts w:ascii="Times New Roman" w:cs="Times New Roman" w:eastAsia="Times New Roman" w:hAnsi="Times New Roman"/>
          <w:sz w:val="20"/>
          <w:szCs w:val="20"/>
          <w:color w:val="4C4C4E"/>
        </w:rPr>
        <w:t>substantial company-specific research and analysis; and</w:t>
      </w:r>
    </w:p>
    <w:p>
      <w:pPr>
        <w:spacing w:after="0" w:line="128" w:lineRule="exact"/>
        <w:rPr>
          <w:rFonts w:ascii="Arial" w:cs="Arial" w:eastAsia="Arial" w:hAnsi="Arial"/>
          <w:sz w:val="20"/>
          <w:szCs w:val="20"/>
          <w:color w:val="4C4C4E"/>
        </w:rPr>
      </w:pPr>
    </w:p>
    <w:p>
      <w:pPr>
        <w:ind w:left="500" w:right="360" w:hanging="251"/>
        <w:spacing w:after="0" w:line="272" w:lineRule="auto"/>
        <w:tabs>
          <w:tab w:leader="none" w:pos="500" w:val="left"/>
        </w:tabs>
        <w:numPr>
          <w:ilvl w:val="0"/>
          <w:numId w:val="11"/>
        </w:numPr>
        <w:rPr>
          <w:rFonts w:ascii="Arial" w:cs="Arial" w:eastAsia="Arial" w:hAnsi="Arial"/>
          <w:sz w:val="20"/>
          <w:szCs w:val="20"/>
          <w:color w:val="4C4C4E"/>
        </w:rPr>
      </w:pPr>
      <w:r>
        <w:rPr>
          <w:rFonts w:ascii="Times New Roman" w:cs="Times New Roman" w:eastAsia="Times New Roman" w:hAnsi="Times New Roman"/>
          <w:sz w:val="20"/>
          <w:szCs w:val="20"/>
          <w:color w:val="4C4C4E"/>
        </w:rPr>
        <w:t>with respect to each individual company, an emphasis on capital preservation, low volatility and management of downside risk.</w:t>
      </w:r>
    </w:p>
    <w:p>
      <w:pPr>
        <w:spacing w:after="0" w:line="168" w:lineRule="exact"/>
        <w:rPr>
          <w:sz w:val="20"/>
          <w:szCs w:val="20"/>
          <w:color w:val="auto"/>
        </w:rPr>
      </w:pPr>
    </w:p>
    <w:p>
      <w:pPr>
        <w:ind w:right="260" w:firstLine="245"/>
        <w:spacing w:after="0" w:line="253" w:lineRule="auto"/>
        <w:rPr>
          <w:sz w:val="20"/>
          <w:szCs w:val="20"/>
          <w:color w:val="auto"/>
        </w:rPr>
      </w:pPr>
      <w:r>
        <w:rPr>
          <w:rFonts w:ascii="Times New Roman" w:cs="Times New Roman" w:eastAsia="Times New Roman" w:hAnsi="Times New Roman"/>
          <w:sz w:val="20"/>
          <w:szCs w:val="20"/>
          <w:color w:val="4C4C4E"/>
        </w:rPr>
        <w:t>The foundation of our investment philosophy incorporates intensive analysis, a management discipline based on both market technical and fundamental value-oriented research, and consideration of diversification within our portfolio. We follow a rigorous investment process based on:</w:t>
      </w:r>
    </w:p>
    <w:p>
      <w:pPr>
        <w:spacing w:after="0" w:line="82" w:lineRule="exact"/>
        <w:rPr>
          <w:sz w:val="20"/>
          <w:szCs w:val="20"/>
          <w:color w:val="auto"/>
        </w:rPr>
      </w:pPr>
    </w:p>
    <w:p>
      <w:pPr>
        <w:ind w:left="500" w:right="680" w:hanging="251"/>
        <w:spacing w:after="0" w:line="272" w:lineRule="auto"/>
        <w:tabs>
          <w:tab w:leader="none" w:pos="500" w:val="left"/>
        </w:tabs>
        <w:numPr>
          <w:ilvl w:val="0"/>
          <w:numId w:val="12"/>
        </w:numPr>
        <w:rPr>
          <w:rFonts w:ascii="Arial" w:cs="Arial" w:eastAsia="Arial" w:hAnsi="Arial"/>
          <w:sz w:val="20"/>
          <w:szCs w:val="20"/>
          <w:color w:val="4C4C4E"/>
        </w:rPr>
      </w:pPr>
      <w:r>
        <w:rPr>
          <w:rFonts w:ascii="Times New Roman" w:cs="Times New Roman" w:eastAsia="Times New Roman" w:hAnsi="Times New Roman"/>
          <w:sz w:val="20"/>
          <w:szCs w:val="20"/>
          <w:color w:val="4C4C4E"/>
        </w:rPr>
        <w:t>a comprehensive analysis of issuer creditworthiness, including a quantitative and qualitative assessment of the issuer’s business;</w:t>
      </w:r>
    </w:p>
    <w:p>
      <w:pPr>
        <w:spacing w:after="0" w:line="62" w:lineRule="exact"/>
        <w:rPr>
          <w:rFonts w:ascii="Arial" w:cs="Arial" w:eastAsia="Arial" w:hAnsi="Arial"/>
          <w:sz w:val="20"/>
          <w:szCs w:val="20"/>
          <w:color w:val="4C4C4E"/>
        </w:rPr>
      </w:pPr>
    </w:p>
    <w:p>
      <w:pPr>
        <w:ind w:left="500" w:hanging="251"/>
        <w:spacing w:after="0"/>
        <w:tabs>
          <w:tab w:leader="none" w:pos="500" w:val="left"/>
        </w:tabs>
        <w:numPr>
          <w:ilvl w:val="0"/>
          <w:numId w:val="12"/>
        </w:numPr>
        <w:rPr>
          <w:rFonts w:ascii="Arial" w:cs="Arial" w:eastAsia="Arial" w:hAnsi="Arial"/>
          <w:sz w:val="20"/>
          <w:szCs w:val="20"/>
          <w:color w:val="4C4C4E"/>
        </w:rPr>
      </w:pPr>
      <w:r>
        <w:rPr>
          <w:rFonts w:ascii="Times New Roman" w:cs="Times New Roman" w:eastAsia="Times New Roman" w:hAnsi="Times New Roman"/>
          <w:sz w:val="20"/>
          <w:szCs w:val="20"/>
          <w:color w:val="4C4C4E"/>
        </w:rPr>
        <w:t>an evaluation of management and its economic incentives;</w:t>
      </w:r>
    </w:p>
    <w:p>
      <w:pPr>
        <w:spacing w:after="0" w:line="128" w:lineRule="exact"/>
        <w:rPr>
          <w:rFonts w:ascii="Arial" w:cs="Arial" w:eastAsia="Arial" w:hAnsi="Arial"/>
          <w:sz w:val="20"/>
          <w:szCs w:val="20"/>
          <w:color w:val="4C4C4E"/>
        </w:rPr>
      </w:pPr>
    </w:p>
    <w:p>
      <w:pPr>
        <w:ind w:left="500" w:hanging="251"/>
        <w:spacing w:after="0"/>
        <w:tabs>
          <w:tab w:leader="none" w:pos="500" w:val="left"/>
        </w:tabs>
        <w:numPr>
          <w:ilvl w:val="0"/>
          <w:numId w:val="12"/>
        </w:numPr>
        <w:rPr>
          <w:rFonts w:ascii="Arial" w:cs="Arial" w:eastAsia="Arial" w:hAnsi="Arial"/>
          <w:sz w:val="20"/>
          <w:szCs w:val="20"/>
          <w:color w:val="4C4C4E"/>
        </w:rPr>
      </w:pPr>
      <w:r>
        <w:rPr>
          <w:rFonts w:ascii="Times New Roman" w:cs="Times New Roman" w:eastAsia="Times New Roman" w:hAnsi="Times New Roman"/>
          <w:sz w:val="20"/>
          <w:szCs w:val="20"/>
          <w:color w:val="4C4C4E"/>
        </w:rPr>
        <w:t>an analysis of business strategy and industry trends; and</w:t>
      </w:r>
    </w:p>
    <w:p>
      <w:pPr>
        <w:spacing w:after="0" w:line="128" w:lineRule="exact"/>
        <w:rPr>
          <w:rFonts w:ascii="Arial" w:cs="Arial" w:eastAsia="Arial" w:hAnsi="Arial"/>
          <w:sz w:val="20"/>
          <w:szCs w:val="20"/>
          <w:color w:val="4C4C4E"/>
        </w:rPr>
      </w:pPr>
    </w:p>
    <w:p>
      <w:pPr>
        <w:ind w:left="500" w:hanging="251"/>
        <w:spacing w:after="0"/>
        <w:tabs>
          <w:tab w:leader="none" w:pos="500" w:val="left"/>
        </w:tabs>
        <w:numPr>
          <w:ilvl w:val="0"/>
          <w:numId w:val="12"/>
        </w:numPr>
        <w:rPr>
          <w:rFonts w:ascii="Arial" w:cs="Arial" w:eastAsia="Arial" w:hAnsi="Arial"/>
          <w:sz w:val="20"/>
          <w:szCs w:val="20"/>
          <w:color w:val="4C4C4E"/>
        </w:rPr>
      </w:pPr>
      <w:r>
        <w:rPr>
          <w:rFonts w:ascii="Times New Roman" w:cs="Times New Roman" w:eastAsia="Times New Roman" w:hAnsi="Times New Roman"/>
          <w:sz w:val="20"/>
          <w:szCs w:val="20"/>
          <w:color w:val="4C4C4E"/>
        </w:rPr>
        <w:t>an in-depth examination of a prospective portfolio company’s capital structure, financial results and projections.</w:t>
      </w:r>
    </w:p>
    <w:p>
      <w:pPr>
        <w:spacing w:after="0" w:line="235" w:lineRule="exact"/>
        <w:rPr>
          <w:sz w:val="20"/>
          <w:szCs w:val="20"/>
          <w:color w:val="auto"/>
        </w:rPr>
      </w:pPr>
    </w:p>
    <w:p>
      <w:pPr>
        <w:ind w:right="740" w:firstLine="245"/>
        <w:spacing w:after="0" w:line="272" w:lineRule="auto"/>
        <w:rPr>
          <w:sz w:val="20"/>
          <w:szCs w:val="20"/>
          <w:color w:val="auto"/>
        </w:rPr>
      </w:pPr>
      <w:r>
        <w:rPr>
          <w:rFonts w:ascii="Times New Roman" w:cs="Times New Roman" w:eastAsia="Times New Roman" w:hAnsi="Times New Roman"/>
          <w:sz w:val="20"/>
          <w:szCs w:val="20"/>
          <w:color w:val="4C4C4E"/>
        </w:rPr>
        <w:t>We seek to identify those companies exhibiting superior fundamental risk-reward profiles and strong defensible business franchises, while focusing on the absolute and relative value of the investment.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Investment Process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Origination and Sourcing</w:t>
      </w:r>
    </w:p>
    <w:p>
      <w:pPr>
        <w:spacing w:after="0" w:line="113"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w:t>
      </w:r>
    </w:p>
    <w:p>
      <w:pPr>
        <w:sectPr>
          <w:pgSz w:w="11880" w:h="15480" w:orient="portrait"/>
          <w:cols w:equalWidth="0" w:num="1">
            <w:col w:w="10660"/>
          </w:cols>
          <w:pgMar w:left="680" w:top="750" w:right="54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8</w:t>
      </w:r>
    </w:p>
    <w:p>
      <w:pPr>
        <w:sectPr>
          <w:pgSz w:w="11880" w:h="15480" w:orient="portrait"/>
          <w:cols w:equalWidth="0" w:num="1">
            <w:col w:w="10660"/>
          </w:cols>
          <w:pgMar w:left="680" w:top="750" w:right="540" w:bottom="0" w:gutter="0" w:footer="0" w:header="0"/>
          <w:type w:val="continuous"/>
        </w:sectPr>
      </w:pPr>
    </w:p>
    <w:bookmarkStart w:id="8" w:name="page9"/>
    <w:bookmarkEnd w:id="8"/>
    <w:p>
      <w:pPr>
        <w:ind w:right="200"/>
        <w:spacing w:after="0" w:line="272" w:lineRule="auto"/>
        <w:rPr>
          <w:sz w:val="20"/>
          <w:szCs w:val="20"/>
          <w:color w:val="auto"/>
        </w:rPr>
      </w:pPr>
      <w:r>
        <w:rPr>
          <w:rFonts w:ascii="Times New Roman" w:cs="Times New Roman" w:eastAsia="Times New Roman" w:hAnsi="Times New Roman"/>
          <w:sz w:val="20"/>
          <w:szCs w:val="20"/>
          <w:color w:val="4C4C4E"/>
        </w:rPr>
        <w:t>The substantial majority of our deals are informed by our current sector views and are sourced directly by our Adviser through our network of contacts. We also identify opportunities through our Adviser’s relationships with Sixth Street.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Due Diligence Process</w:t>
      </w:r>
    </w:p>
    <w:p>
      <w:pPr>
        <w:spacing w:after="0" w:line="113" w:lineRule="exact"/>
        <w:rPr>
          <w:sz w:val="20"/>
          <w:szCs w:val="20"/>
          <w:color w:val="auto"/>
        </w:rPr>
      </w:pPr>
    </w:p>
    <w:p>
      <w:pPr>
        <w:ind w:right="100" w:firstLine="245"/>
        <w:spacing w:after="0" w:line="247" w:lineRule="auto"/>
        <w:rPr>
          <w:sz w:val="20"/>
          <w:szCs w:val="20"/>
          <w:color w:val="auto"/>
        </w:rPr>
      </w:pPr>
      <w:r>
        <w:rPr>
          <w:rFonts w:ascii="Times New Roman" w:cs="Times New Roman" w:eastAsia="Times New Roman" w:hAnsi="Times New Roman"/>
          <w:sz w:val="20"/>
          <w:szCs w:val="20"/>
          <w:color w:val="4C4C4E"/>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88" w:lineRule="exact"/>
        <w:rPr>
          <w:sz w:val="20"/>
          <w:szCs w:val="20"/>
          <w:color w:val="auto"/>
        </w:rPr>
      </w:pPr>
    </w:p>
    <w:p>
      <w:pPr>
        <w:ind w:left="500" w:right="260" w:hanging="251"/>
        <w:spacing w:after="0" w:line="272" w:lineRule="auto"/>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understanding the purpose of the capital requirement, the key personnel and variables, as well as the sources and uses of the proceeds;</w:t>
      </w:r>
    </w:p>
    <w:p>
      <w:pPr>
        <w:spacing w:after="0" w:line="62" w:lineRule="exact"/>
        <w:rPr>
          <w:rFonts w:ascii="Arial" w:cs="Arial" w:eastAsia="Arial" w:hAnsi="Arial"/>
          <w:sz w:val="20"/>
          <w:szCs w:val="20"/>
          <w:color w:val="4C4C4E"/>
        </w:rPr>
      </w:pPr>
    </w:p>
    <w:p>
      <w:pPr>
        <w:ind w:left="500" w:right="180" w:hanging="251"/>
        <w:spacing w:after="0" w:line="272" w:lineRule="auto"/>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meeting the company’s management, including top and middle-level executives, to get an insider’s view of the business, and to probe for potential weaknesses in business prospects;</w:t>
      </w:r>
    </w:p>
    <w:p>
      <w:pPr>
        <w:spacing w:after="0" w:line="66" w:lineRule="exact"/>
        <w:rPr>
          <w:rFonts w:ascii="Arial" w:cs="Arial" w:eastAsia="Arial" w:hAnsi="Arial"/>
          <w:sz w:val="20"/>
          <w:szCs w:val="20"/>
          <w:color w:val="4C4C4E"/>
        </w:rPr>
      </w:pPr>
    </w:p>
    <w:p>
      <w:pPr>
        <w:ind w:left="500" w:hanging="251"/>
        <w:spacing w:after="0"/>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checking management’s backgrounds and references;</w:t>
      </w:r>
    </w:p>
    <w:p>
      <w:pPr>
        <w:spacing w:after="0" w:line="133" w:lineRule="exact"/>
        <w:rPr>
          <w:rFonts w:ascii="Arial" w:cs="Arial" w:eastAsia="Arial" w:hAnsi="Arial"/>
          <w:sz w:val="20"/>
          <w:szCs w:val="20"/>
          <w:color w:val="4C4C4E"/>
        </w:rPr>
      </w:pPr>
    </w:p>
    <w:p>
      <w:pPr>
        <w:ind w:left="500" w:right="40" w:hanging="251"/>
        <w:spacing w:after="0" w:line="276" w:lineRule="auto"/>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performing a detailed review of historical financial performance, including performance through various economic cycles, and the quality of earnings;</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contacting customers and vendors to assess both business prospects and standard practices;</w:t>
      </w:r>
    </w:p>
    <w:p>
      <w:pPr>
        <w:spacing w:after="0" w:line="133" w:lineRule="exact"/>
        <w:rPr>
          <w:rFonts w:ascii="Arial" w:cs="Arial" w:eastAsia="Arial" w:hAnsi="Arial"/>
          <w:sz w:val="20"/>
          <w:szCs w:val="20"/>
          <w:color w:val="4C4C4E"/>
        </w:rPr>
      </w:pPr>
    </w:p>
    <w:p>
      <w:pPr>
        <w:ind w:left="500" w:right="440" w:hanging="251"/>
        <w:spacing w:after="0" w:line="276" w:lineRule="auto"/>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conducting a competitive analysis, and comparing the company to its main competitors on an operating, financial, market share and valuation basis;</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researching the industry for historic growth trends and future prospects as well as to identify future exit alternatives;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assessing asset value and the ability of physical infrastructure and information systems to handle anticipated growth;</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leveraging Sixth Street internal resources with institutional knowledge of the company’s business; and</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13"/>
        </w:numPr>
        <w:rPr>
          <w:rFonts w:ascii="Arial" w:cs="Arial" w:eastAsia="Arial" w:hAnsi="Arial"/>
          <w:sz w:val="20"/>
          <w:szCs w:val="20"/>
          <w:color w:val="4C4C4E"/>
        </w:rPr>
      </w:pPr>
      <w:r>
        <w:rPr>
          <w:rFonts w:ascii="Times New Roman" w:cs="Times New Roman" w:eastAsia="Times New Roman" w:hAnsi="Times New Roman"/>
          <w:sz w:val="20"/>
          <w:szCs w:val="20"/>
          <w:color w:val="4C4C4E"/>
        </w:rPr>
        <w:t>investigating legal and regulatory risks and financial and accounting systems and practices.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Selective Investment Process</w:t>
      </w:r>
    </w:p>
    <w:p>
      <w:pPr>
        <w:spacing w:after="0" w:line="118" w:lineRule="exact"/>
        <w:rPr>
          <w:sz w:val="20"/>
          <w:szCs w:val="20"/>
          <w:color w:val="auto"/>
        </w:rPr>
      </w:pPr>
    </w:p>
    <w:p>
      <w:pPr>
        <w:ind w:right="160" w:firstLine="245"/>
        <w:spacing w:after="0" w:line="249" w:lineRule="auto"/>
        <w:rPr>
          <w:sz w:val="20"/>
          <w:szCs w:val="20"/>
          <w:color w:val="auto"/>
        </w:rPr>
      </w:pPr>
      <w:r>
        <w:rPr>
          <w:rFonts w:ascii="Times New Roman" w:cs="Times New Roman" w:eastAsia="Times New Roman" w:hAnsi="Times New Roman"/>
          <w:sz w:val="20"/>
          <w:szCs w:val="20"/>
          <w:color w:val="4C4C4E"/>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Issuance of Formal Commitment</w:t>
      </w:r>
    </w:p>
    <w:p>
      <w:pPr>
        <w:spacing w:after="0" w:line="118"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Portfolio Monitoring</w:t>
      </w:r>
    </w:p>
    <w:p>
      <w:pPr>
        <w:spacing w:after="0" w:line="118" w:lineRule="exact"/>
        <w:rPr>
          <w:sz w:val="20"/>
          <w:szCs w:val="20"/>
          <w:color w:val="auto"/>
        </w:rPr>
      </w:pPr>
    </w:p>
    <w:p>
      <w:pPr>
        <w:ind w:right="220" w:firstLine="245"/>
        <w:spacing w:after="0" w:line="277" w:lineRule="auto"/>
        <w:rPr>
          <w:sz w:val="20"/>
          <w:szCs w:val="20"/>
          <w:color w:val="auto"/>
        </w:rPr>
      </w:pPr>
      <w:r>
        <w:rPr>
          <w:rFonts w:ascii="Times New Roman" w:cs="Times New Roman" w:eastAsia="Times New Roman" w:hAnsi="Times New Roman"/>
          <w:sz w:val="20"/>
          <w:szCs w:val="20"/>
          <w:color w:val="4C4C4E"/>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9" w:lineRule="exact"/>
        <w:rPr>
          <w:sz w:val="20"/>
          <w:szCs w:val="20"/>
          <w:color w:val="auto"/>
        </w:rPr>
      </w:pPr>
    </w:p>
    <w:p>
      <w:pPr>
        <w:ind w:right="160" w:firstLine="245"/>
        <w:spacing w:after="0" w:line="277" w:lineRule="auto"/>
        <w:rPr>
          <w:sz w:val="20"/>
          <w:szCs w:val="20"/>
          <w:color w:val="auto"/>
        </w:rPr>
      </w:pPr>
      <w:r>
        <w:rPr>
          <w:rFonts w:ascii="Times New Roman" w:cs="Times New Roman" w:eastAsia="Times New Roman" w:hAnsi="Times New Roman"/>
          <w:sz w:val="20"/>
          <w:szCs w:val="20"/>
          <w:color w:val="4C4C4E"/>
        </w:rPr>
        <w:t>The Adviser has a number of methods of evaluating and monitoring the performance of our investments, which may include the following:</w:t>
      </w:r>
    </w:p>
    <w:p>
      <w:pPr>
        <w:spacing w:after="0" w:line="64" w:lineRule="exact"/>
        <w:rPr>
          <w:sz w:val="20"/>
          <w:szCs w:val="20"/>
          <w:color w:val="auto"/>
        </w:rPr>
      </w:pPr>
    </w:p>
    <w:p>
      <w:pPr>
        <w:ind w:left="500" w:hanging="251"/>
        <w:spacing w:after="0"/>
        <w:tabs>
          <w:tab w:leader="none" w:pos="500" w:val="left"/>
        </w:tabs>
        <w:numPr>
          <w:ilvl w:val="0"/>
          <w:numId w:val="14"/>
        </w:numPr>
        <w:rPr>
          <w:rFonts w:ascii="Arial" w:cs="Arial" w:eastAsia="Arial" w:hAnsi="Arial"/>
          <w:sz w:val="20"/>
          <w:szCs w:val="20"/>
          <w:color w:val="4C4C4E"/>
        </w:rPr>
      </w:pPr>
      <w:r>
        <w:rPr>
          <w:rFonts w:ascii="Times New Roman" w:cs="Times New Roman" w:eastAsia="Times New Roman" w:hAnsi="Times New Roman"/>
          <w:sz w:val="20"/>
          <w:szCs w:val="20"/>
          <w:color w:val="4C4C4E"/>
        </w:rPr>
        <w:t>assessment of success of the portfolio company in adhering to its business plan and compliance with covenants;</w:t>
      </w:r>
    </w:p>
    <w:p>
      <w:pPr>
        <w:spacing w:after="0" w:line="133" w:lineRule="exact"/>
        <w:rPr>
          <w:rFonts w:ascii="Arial" w:cs="Arial" w:eastAsia="Arial" w:hAnsi="Arial"/>
          <w:sz w:val="20"/>
          <w:szCs w:val="20"/>
          <w:color w:val="4C4C4E"/>
        </w:rPr>
      </w:pPr>
    </w:p>
    <w:p>
      <w:pPr>
        <w:ind w:left="500" w:right="420" w:hanging="251"/>
        <w:spacing w:after="0" w:line="276" w:lineRule="auto"/>
        <w:tabs>
          <w:tab w:leader="none" w:pos="500" w:val="left"/>
        </w:tabs>
        <w:numPr>
          <w:ilvl w:val="0"/>
          <w:numId w:val="14"/>
        </w:numPr>
        <w:rPr>
          <w:rFonts w:ascii="Arial" w:cs="Arial" w:eastAsia="Arial" w:hAnsi="Arial"/>
          <w:sz w:val="20"/>
          <w:szCs w:val="20"/>
          <w:color w:val="4C4C4E"/>
        </w:rPr>
      </w:pPr>
      <w:r>
        <w:rPr>
          <w:rFonts w:ascii="Times New Roman" w:cs="Times New Roman" w:eastAsia="Times New Roman" w:hAnsi="Times New Roman"/>
          <w:sz w:val="20"/>
          <w:szCs w:val="20"/>
          <w:color w:val="4C4C4E"/>
        </w:rPr>
        <w:t>periodic and regular contact with portfolio company management and, if appropriate, the financial or strategic sponsor, to discuss financial position, requirements and accomplishments;</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14"/>
        </w:numPr>
        <w:rPr>
          <w:rFonts w:ascii="Arial" w:cs="Arial" w:eastAsia="Arial" w:hAnsi="Arial"/>
          <w:sz w:val="20"/>
          <w:szCs w:val="20"/>
          <w:color w:val="4C4C4E"/>
        </w:rPr>
      </w:pPr>
      <w:r>
        <w:rPr>
          <w:rFonts w:ascii="Times New Roman" w:cs="Times New Roman" w:eastAsia="Times New Roman" w:hAnsi="Times New Roman"/>
          <w:sz w:val="20"/>
          <w:szCs w:val="20"/>
          <w:color w:val="4C4C4E"/>
        </w:rPr>
        <w:t>comparisons to other companies in the industry;</w:t>
      </w:r>
    </w:p>
    <w:p>
      <w:pPr>
        <w:sectPr>
          <w:pgSz w:w="11880" w:h="15480" w:orient="portrait"/>
          <w:cols w:equalWidth="0" w:num="1">
            <w:col w:w="10660"/>
          </w:cols>
          <w:pgMar w:left="68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9</w:t>
      </w:r>
    </w:p>
    <w:p>
      <w:pPr>
        <w:sectPr>
          <w:pgSz w:w="11880" w:h="15480" w:orient="portrait"/>
          <w:cols w:equalWidth="0" w:num="1">
            <w:col w:w="10660"/>
          </w:cols>
          <w:pgMar w:left="680" w:top="746" w:right="540" w:bottom="0" w:gutter="0" w:footer="0" w:header="0"/>
          <w:type w:val="continuous"/>
        </w:sectPr>
      </w:pPr>
    </w:p>
    <w:bookmarkStart w:id="9" w:name="page10"/>
    <w:bookmarkEnd w:id="9"/>
    <w:p>
      <w:pPr>
        <w:ind w:left="500" w:hanging="251"/>
        <w:spacing w:after="0"/>
        <w:tabs>
          <w:tab w:leader="none" w:pos="500" w:val="left"/>
        </w:tabs>
        <w:numPr>
          <w:ilvl w:val="0"/>
          <w:numId w:val="15"/>
        </w:numPr>
        <w:rPr>
          <w:rFonts w:ascii="Arial" w:cs="Arial" w:eastAsia="Arial" w:hAnsi="Arial"/>
          <w:sz w:val="20"/>
          <w:szCs w:val="20"/>
          <w:color w:val="4C4C4E"/>
        </w:rPr>
      </w:pPr>
      <w:r>
        <w:rPr>
          <w:rFonts w:ascii="Times New Roman" w:cs="Times New Roman" w:eastAsia="Times New Roman" w:hAnsi="Times New Roman"/>
          <w:sz w:val="20"/>
          <w:szCs w:val="20"/>
          <w:color w:val="4C4C4E"/>
        </w:rPr>
        <w:t>attendance at, and participation in, board meetings; and</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15"/>
        </w:numPr>
        <w:rPr>
          <w:rFonts w:ascii="Arial" w:cs="Arial" w:eastAsia="Arial" w:hAnsi="Arial"/>
          <w:sz w:val="20"/>
          <w:szCs w:val="20"/>
          <w:color w:val="4C4C4E"/>
        </w:rPr>
      </w:pPr>
      <w:r>
        <w:rPr>
          <w:rFonts w:ascii="Times New Roman" w:cs="Times New Roman" w:eastAsia="Times New Roman" w:hAnsi="Times New Roman"/>
          <w:sz w:val="20"/>
          <w:szCs w:val="20"/>
          <w:color w:val="4C4C4E"/>
        </w:rPr>
        <w:t>review of monthly and quarterly financial statements and financial projections for portfolio companies.</w:t>
      </w:r>
    </w:p>
    <w:p>
      <w:pPr>
        <w:spacing w:after="0" w:line="239" w:lineRule="exact"/>
        <w:rPr>
          <w:sz w:val="20"/>
          <w:szCs w:val="20"/>
          <w:color w:val="auto"/>
        </w:rPr>
      </w:pPr>
    </w:p>
    <w:p>
      <w:pPr>
        <w:jc w:val="both"/>
        <w:ind w:right="260" w:firstLine="245"/>
        <w:spacing w:after="0" w:line="258" w:lineRule="auto"/>
        <w:rPr>
          <w:sz w:val="20"/>
          <w:szCs w:val="20"/>
          <w:color w:val="auto"/>
        </w:rPr>
      </w:pPr>
      <w:r>
        <w:rPr>
          <w:rFonts w:ascii="Times New Roman" w:cs="Times New Roman" w:eastAsia="Times New Roman" w:hAnsi="Times New Roman"/>
          <w:sz w:val="20"/>
          <w:szCs w:val="20"/>
          <w:color w:val="4C4C4E"/>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3" w:lineRule="exact"/>
        <w:rPr>
          <w:sz w:val="20"/>
          <w:szCs w:val="20"/>
          <w:color w:val="auto"/>
        </w:rPr>
      </w:pPr>
    </w:p>
    <w:p>
      <w:pPr>
        <w:ind w:left="500" w:right="520" w:hanging="251"/>
        <w:spacing w:after="0" w:line="258" w:lineRule="auto"/>
        <w:tabs>
          <w:tab w:leader="none" w:pos="500" w:val="left"/>
        </w:tabs>
        <w:numPr>
          <w:ilvl w:val="0"/>
          <w:numId w:val="16"/>
        </w:numPr>
        <w:rPr>
          <w:rFonts w:ascii="Arial" w:cs="Arial" w:eastAsia="Arial" w:hAnsi="Arial"/>
          <w:sz w:val="20"/>
          <w:szCs w:val="20"/>
          <w:color w:val="4C4C4E"/>
        </w:rPr>
      </w:pPr>
      <w:r>
        <w:rPr>
          <w:rFonts w:ascii="Times New Roman" w:cs="Times New Roman" w:eastAsia="Times New Roman" w:hAnsi="Times New Roman"/>
          <w:sz w:val="20"/>
          <w:szCs w:val="20"/>
          <w:color w:val="4C4C4E"/>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1" w:lineRule="exact"/>
        <w:rPr>
          <w:rFonts w:ascii="Arial" w:cs="Arial" w:eastAsia="Arial" w:hAnsi="Arial"/>
          <w:sz w:val="20"/>
          <w:szCs w:val="20"/>
          <w:color w:val="4C4C4E"/>
        </w:rPr>
      </w:pPr>
    </w:p>
    <w:p>
      <w:pPr>
        <w:ind w:left="500" w:right="20" w:hanging="251"/>
        <w:spacing w:after="0" w:line="252" w:lineRule="auto"/>
        <w:tabs>
          <w:tab w:leader="none" w:pos="500" w:val="left"/>
        </w:tabs>
        <w:numPr>
          <w:ilvl w:val="0"/>
          <w:numId w:val="16"/>
        </w:numPr>
        <w:rPr>
          <w:rFonts w:ascii="Arial" w:cs="Arial" w:eastAsia="Arial" w:hAnsi="Arial"/>
          <w:sz w:val="20"/>
          <w:szCs w:val="20"/>
          <w:color w:val="4C4C4E"/>
        </w:rPr>
      </w:pPr>
      <w:r>
        <w:rPr>
          <w:rFonts w:ascii="Times New Roman" w:cs="Times New Roman" w:eastAsia="Times New Roman" w:hAnsi="Times New Roman"/>
          <w:sz w:val="20"/>
          <w:szCs w:val="20"/>
          <w:color w:val="4C4C4E"/>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87" w:lineRule="exact"/>
        <w:rPr>
          <w:rFonts w:ascii="Arial" w:cs="Arial" w:eastAsia="Arial" w:hAnsi="Arial"/>
          <w:sz w:val="20"/>
          <w:szCs w:val="20"/>
          <w:color w:val="4C4C4E"/>
        </w:rPr>
      </w:pPr>
    </w:p>
    <w:p>
      <w:pPr>
        <w:ind w:left="500" w:right="240" w:hanging="251"/>
        <w:spacing w:after="0" w:line="252" w:lineRule="auto"/>
        <w:tabs>
          <w:tab w:leader="none" w:pos="500" w:val="left"/>
        </w:tabs>
        <w:numPr>
          <w:ilvl w:val="0"/>
          <w:numId w:val="16"/>
        </w:numPr>
        <w:rPr>
          <w:rFonts w:ascii="Arial" w:cs="Arial" w:eastAsia="Arial" w:hAnsi="Arial"/>
          <w:sz w:val="20"/>
          <w:szCs w:val="20"/>
          <w:color w:val="4C4C4E"/>
        </w:rPr>
      </w:pPr>
      <w:r>
        <w:rPr>
          <w:rFonts w:ascii="Times New Roman" w:cs="Times New Roman" w:eastAsia="Times New Roman" w:hAnsi="Times New Roman"/>
          <w:sz w:val="20"/>
          <w:szCs w:val="20"/>
          <w:color w:val="4C4C4E"/>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7" w:lineRule="exact"/>
        <w:rPr>
          <w:rFonts w:ascii="Arial" w:cs="Arial" w:eastAsia="Arial" w:hAnsi="Arial"/>
          <w:sz w:val="20"/>
          <w:szCs w:val="20"/>
          <w:color w:val="4C4C4E"/>
        </w:rPr>
      </w:pPr>
    </w:p>
    <w:p>
      <w:pPr>
        <w:ind w:left="500" w:right="40" w:hanging="251"/>
        <w:spacing w:after="0" w:line="246" w:lineRule="auto"/>
        <w:tabs>
          <w:tab w:leader="none" w:pos="500" w:val="left"/>
        </w:tabs>
        <w:numPr>
          <w:ilvl w:val="0"/>
          <w:numId w:val="16"/>
        </w:numPr>
        <w:rPr>
          <w:rFonts w:ascii="Arial" w:cs="Arial" w:eastAsia="Arial" w:hAnsi="Arial"/>
          <w:sz w:val="20"/>
          <w:szCs w:val="20"/>
          <w:color w:val="4C4C4E"/>
        </w:rPr>
      </w:pPr>
      <w:r>
        <w:rPr>
          <w:rFonts w:ascii="Times New Roman" w:cs="Times New Roman" w:eastAsia="Times New Roman" w:hAnsi="Times New Roman"/>
          <w:sz w:val="20"/>
          <w:szCs w:val="20"/>
          <w:color w:val="4C4C4E"/>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3" w:lineRule="exact"/>
        <w:rPr>
          <w:rFonts w:ascii="Arial" w:cs="Arial" w:eastAsia="Arial" w:hAnsi="Arial"/>
          <w:sz w:val="20"/>
          <w:szCs w:val="20"/>
          <w:color w:val="4C4C4E"/>
        </w:rPr>
      </w:pPr>
    </w:p>
    <w:p>
      <w:pPr>
        <w:ind w:left="500" w:right="60" w:hanging="251"/>
        <w:spacing w:after="0" w:line="247" w:lineRule="auto"/>
        <w:tabs>
          <w:tab w:leader="none" w:pos="500" w:val="left"/>
        </w:tabs>
        <w:numPr>
          <w:ilvl w:val="0"/>
          <w:numId w:val="16"/>
        </w:numPr>
        <w:rPr>
          <w:rFonts w:ascii="Arial" w:cs="Arial" w:eastAsia="Arial" w:hAnsi="Arial"/>
          <w:sz w:val="20"/>
          <w:szCs w:val="20"/>
          <w:color w:val="4C4C4E"/>
        </w:rPr>
      </w:pPr>
      <w:r>
        <w:rPr>
          <w:rFonts w:ascii="Times New Roman" w:cs="Times New Roman" w:eastAsia="Times New Roman" w:hAnsi="Times New Roman"/>
          <w:sz w:val="20"/>
          <w:szCs w:val="20"/>
          <w:color w:val="4C4C4E"/>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99" w:lineRule="exact"/>
        <w:rPr>
          <w:sz w:val="20"/>
          <w:szCs w:val="20"/>
          <w:color w:val="auto"/>
        </w:rPr>
      </w:pPr>
    </w:p>
    <w:p>
      <w:pPr>
        <w:ind w:right="340" w:firstLine="245"/>
        <w:spacing w:after="0" w:line="277" w:lineRule="auto"/>
        <w:rPr>
          <w:sz w:val="20"/>
          <w:szCs w:val="20"/>
          <w:color w:val="auto"/>
        </w:rPr>
      </w:pPr>
      <w:r>
        <w:rPr>
          <w:rFonts w:ascii="Times New Roman" w:cs="Times New Roman" w:eastAsia="Times New Roman" w:hAnsi="Times New Roman"/>
          <w:sz w:val="20"/>
          <w:szCs w:val="20"/>
          <w:color w:val="4C4C4E"/>
        </w:rPr>
        <w:t xml:space="preserve">For more information on the investment performance ratings of our portfolio, see </w:t>
      </w:r>
      <w:r>
        <w:rPr>
          <w:rFonts w:ascii="Times New Roman" w:cs="Times New Roman" w:eastAsia="Times New Roman" w:hAnsi="Times New Roman"/>
          <w:sz w:val="20"/>
          <w:szCs w:val="20"/>
          <w:i w:val="1"/>
          <w:iCs w:val="1"/>
          <w:color w:val="4C4C4E"/>
        </w:rPr>
        <w:t>“ITEM 7. MANAGEMENT’S DISCUSSION</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AND ANALYSIS OF FINANCIAL CONDITION AND RESULTS OF OPERATIONS—Portfolio and Investment Activity.”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Investment Review Committee</w:t>
      </w:r>
    </w:p>
    <w:p>
      <w:pPr>
        <w:spacing w:after="0" w:line="124"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Structure of Investments</w:t>
      </w:r>
    </w:p>
    <w:p>
      <w:pPr>
        <w:spacing w:after="0" w:line="124" w:lineRule="exact"/>
        <w:rPr>
          <w:sz w:val="20"/>
          <w:szCs w:val="20"/>
          <w:color w:val="auto"/>
        </w:rPr>
      </w:pPr>
    </w:p>
    <w:p>
      <w:pPr>
        <w:jc w:val="both"/>
        <w:ind w:right="200" w:firstLine="245"/>
        <w:spacing w:after="0" w:line="258" w:lineRule="auto"/>
        <w:rPr>
          <w:sz w:val="20"/>
          <w:szCs w:val="20"/>
          <w:color w:val="auto"/>
        </w:rPr>
      </w:pPr>
      <w:r>
        <w:rPr>
          <w:rFonts w:ascii="Times New Roman" w:cs="Times New Roman" w:eastAsia="Times New Roman" w:hAnsi="Times New Roman"/>
          <w:sz w:val="20"/>
          <w:szCs w:val="20"/>
          <w:color w:val="4C4C4E"/>
        </w:rPr>
        <w:t>Since beginning our investment activities in July 2011, we have sought to generate current income primarily in U.S.-domiciled middle-market companies through direct originations of senior secured loans and, to a lesser extent, originations of mezzanine and unsecured loans and investments in corporate bonds and equity and other investments.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Debt Investments</w:t>
      </w:r>
    </w:p>
    <w:p>
      <w:pPr>
        <w:spacing w:after="0" w:line="118" w:lineRule="exact"/>
        <w:rPr>
          <w:sz w:val="20"/>
          <w:szCs w:val="20"/>
          <w:color w:val="auto"/>
        </w:rPr>
      </w:pPr>
    </w:p>
    <w:p>
      <w:pPr>
        <w:ind w:right="260" w:firstLine="245"/>
        <w:spacing w:after="0" w:line="258" w:lineRule="auto"/>
        <w:rPr>
          <w:sz w:val="20"/>
          <w:szCs w:val="20"/>
          <w:color w:val="auto"/>
        </w:rPr>
      </w:pPr>
      <w:r>
        <w:rPr>
          <w:rFonts w:ascii="Times New Roman" w:cs="Times New Roman" w:eastAsia="Times New Roman" w:hAnsi="Times New Roman"/>
          <w:sz w:val="20"/>
          <w:szCs w:val="20"/>
          <w:color w:val="4C4C4E"/>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79" w:lineRule="exact"/>
        <w:rPr>
          <w:sz w:val="20"/>
          <w:szCs w:val="20"/>
          <w:color w:val="auto"/>
        </w:rPr>
      </w:pPr>
    </w:p>
    <w:p>
      <w:pPr>
        <w:ind w:left="500" w:right="160" w:hanging="251"/>
        <w:spacing w:after="0" w:line="308" w:lineRule="auto"/>
        <w:tabs>
          <w:tab w:leader="none" w:pos="500" w:val="left"/>
        </w:tabs>
        <w:numPr>
          <w:ilvl w:val="0"/>
          <w:numId w:val="17"/>
        </w:numPr>
        <w:rPr>
          <w:rFonts w:ascii="Arial" w:cs="Arial" w:eastAsia="Arial" w:hAnsi="Arial"/>
          <w:sz w:val="19"/>
          <w:szCs w:val="19"/>
          <w:color w:val="4C4C4E"/>
        </w:rPr>
      </w:pPr>
      <w:r>
        <w:rPr>
          <w:rFonts w:ascii="Times New Roman" w:cs="Times New Roman" w:eastAsia="Times New Roman" w:hAnsi="Times New Roman"/>
          <w:sz w:val="19"/>
          <w:szCs w:val="19"/>
          <w:b w:val="1"/>
          <w:bCs w:val="1"/>
          <w:color w:val="4C4C4E"/>
        </w:rPr>
        <w:t xml:space="preserve">First-lien debt. </w:t>
      </w:r>
      <w:r>
        <w:rPr>
          <w:rFonts w:ascii="Times New Roman" w:cs="Times New Roman" w:eastAsia="Times New Roman" w:hAnsi="Times New Roman"/>
          <w:sz w:val="19"/>
          <w:szCs w:val="19"/>
          <w:color w:val="4C4C4E"/>
        </w:rPr>
        <w:t>First-lien debt is typically senior on a lien basis to other liabilities in the issuer’s capital structure and has the</w:t>
      </w:r>
      <w:r>
        <w:rPr>
          <w:rFonts w:ascii="Times New Roman" w:cs="Times New Roman" w:eastAsia="Times New Roman" w:hAnsi="Times New Roman"/>
          <w:sz w:val="19"/>
          <w:szCs w:val="19"/>
          <w:b w:val="1"/>
          <w:bCs w:val="1"/>
          <w:color w:val="4C4C4E"/>
        </w:rPr>
        <w:t xml:space="preserve"> </w:t>
      </w:r>
      <w:r>
        <w:rPr>
          <w:rFonts w:ascii="Times New Roman" w:cs="Times New Roman" w:eastAsia="Times New Roman" w:hAnsi="Times New Roman"/>
          <w:sz w:val="19"/>
          <w:szCs w:val="19"/>
          <w:color w:val="4C4C4E"/>
        </w:rPr>
        <w:t>benefit of a first-priority security interest in assets of the issuer. The security interest ranks above the security interest of any</w:t>
      </w:r>
    </w:p>
    <w:p>
      <w:pPr>
        <w:sectPr>
          <w:pgSz w:w="11880" w:h="15480" w:orient="portrait"/>
          <w:cols w:equalWidth="0" w:num="1">
            <w:col w:w="10660"/>
          </w:cols>
          <w:pgMar w:left="680" w:top="764" w:right="540"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10</w:t>
      </w:r>
    </w:p>
    <w:p>
      <w:pPr>
        <w:sectPr>
          <w:pgSz w:w="11880" w:h="15480" w:orient="portrait"/>
          <w:cols w:equalWidth="0" w:num="1">
            <w:col w:w="10660"/>
          </w:cols>
          <w:pgMar w:left="680" w:top="764" w:right="540" w:bottom="0" w:gutter="0" w:footer="0" w:header="0"/>
          <w:type w:val="continuous"/>
        </w:sectPr>
      </w:pPr>
    </w:p>
    <w:bookmarkStart w:id="10" w:name="page11"/>
    <w:bookmarkEnd w:id="10"/>
    <w:p>
      <w:pPr>
        <w:ind w:left="500" w:right="520"/>
        <w:spacing w:after="0" w:line="277" w:lineRule="auto"/>
        <w:rPr>
          <w:sz w:val="20"/>
          <w:szCs w:val="20"/>
          <w:color w:val="auto"/>
        </w:rPr>
      </w:pPr>
      <w:r>
        <w:rPr>
          <w:rFonts w:ascii="Times New Roman" w:cs="Times New Roman" w:eastAsia="Times New Roman" w:hAnsi="Times New Roman"/>
          <w:sz w:val="20"/>
          <w:szCs w:val="20"/>
          <w:color w:val="4C4C4E"/>
        </w:rPr>
        <w:t>second-lien lenders in those assets. Our first-lien debt may include stand-alone first-lien loans, “last out” first-lien loans, “unitranche” loans and secured corporate bonds with similar features to these categories of first-lien loans.</w:t>
      </w:r>
    </w:p>
    <w:p>
      <w:pPr>
        <w:spacing w:after="0" w:line="60" w:lineRule="exact"/>
        <w:rPr>
          <w:sz w:val="20"/>
          <w:szCs w:val="20"/>
          <w:color w:val="auto"/>
        </w:rPr>
      </w:pPr>
    </w:p>
    <w:p>
      <w:pPr>
        <w:ind w:left="500" w:right="180" w:hanging="251"/>
        <w:spacing w:after="0" w:line="281" w:lineRule="auto"/>
        <w:tabs>
          <w:tab w:leader="none" w:pos="500" w:val="left"/>
        </w:tabs>
        <w:numPr>
          <w:ilvl w:val="0"/>
          <w:numId w:val="18"/>
        </w:numPr>
        <w:rPr>
          <w:rFonts w:ascii="Arial" w:cs="Arial" w:eastAsia="Arial" w:hAnsi="Arial"/>
          <w:sz w:val="20"/>
          <w:szCs w:val="20"/>
          <w:color w:val="4C4C4E"/>
        </w:rPr>
      </w:pPr>
      <w:r>
        <w:rPr>
          <w:rFonts w:ascii="Times New Roman" w:cs="Times New Roman" w:eastAsia="Times New Roman" w:hAnsi="Times New Roman"/>
          <w:sz w:val="20"/>
          <w:szCs w:val="20"/>
          <w:b w:val="1"/>
          <w:bCs w:val="1"/>
          <w:color w:val="4C4C4E"/>
        </w:rPr>
        <w:t xml:space="preserve">Stand-alone first-lien loans. </w:t>
      </w:r>
      <w:r>
        <w:rPr>
          <w:rFonts w:ascii="Times New Roman" w:cs="Times New Roman" w:eastAsia="Times New Roman" w:hAnsi="Times New Roman"/>
          <w:sz w:val="20"/>
          <w:szCs w:val="20"/>
          <w:color w:val="4C4C4E"/>
        </w:rPr>
        <w:t>Stand-alone first-lien loans are traditional first-lien loans. All lenders in the facility have equal</w:t>
      </w:r>
      <w:r>
        <w:rPr>
          <w:rFonts w:ascii="Times New Roman" w:cs="Times New Roman" w:eastAsia="Times New Roman" w:hAnsi="Times New Roman"/>
          <w:sz w:val="20"/>
          <w:szCs w:val="20"/>
          <w:b w:val="1"/>
          <w:bCs w:val="1"/>
          <w:color w:val="4C4C4E"/>
        </w:rPr>
        <w:t xml:space="preserve"> </w:t>
      </w:r>
      <w:r>
        <w:rPr>
          <w:rFonts w:ascii="Times New Roman" w:cs="Times New Roman" w:eastAsia="Times New Roman" w:hAnsi="Times New Roman"/>
          <w:sz w:val="20"/>
          <w:szCs w:val="20"/>
          <w:color w:val="4C4C4E"/>
        </w:rPr>
        <w:t>rights to the collateral that is subject to the first-priority security interest.</w:t>
      </w:r>
    </w:p>
    <w:p>
      <w:pPr>
        <w:spacing w:after="0" w:line="54" w:lineRule="exact"/>
        <w:rPr>
          <w:rFonts w:ascii="Arial" w:cs="Arial" w:eastAsia="Arial" w:hAnsi="Arial"/>
          <w:sz w:val="20"/>
          <w:szCs w:val="20"/>
          <w:color w:val="4C4C4E"/>
        </w:rPr>
      </w:pPr>
    </w:p>
    <w:p>
      <w:pPr>
        <w:ind w:left="500" w:right="40" w:hanging="251"/>
        <w:spacing w:after="0" w:line="245" w:lineRule="auto"/>
        <w:tabs>
          <w:tab w:leader="none" w:pos="500" w:val="left"/>
        </w:tabs>
        <w:numPr>
          <w:ilvl w:val="0"/>
          <w:numId w:val="18"/>
        </w:numPr>
        <w:rPr>
          <w:rFonts w:ascii="Arial" w:cs="Arial" w:eastAsia="Arial" w:hAnsi="Arial"/>
          <w:sz w:val="20"/>
          <w:szCs w:val="20"/>
          <w:color w:val="4C4C4E"/>
        </w:rPr>
      </w:pPr>
      <w:r>
        <w:rPr>
          <w:rFonts w:ascii="Times New Roman" w:cs="Times New Roman" w:eastAsia="Times New Roman" w:hAnsi="Times New Roman"/>
          <w:sz w:val="20"/>
          <w:szCs w:val="20"/>
          <w:b w:val="1"/>
          <w:bCs w:val="1"/>
          <w:color w:val="4C4C4E"/>
        </w:rPr>
        <w:t xml:space="preserve">“Last out” first-lien loans. </w:t>
      </w:r>
      <w:r>
        <w:rPr>
          <w:rFonts w:ascii="Times New Roman" w:cs="Times New Roman" w:eastAsia="Times New Roman" w:hAnsi="Times New Roman"/>
          <w:sz w:val="20"/>
          <w:szCs w:val="20"/>
          <w:color w:val="4C4C4E"/>
        </w:rPr>
        <w:t>“Last out” first-lien loans have a secondary priority behind super-senior “first out” first-lien loans</w:t>
      </w:r>
      <w:r>
        <w:rPr>
          <w:rFonts w:ascii="Times New Roman" w:cs="Times New Roman" w:eastAsia="Times New Roman" w:hAnsi="Times New Roman"/>
          <w:sz w:val="20"/>
          <w:szCs w:val="20"/>
          <w:b w:val="1"/>
          <w:bCs w:val="1"/>
          <w:color w:val="4C4C4E"/>
        </w:rPr>
        <w:t xml:space="preserve"> </w:t>
      </w:r>
      <w:r>
        <w:rPr>
          <w:rFonts w:ascii="Times New Roman" w:cs="Times New Roman" w:eastAsia="Times New Roman" w:hAnsi="Times New Roman"/>
          <w:sz w:val="20"/>
          <w:szCs w:val="20"/>
          <w:color w:val="4C4C4E"/>
        </w:rPr>
        <w:t>in the 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0" w:lineRule="exact"/>
        <w:rPr>
          <w:rFonts w:ascii="Arial" w:cs="Arial" w:eastAsia="Arial" w:hAnsi="Arial"/>
          <w:sz w:val="20"/>
          <w:szCs w:val="20"/>
          <w:color w:val="4C4C4E"/>
        </w:rPr>
      </w:pPr>
    </w:p>
    <w:p>
      <w:pPr>
        <w:ind w:left="500" w:right="60" w:hanging="251"/>
        <w:spacing w:after="0" w:line="253" w:lineRule="auto"/>
        <w:tabs>
          <w:tab w:leader="none" w:pos="500" w:val="left"/>
        </w:tabs>
        <w:numPr>
          <w:ilvl w:val="0"/>
          <w:numId w:val="18"/>
        </w:numPr>
        <w:rPr>
          <w:rFonts w:ascii="Arial" w:cs="Arial" w:eastAsia="Arial" w:hAnsi="Arial"/>
          <w:sz w:val="20"/>
          <w:szCs w:val="20"/>
          <w:color w:val="4C4C4E"/>
        </w:rPr>
      </w:pPr>
      <w:r>
        <w:rPr>
          <w:rFonts w:ascii="Times New Roman" w:cs="Times New Roman" w:eastAsia="Times New Roman" w:hAnsi="Times New Roman"/>
          <w:sz w:val="20"/>
          <w:szCs w:val="20"/>
          <w:b w:val="1"/>
          <w:bCs w:val="1"/>
          <w:color w:val="4C4C4E"/>
        </w:rPr>
        <w:t xml:space="preserve">“Unitranche” loans. </w:t>
      </w:r>
      <w:r>
        <w:rPr>
          <w:rFonts w:ascii="Times New Roman" w:cs="Times New Roman" w:eastAsia="Times New Roman" w:hAnsi="Times New Roman"/>
          <w:sz w:val="20"/>
          <w:szCs w:val="20"/>
          <w:color w:val="4C4C4E"/>
        </w:rPr>
        <w:t>Unitranche loans combine features of first-lien, second-lien and mezzanine debt, generally in a first-lien</w:t>
      </w:r>
      <w:r>
        <w:rPr>
          <w:rFonts w:ascii="Times New Roman" w:cs="Times New Roman" w:eastAsia="Times New Roman" w:hAnsi="Times New Roman"/>
          <w:sz w:val="20"/>
          <w:szCs w:val="20"/>
          <w:b w:val="1"/>
          <w:bCs w:val="1"/>
          <w:color w:val="4C4C4E"/>
        </w:rPr>
        <w:t xml:space="preserve"> </w:t>
      </w:r>
      <w:r>
        <w:rPr>
          <w:rFonts w:ascii="Times New Roman" w:cs="Times New Roman" w:eastAsia="Times New Roman" w:hAnsi="Times New Roman"/>
          <w:sz w:val="20"/>
          <w:szCs w:val="20"/>
          <w:color w:val="4C4C4E"/>
        </w:rPr>
        <w:t>position. In 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83" w:lineRule="exact"/>
        <w:rPr>
          <w:rFonts w:ascii="Arial" w:cs="Arial" w:eastAsia="Arial" w:hAnsi="Arial"/>
          <w:sz w:val="20"/>
          <w:szCs w:val="20"/>
          <w:color w:val="4C4C4E"/>
        </w:rPr>
      </w:pPr>
    </w:p>
    <w:p>
      <w:pPr>
        <w:ind w:left="500" w:right="220" w:hanging="251"/>
        <w:spacing w:after="0" w:line="250" w:lineRule="auto"/>
        <w:tabs>
          <w:tab w:leader="none" w:pos="500" w:val="left"/>
        </w:tabs>
        <w:numPr>
          <w:ilvl w:val="0"/>
          <w:numId w:val="18"/>
        </w:numPr>
        <w:rPr>
          <w:rFonts w:ascii="Arial" w:cs="Arial" w:eastAsia="Arial" w:hAnsi="Arial"/>
          <w:sz w:val="20"/>
          <w:szCs w:val="20"/>
          <w:color w:val="4C4C4E"/>
        </w:rPr>
      </w:pPr>
      <w:r>
        <w:rPr>
          <w:rFonts w:ascii="Times New Roman" w:cs="Times New Roman" w:eastAsia="Times New Roman" w:hAnsi="Times New Roman"/>
          <w:sz w:val="20"/>
          <w:szCs w:val="20"/>
          <w:b w:val="1"/>
          <w:bCs w:val="1"/>
          <w:color w:val="4C4C4E"/>
        </w:rPr>
        <w:t xml:space="preserve">Second-lien debt. </w:t>
      </w:r>
      <w:r>
        <w:rPr>
          <w:rFonts w:ascii="Times New Roman" w:cs="Times New Roman" w:eastAsia="Times New Roman" w:hAnsi="Times New Roman"/>
          <w:sz w:val="20"/>
          <w:szCs w:val="20"/>
          <w:color w:val="4C4C4E"/>
        </w:rPr>
        <w:t>Our second-lien debt may include secured loans, and, to a lesser extent, secured corporate bonds, with a</w:t>
      </w:r>
      <w:r>
        <w:rPr>
          <w:rFonts w:ascii="Times New Roman" w:cs="Times New Roman" w:eastAsia="Times New Roman" w:hAnsi="Times New Roman"/>
          <w:sz w:val="20"/>
          <w:szCs w:val="20"/>
          <w:b w:val="1"/>
          <w:bCs w:val="1"/>
          <w:color w:val="4C4C4E"/>
        </w:rPr>
        <w:t xml:space="preserve"> </w:t>
      </w:r>
      <w:r>
        <w:rPr>
          <w:rFonts w:ascii="Times New Roman" w:cs="Times New Roman" w:eastAsia="Times New Roman" w:hAnsi="Times New Roman"/>
          <w:sz w:val="20"/>
          <w:szCs w:val="20"/>
          <w:color w:val="4C4C4E"/>
        </w:rPr>
        <w:t>secondary priority 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85" w:lineRule="exact"/>
        <w:rPr>
          <w:rFonts w:ascii="Arial" w:cs="Arial" w:eastAsia="Arial" w:hAnsi="Arial"/>
          <w:sz w:val="20"/>
          <w:szCs w:val="20"/>
          <w:color w:val="4C4C4E"/>
        </w:rPr>
      </w:pPr>
    </w:p>
    <w:p>
      <w:pPr>
        <w:ind w:left="500" w:hanging="251"/>
        <w:spacing w:after="0" w:line="244" w:lineRule="auto"/>
        <w:tabs>
          <w:tab w:leader="none" w:pos="500" w:val="left"/>
        </w:tabs>
        <w:numPr>
          <w:ilvl w:val="0"/>
          <w:numId w:val="18"/>
        </w:numPr>
        <w:rPr>
          <w:rFonts w:ascii="Arial" w:cs="Arial" w:eastAsia="Arial" w:hAnsi="Arial"/>
          <w:sz w:val="20"/>
          <w:szCs w:val="20"/>
          <w:color w:val="4C4C4E"/>
        </w:rPr>
      </w:pPr>
      <w:r>
        <w:rPr>
          <w:rFonts w:ascii="Times New Roman" w:cs="Times New Roman" w:eastAsia="Times New Roman" w:hAnsi="Times New Roman"/>
          <w:sz w:val="20"/>
          <w:szCs w:val="20"/>
          <w:b w:val="1"/>
          <w:bCs w:val="1"/>
          <w:color w:val="4C4C4E"/>
        </w:rPr>
        <w:t xml:space="preserve">“Mezzanine” and “Unsecured” debt. </w:t>
      </w:r>
      <w:r>
        <w:rPr>
          <w:rFonts w:ascii="Times New Roman" w:cs="Times New Roman" w:eastAsia="Times New Roman" w:hAnsi="Times New Roman"/>
          <w:sz w:val="20"/>
          <w:szCs w:val="20"/>
          <w:color w:val="4C4C4E"/>
        </w:rPr>
        <w:t>Structurally, mezzanine debt usually ranks subordinate in priority of payment to first-lien and second-lien 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205" w:lineRule="exact"/>
        <w:rPr>
          <w:sz w:val="20"/>
          <w:szCs w:val="20"/>
          <w:color w:val="auto"/>
        </w:rPr>
      </w:pPr>
    </w:p>
    <w:p>
      <w:pPr>
        <w:ind w:right="420" w:firstLine="245"/>
        <w:spacing w:after="0" w:line="277" w:lineRule="auto"/>
        <w:rPr>
          <w:sz w:val="20"/>
          <w:szCs w:val="20"/>
          <w:color w:val="auto"/>
        </w:rPr>
      </w:pPr>
      <w:r>
        <w:rPr>
          <w:rFonts w:ascii="Times New Roman" w:cs="Times New Roman" w:eastAsia="Times New Roman" w:hAnsi="Times New Roman"/>
          <w:sz w:val="20"/>
          <w:szCs w:val="20"/>
          <w:color w:val="4C4C4E"/>
        </w:rPr>
        <w:t>Our debt investments are typically structured with the maximum seniority and collateral that we can reasonably obtain while seeking to achieve our total return target. We seek to limit the downside potential of our investments by:</w:t>
      </w:r>
    </w:p>
    <w:p>
      <w:pPr>
        <w:spacing w:after="0" w:line="64" w:lineRule="exact"/>
        <w:rPr>
          <w:sz w:val="20"/>
          <w:szCs w:val="20"/>
          <w:color w:val="auto"/>
        </w:rPr>
      </w:pPr>
    </w:p>
    <w:p>
      <w:pPr>
        <w:ind w:left="500" w:right="180" w:hanging="251"/>
        <w:spacing w:after="0" w:line="276" w:lineRule="auto"/>
        <w:tabs>
          <w:tab w:leader="none" w:pos="500" w:val="left"/>
        </w:tabs>
        <w:numPr>
          <w:ilvl w:val="0"/>
          <w:numId w:val="19"/>
        </w:numPr>
        <w:rPr>
          <w:rFonts w:ascii="Arial" w:cs="Arial" w:eastAsia="Arial" w:hAnsi="Arial"/>
          <w:sz w:val="20"/>
          <w:szCs w:val="20"/>
          <w:color w:val="4C4C4E"/>
        </w:rPr>
      </w:pPr>
      <w:r>
        <w:rPr>
          <w:rFonts w:ascii="Times New Roman" w:cs="Times New Roman" w:eastAsia="Times New Roman" w:hAnsi="Times New Roman"/>
          <w:sz w:val="20"/>
          <w:szCs w:val="20"/>
          <w:color w:val="4C4C4E"/>
        </w:rPr>
        <w:t>requiring a total return on our investments (including both interest and potential equity appreciation) that compensates us for credit risk; and</w:t>
      </w:r>
    </w:p>
    <w:p>
      <w:pPr>
        <w:spacing w:after="0" w:line="64" w:lineRule="exact"/>
        <w:rPr>
          <w:rFonts w:ascii="Arial" w:cs="Arial" w:eastAsia="Arial" w:hAnsi="Arial"/>
          <w:sz w:val="20"/>
          <w:szCs w:val="20"/>
          <w:color w:val="4C4C4E"/>
        </w:rPr>
      </w:pPr>
    </w:p>
    <w:p>
      <w:pPr>
        <w:ind w:left="500" w:right="80" w:hanging="251"/>
        <w:spacing w:after="0" w:line="252" w:lineRule="auto"/>
        <w:tabs>
          <w:tab w:leader="none" w:pos="500" w:val="left"/>
        </w:tabs>
        <w:numPr>
          <w:ilvl w:val="0"/>
          <w:numId w:val="19"/>
        </w:numPr>
        <w:rPr>
          <w:rFonts w:ascii="Arial" w:cs="Arial" w:eastAsia="Arial" w:hAnsi="Arial"/>
          <w:sz w:val="20"/>
          <w:szCs w:val="20"/>
          <w:color w:val="4C4C4E"/>
        </w:rPr>
      </w:pPr>
      <w:r>
        <w:rPr>
          <w:rFonts w:ascii="Times New Roman" w:cs="Times New Roman" w:eastAsia="Times New Roman" w:hAnsi="Times New Roman"/>
          <w:sz w:val="20"/>
          <w:szCs w:val="20"/>
          <w:color w:val="4C4C4E"/>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93" w:lineRule="exact"/>
        <w:rPr>
          <w:sz w:val="20"/>
          <w:szCs w:val="20"/>
          <w:color w:val="auto"/>
        </w:rPr>
      </w:pPr>
    </w:p>
    <w:p>
      <w:pPr>
        <w:ind w:right="40" w:firstLine="245"/>
        <w:spacing w:after="0" w:line="249" w:lineRule="auto"/>
        <w:rPr>
          <w:sz w:val="20"/>
          <w:szCs w:val="20"/>
          <w:color w:val="auto"/>
        </w:rPr>
      </w:pPr>
      <w:r>
        <w:rPr>
          <w:rFonts w:ascii="Times New Roman" w:cs="Times New Roman" w:eastAsia="Times New Roman" w:hAnsi="Times New Roman"/>
          <w:sz w:val="20"/>
          <w:szCs w:val="20"/>
          <w:color w:val="4C4C4E"/>
        </w:rPr>
        <w:t>Among the types of first-lien debt in which we invest, we generally are able to obtain higher effective interest rates on our “last out” first- 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Equity and Other Investments</w:t>
      </w:r>
    </w:p>
    <w:p>
      <w:pPr>
        <w:spacing w:after="0" w:line="118" w:lineRule="exact"/>
        <w:rPr>
          <w:sz w:val="20"/>
          <w:szCs w:val="20"/>
          <w:color w:val="auto"/>
        </w:rPr>
      </w:pPr>
    </w:p>
    <w:p>
      <w:pPr>
        <w:jc w:val="both"/>
        <w:ind w:right="40" w:firstLine="245"/>
        <w:spacing w:after="0" w:line="258" w:lineRule="auto"/>
        <w:rPr>
          <w:sz w:val="20"/>
          <w:szCs w:val="20"/>
          <w:color w:val="auto"/>
        </w:rPr>
      </w:pPr>
      <w:r>
        <w:rPr>
          <w:rFonts w:ascii="Times New Roman" w:cs="Times New Roman" w:eastAsia="Times New Roman" w:hAnsi="Times New Roman"/>
          <w:sz w:val="20"/>
          <w:szCs w:val="20"/>
          <w:color w:val="4C4C4E"/>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ectPr>
          <w:pgSz w:w="11880" w:h="15480" w:orient="portrait"/>
          <w:cols w:equalWidth="0" w:num="1">
            <w:col w:w="10640"/>
          </w:cols>
          <w:pgMar w:left="68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11</w:t>
      </w:r>
    </w:p>
    <w:p>
      <w:pPr>
        <w:sectPr>
          <w:pgSz w:w="11880" w:h="15480" w:orient="portrait"/>
          <w:cols w:equalWidth="0" w:num="1">
            <w:col w:w="10640"/>
          </w:cols>
          <w:pgMar w:left="680" w:top="750" w:right="56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4C4C4E"/>
        </w:rPr>
        <w:t>Investments</w:t>
      </w:r>
    </w:p>
    <w:p>
      <w:pPr>
        <w:spacing w:after="0" w:line="124" w:lineRule="exact"/>
        <w:rPr>
          <w:sz w:val="20"/>
          <w:szCs w:val="20"/>
          <w:color w:val="auto"/>
        </w:rPr>
      </w:pPr>
    </w:p>
    <w:p>
      <w:pPr>
        <w:ind w:firstLine="245"/>
        <w:spacing w:after="0" w:line="277" w:lineRule="auto"/>
        <w:rPr>
          <w:sz w:val="20"/>
          <w:szCs w:val="20"/>
          <w:color w:val="auto"/>
        </w:rPr>
      </w:pPr>
      <w:r>
        <w:rPr>
          <w:rFonts w:ascii="Times New Roman" w:cs="Times New Roman" w:eastAsia="Times New Roman" w:hAnsi="Times New Roman"/>
          <w:sz w:val="20"/>
          <w:szCs w:val="20"/>
          <w:color w:val="4C4C4E"/>
        </w:rPr>
        <w:t>As of December 31, 2025 and December 31, 2024, we had made investments with an aggregate fair value of $3,347.3 million and $3,518.4 million, respectively, in 143 and 116 portfolio companies, respectively.</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Investments consisted of the following at December 31, 2025 and December 31, 2024:</w:t>
      </w:r>
    </w:p>
    <w:p>
      <w:pPr>
        <w:spacing w:after="0" w:line="36" w:lineRule="exact"/>
        <w:rPr>
          <w:sz w:val="20"/>
          <w:szCs w:val="20"/>
          <w:color w:val="auto"/>
        </w:rPr>
      </w:pPr>
    </w:p>
    <w:tbl>
      <w:tblPr>
        <w:tblLayout w:type="fixed"/>
        <w:tblInd w:w="1060" w:type="dxa"/>
        <w:tblCellMar>
          <w:top w:w="0" w:type="dxa"/>
          <w:left w:w="0" w:type="dxa"/>
          <w:bottom w:w="0" w:type="dxa"/>
          <w:right w:w="0" w:type="dxa"/>
        </w:tblCellMar>
      </w:tblPr>
      <w:tr>
        <w:trPr>
          <w:trHeight w:val="202"/>
        </w:trPr>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4C4C4E"/>
              </w:rPr>
              <w:t>Net Unrealized</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140" w:type="dxa"/>
            <w:vAlign w:val="bottom"/>
          </w:tcPr>
          <w:p>
            <w:pPr>
              <w:spacing w:after="0"/>
              <w:rPr>
                <w:sz w:val="17"/>
                <w:szCs w:val="17"/>
                <w:color w:val="auto"/>
              </w:rPr>
            </w:pPr>
          </w:p>
        </w:tc>
        <w:tc>
          <w:tcPr>
            <w:tcW w:w="1480" w:type="dxa"/>
            <w:vAlign w:val="bottom"/>
          </w:tcPr>
          <w:p>
            <w:pPr>
              <w:jc w:val="right"/>
              <w:ind w:right="103"/>
              <w:spacing w:after="0" w:line="204" w:lineRule="exact"/>
              <w:rPr>
                <w:sz w:val="20"/>
                <w:szCs w:val="20"/>
                <w:color w:val="auto"/>
              </w:rPr>
            </w:pPr>
            <w:r>
              <w:rPr>
                <w:rFonts w:ascii="Times New Roman" w:cs="Times New Roman" w:eastAsia="Times New Roman" w:hAnsi="Times New Roman"/>
                <w:sz w:val="16"/>
                <w:szCs w:val="16"/>
                <w:b w:val="1"/>
                <w:bCs w:val="1"/>
                <w:color w:val="4C4C4E"/>
                <w:w w:val="98"/>
              </w:rPr>
              <w:t xml:space="preserve">Amortized Cost </w:t>
            </w:r>
            <w:r>
              <w:rPr>
                <w:rFonts w:ascii="Times New Roman" w:cs="Times New Roman" w:eastAsia="Times New Roman" w:hAnsi="Times New Roman"/>
                <w:sz w:val="20"/>
                <w:szCs w:val="20"/>
                <w:b w:val="1"/>
                <w:bCs w:val="1"/>
                <w:color w:val="4C4C4E"/>
                <w:w w:val="98"/>
                <w:vertAlign w:val="superscript"/>
              </w:rPr>
              <w:t>(1)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4C4C4E"/>
              </w:rPr>
              <w:t>Fair Value</w:t>
            </w:r>
          </w:p>
        </w:tc>
        <w:tc>
          <w:tcPr>
            <w:tcW w:w="280" w:type="dxa"/>
            <w:vAlign w:val="bottom"/>
          </w:tcPr>
          <w:p>
            <w:pPr>
              <w:spacing w:after="0"/>
              <w:rPr>
                <w:sz w:val="17"/>
                <w:szCs w:val="17"/>
                <w:color w:val="auto"/>
              </w:rPr>
            </w:pPr>
          </w:p>
        </w:tc>
        <w:tc>
          <w:tcPr>
            <w:tcW w:w="18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4C4C4E"/>
              </w:rPr>
              <w:t>Gain (Loss)</w:t>
            </w:r>
          </w:p>
        </w:tc>
      </w:tr>
      <w:tr>
        <w:trPr>
          <w:trHeight w:val="239"/>
        </w:trPr>
        <w:tc>
          <w:tcPr>
            <w:tcW w:w="288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First-lien debt investments</w:t>
            </w:r>
          </w:p>
        </w:tc>
        <w:tc>
          <w:tcPr>
            <w:tcW w:w="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4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2,934.2</w:t>
            </w:r>
          </w:p>
        </w:tc>
        <w:tc>
          <w:tcPr>
            <w:tcW w:w="180" w:type="dxa"/>
            <w:vAlign w:val="bottom"/>
            <w:tcBorders>
              <w:top w:val="single" w:sz="8" w:color="D8EEF4"/>
            </w:tcBorders>
            <w:shd w:val="clear" w:color="auto" w:fill="D8EEF4"/>
          </w:tcPr>
          <w:p>
            <w:pPr>
              <w:spacing w:after="0"/>
              <w:rPr>
                <w:sz w:val="20"/>
                <w:szCs w:val="20"/>
                <w:color w:val="auto"/>
              </w:rPr>
            </w:pPr>
          </w:p>
        </w:tc>
        <w:tc>
          <w:tcPr>
            <w:tcW w:w="220" w:type="dxa"/>
            <w:vAlign w:val="bottom"/>
            <w:tcBorders>
              <w:top w:val="single" w:sz="8" w:color="4C4C4E"/>
            </w:tcBorders>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w w:val="79"/>
              </w:rPr>
              <w:t>$</w:t>
            </w:r>
          </w:p>
        </w:tc>
        <w:tc>
          <w:tcPr>
            <w:tcW w:w="14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2,984.4</w:t>
            </w:r>
          </w:p>
        </w:tc>
        <w:tc>
          <w:tcPr>
            <w:tcW w:w="160" w:type="dxa"/>
            <w:vAlign w:val="bottom"/>
            <w:tcBorders>
              <w:top w:val="single" w:sz="8" w:color="D8EEF4"/>
            </w:tcBorders>
            <w:shd w:val="clear" w:color="auto" w:fill="D8EEF4"/>
          </w:tcPr>
          <w:p>
            <w:pPr>
              <w:spacing w:after="0"/>
              <w:rPr>
                <w:sz w:val="20"/>
                <w:szCs w:val="20"/>
                <w:color w:val="auto"/>
              </w:rPr>
            </w:pPr>
          </w:p>
        </w:tc>
        <w:tc>
          <w:tcPr>
            <w:tcW w:w="280" w:type="dxa"/>
            <w:vAlign w:val="bottom"/>
            <w:tcBorders>
              <w:top w:val="single" w:sz="8" w:color="4C4C4E"/>
            </w:tcBorders>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w w:val="79"/>
              </w:rPr>
              <w:t>$</w:t>
            </w:r>
          </w:p>
        </w:tc>
        <w:tc>
          <w:tcPr>
            <w:tcW w:w="17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50.2</w:t>
            </w:r>
          </w:p>
        </w:tc>
        <w:tc>
          <w:tcPr>
            <w:tcW w:w="100" w:type="dxa"/>
            <w:vAlign w:val="bottom"/>
            <w:tcBorders>
              <w:top w:val="single" w:sz="8" w:color="D8EEF4"/>
            </w:tcBorders>
            <w:shd w:val="clear" w:color="auto" w:fill="D8EEF4"/>
          </w:tcPr>
          <w:p>
            <w:pPr>
              <w:spacing w:after="0"/>
              <w:rPr>
                <w:sz w:val="20"/>
                <w:szCs w:val="20"/>
                <w:color w:val="auto"/>
              </w:rPr>
            </w:pPr>
          </w:p>
        </w:tc>
      </w:tr>
      <w:tr>
        <w:trPr>
          <w:trHeight w:val="244"/>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4C4C4E"/>
              </w:rPr>
              <w:t>Second-lien debt investments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69.6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(38.9)</w:t>
            </w:r>
          </w:p>
        </w:tc>
      </w:tr>
      <w:tr>
        <w:trPr>
          <w:trHeight w:val="244"/>
        </w:trPr>
        <w:tc>
          <w:tcPr>
            <w:tcW w:w="28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Mezzanine debt investments</w:t>
            </w:r>
          </w:p>
        </w:tc>
        <w:tc>
          <w:tcPr>
            <w:tcW w:w="140" w:type="dxa"/>
            <w:vAlign w:val="bottom"/>
            <w:shd w:val="clear" w:color="auto" w:fill="D8EEF4"/>
          </w:tcPr>
          <w:p>
            <w:pPr>
              <w:spacing w:after="0"/>
              <w:rPr>
                <w:sz w:val="21"/>
                <w:szCs w:val="21"/>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61.1</w:t>
            </w:r>
          </w:p>
        </w:tc>
        <w:tc>
          <w:tcPr>
            <w:tcW w:w="18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61.7</w:t>
            </w:r>
          </w:p>
        </w:tc>
        <w:tc>
          <w:tcPr>
            <w:tcW w:w="160" w:type="dxa"/>
            <w:vAlign w:val="bottom"/>
            <w:shd w:val="clear" w:color="auto" w:fill="D8EEF4"/>
          </w:tcPr>
          <w:p>
            <w:pPr>
              <w:spacing w:after="0"/>
              <w:rPr>
                <w:sz w:val="21"/>
                <w:szCs w:val="21"/>
                <w:color w:val="auto"/>
              </w:rPr>
            </w:pPr>
          </w:p>
        </w:tc>
        <w:tc>
          <w:tcPr>
            <w:tcW w:w="280" w:type="dxa"/>
            <w:vAlign w:val="bottom"/>
            <w:shd w:val="clear" w:color="auto" w:fill="D8EEF4"/>
          </w:tcPr>
          <w:p>
            <w:pPr>
              <w:spacing w:after="0"/>
              <w:rPr>
                <w:sz w:val="21"/>
                <w:szCs w:val="21"/>
                <w:color w:val="auto"/>
              </w:rPr>
            </w:pPr>
          </w:p>
        </w:tc>
        <w:tc>
          <w:tcPr>
            <w:tcW w:w="1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100" w:type="dxa"/>
            <w:vAlign w:val="bottom"/>
            <w:shd w:val="clear" w:color="auto" w:fill="D8EEF4"/>
          </w:tcPr>
          <w:p>
            <w:pPr>
              <w:spacing w:after="0"/>
              <w:rPr>
                <w:sz w:val="21"/>
                <w:szCs w:val="21"/>
                <w:color w:val="auto"/>
              </w:rPr>
            </w:pPr>
          </w:p>
        </w:tc>
      </w:tr>
      <w:tr>
        <w:trPr>
          <w:trHeight w:val="244"/>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4C4C4E"/>
              </w:rPr>
              <w:t>Equity and other investments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159.8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172.6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12.8</w:t>
            </w:r>
          </w:p>
        </w:tc>
        <w:tc>
          <w:tcPr>
            <w:tcW w:w="100" w:type="dxa"/>
            <w:vAlign w:val="bottom"/>
          </w:tcPr>
          <w:p>
            <w:pPr>
              <w:spacing w:after="0"/>
              <w:rPr>
                <w:sz w:val="21"/>
                <w:szCs w:val="21"/>
                <w:color w:val="auto"/>
              </w:rPr>
            </w:pPr>
          </w:p>
        </w:tc>
      </w:tr>
      <w:tr>
        <w:trPr>
          <w:trHeight w:val="244"/>
        </w:trPr>
        <w:tc>
          <w:tcPr>
            <w:tcW w:w="28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Structured credit investments</w:t>
            </w:r>
          </w:p>
        </w:tc>
        <w:tc>
          <w:tcPr>
            <w:tcW w:w="140" w:type="dxa"/>
            <w:vAlign w:val="bottom"/>
            <w:shd w:val="clear" w:color="auto" w:fill="D8EEF4"/>
          </w:tcPr>
          <w:p>
            <w:pPr>
              <w:spacing w:after="0"/>
              <w:rPr>
                <w:sz w:val="21"/>
                <w:szCs w:val="21"/>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98.6</w:t>
            </w:r>
          </w:p>
        </w:tc>
        <w:tc>
          <w:tcPr>
            <w:tcW w:w="18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97.9</w:t>
            </w:r>
          </w:p>
        </w:tc>
        <w:tc>
          <w:tcPr>
            <w:tcW w:w="160" w:type="dxa"/>
            <w:vAlign w:val="bottom"/>
            <w:shd w:val="clear" w:color="auto" w:fill="D8EEF4"/>
          </w:tcPr>
          <w:p>
            <w:pPr>
              <w:spacing w:after="0"/>
              <w:rPr>
                <w:sz w:val="21"/>
                <w:szCs w:val="21"/>
                <w:color w:val="auto"/>
              </w:rPr>
            </w:pPr>
          </w:p>
        </w:tc>
        <w:tc>
          <w:tcPr>
            <w:tcW w:w="280" w:type="dxa"/>
            <w:vAlign w:val="bottom"/>
            <w:shd w:val="clear" w:color="auto" w:fill="D8EEF4"/>
          </w:tcPr>
          <w:p>
            <w:pPr>
              <w:spacing w:after="0"/>
              <w:rPr>
                <w:sz w:val="21"/>
                <w:szCs w:val="21"/>
                <w:color w:val="auto"/>
              </w:rPr>
            </w:pPr>
          </w:p>
        </w:tc>
        <w:tc>
          <w:tcPr>
            <w:tcW w:w="180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(0.7)</w:t>
            </w:r>
          </w:p>
        </w:tc>
      </w:tr>
      <w:tr>
        <w:trPr>
          <w:trHeight w:val="239"/>
        </w:trPr>
        <w:tc>
          <w:tcPr>
            <w:tcW w:w="288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Investments</w:t>
            </w:r>
          </w:p>
        </w:tc>
        <w:tc>
          <w:tcPr>
            <w:tcW w:w="14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48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3,323.3</w:t>
            </w:r>
          </w:p>
        </w:tc>
        <w:tc>
          <w:tcPr>
            <w:tcW w:w="180" w:type="dxa"/>
            <w:vAlign w:val="bottom"/>
          </w:tcPr>
          <w:p>
            <w:pPr>
              <w:spacing w:after="0"/>
              <w:rPr>
                <w:sz w:val="20"/>
                <w:szCs w:val="20"/>
                <w:color w:val="auto"/>
              </w:rPr>
            </w:pPr>
          </w:p>
        </w:tc>
        <w:tc>
          <w:tcPr>
            <w:tcW w:w="220" w:type="dxa"/>
            <w:vAlign w:val="bottom"/>
            <w:tcBorders>
              <w:top w:val="single" w:sz="8" w:color="4C4C4E"/>
              <w:bottom w:val="single" w:sz="8" w:color="4C4C4E"/>
            </w:tcBorders>
          </w:tcPr>
          <w:p>
            <w:pPr>
              <w:jc w:val="right"/>
              <w:ind w:right="20"/>
              <w:spacing w:after="0"/>
              <w:rPr>
                <w:sz w:val="20"/>
                <w:szCs w:val="20"/>
                <w:color w:val="auto"/>
              </w:rPr>
            </w:pPr>
            <w:r>
              <w:rPr>
                <w:rFonts w:ascii="Times New Roman" w:cs="Times New Roman" w:eastAsia="Times New Roman" w:hAnsi="Times New Roman"/>
                <w:sz w:val="20"/>
                <w:szCs w:val="20"/>
                <w:color w:val="4C4C4E"/>
                <w:w w:val="79"/>
              </w:rPr>
              <w:t>$</w:t>
            </w:r>
          </w:p>
        </w:tc>
        <w:tc>
          <w:tcPr>
            <w:tcW w:w="140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3,347.3</w:t>
            </w:r>
          </w:p>
        </w:tc>
        <w:tc>
          <w:tcPr>
            <w:tcW w:w="160" w:type="dxa"/>
            <w:vAlign w:val="bottom"/>
          </w:tcPr>
          <w:p>
            <w:pPr>
              <w:spacing w:after="0"/>
              <w:rPr>
                <w:sz w:val="20"/>
                <w:szCs w:val="20"/>
                <w:color w:val="auto"/>
              </w:rPr>
            </w:pPr>
          </w:p>
        </w:tc>
        <w:tc>
          <w:tcPr>
            <w:tcW w:w="280" w:type="dxa"/>
            <w:vAlign w:val="bottom"/>
            <w:tcBorders>
              <w:top w:val="single" w:sz="8" w:color="4C4C4E"/>
              <w:bottom w:val="single" w:sz="8" w:color="4C4C4E"/>
            </w:tcBorders>
          </w:tcPr>
          <w:p>
            <w:pPr>
              <w:jc w:val="right"/>
              <w:ind w:right="80"/>
              <w:spacing w:after="0"/>
              <w:rPr>
                <w:sz w:val="20"/>
                <w:szCs w:val="20"/>
                <w:color w:val="auto"/>
              </w:rPr>
            </w:pPr>
            <w:r>
              <w:rPr>
                <w:rFonts w:ascii="Times New Roman" w:cs="Times New Roman" w:eastAsia="Times New Roman" w:hAnsi="Times New Roman"/>
                <w:sz w:val="20"/>
                <w:szCs w:val="20"/>
                <w:color w:val="4C4C4E"/>
                <w:w w:val="79"/>
              </w:rPr>
              <w:t>$</w:t>
            </w:r>
          </w:p>
        </w:tc>
        <w:tc>
          <w:tcPr>
            <w:tcW w:w="170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24.0</w:t>
            </w:r>
          </w:p>
        </w:tc>
        <w:tc>
          <w:tcPr>
            <w:tcW w:w="100" w:type="dxa"/>
            <w:vAlign w:val="bottom"/>
          </w:tcPr>
          <w:p>
            <w:pPr>
              <w:spacing w:after="0"/>
              <w:rPr>
                <w:sz w:val="20"/>
                <w:szCs w:val="20"/>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1480" w:type="dxa"/>
            <w:vAlign w:val="bottom"/>
            <w:tcBorders>
              <w:bottom w:val="single" w:sz="8" w:color="4C4C4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1400" w:type="dxa"/>
            <w:vAlign w:val="bottom"/>
            <w:tcBorders>
              <w:bottom w:val="single" w:sz="8" w:color="4C4C4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4C4C4E"/>
            </w:tcBorders>
          </w:tcPr>
          <w:p>
            <w:pPr>
              <w:spacing w:after="0" w:line="20" w:lineRule="exact"/>
              <w:rPr>
                <w:sz w:val="1"/>
                <w:szCs w:val="1"/>
                <w:color w:val="auto"/>
              </w:rPr>
            </w:pPr>
          </w:p>
        </w:tc>
        <w:tc>
          <w:tcPr>
            <w:tcW w:w="170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-1259205</wp:posOffset>
            </wp:positionV>
            <wp:extent cx="357441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extLst>
                    </a:blip>
                    <a:srcRect/>
                    <a:stretch>
                      <a:fillRect/>
                    </a:stretch>
                  </pic:blipFill>
                  <pic:spPr bwMode="auto">
                    <a:xfrm>
                      <a:off x="0" y="0"/>
                      <a:ext cx="3574415" cy="38100"/>
                    </a:xfrm>
                    <a:prstGeom prst="rect">
                      <a:avLst/>
                    </a:prstGeom>
                    <a:noFill/>
                  </pic:spPr>
                </pic:pic>
              </a:graphicData>
            </a:graphic>
          </wp:anchor>
        </w:drawing>
      </w:r>
    </w:p>
    <w:p>
      <w:pPr>
        <w:spacing w:after="0" w:line="81" w:lineRule="exact"/>
        <w:rPr>
          <w:sz w:val="20"/>
          <w:szCs w:val="20"/>
          <w:color w:val="auto"/>
        </w:rPr>
      </w:pPr>
    </w:p>
    <w:p>
      <w:pPr>
        <w:ind w:left="500" w:right="440" w:hanging="496"/>
        <w:spacing w:after="0" w:line="277" w:lineRule="auto"/>
        <w:tabs>
          <w:tab w:leader="none" w:pos="500" w:val="left"/>
        </w:tabs>
        <w:numPr>
          <w:ilvl w:val="0"/>
          <w:numId w:val="2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Amortized cost represents the original cost adjusted for the amortization of discounts or premiums, as applicable, on debt investments using the effective interest method.</w:t>
      </w:r>
    </w:p>
    <w:p>
      <w:pPr>
        <w:spacing w:after="0" w:line="159" w:lineRule="exact"/>
        <w:rPr>
          <w:sz w:val="20"/>
          <w:szCs w:val="20"/>
          <w:color w:val="auto"/>
        </w:rPr>
      </w:pPr>
    </w:p>
    <w:tbl>
      <w:tblPr>
        <w:tblLayout w:type="fixed"/>
        <w:tblInd w:w="1060" w:type="dxa"/>
        <w:tblCellMar>
          <w:top w:w="0" w:type="dxa"/>
          <w:left w:w="0" w:type="dxa"/>
          <w:bottom w:w="0" w:type="dxa"/>
          <w:right w:w="0" w:type="dxa"/>
        </w:tblCellMar>
      </w:tblPr>
      <w:tr>
        <w:trPr>
          <w:trHeight w:val="221"/>
        </w:trPr>
        <w:tc>
          <w:tcPr>
            <w:tcW w:w="4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4C4C4E"/>
                <w:w w:val="98"/>
              </w:rPr>
              <w:t>December 31, 2024</w:t>
            </w:r>
          </w:p>
        </w:tc>
        <w:tc>
          <w:tcPr>
            <w:tcW w:w="120" w:type="dxa"/>
            <w:vAlign w:val="bottom"/>
          </w:tcPr>
          <w:p>
            <w:pPr>
              <w:spacing w:after="0"/>
              <w:rPr>
                <w:sz w:val="19"/>
                <w:szCs w:val="19"/>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4C4C4E"/>
                <w:w w:val="99"/>
              </w:rPr>
              <w:t>Net Unrealized</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1280" w:type="dxa"/>
            <w:vAlign w:val="bottom"/>
            <w:gridSpan w:val="3"/>
          </w:tcPr>
          <w:p>
            <w:pPr>
              <w:ind w:left="20"/>
              <w:spacing w:after="0" w:line="204" w:lineRule="exact"/>
              <w:rPr>
                <w:sz w:val="20"/>
                <w:szCs w:val="20"/>
                <w:color w:val="auto"/>
              </w:rPr>
            </w:pPr>
            <w:r>
              <w:rPr>
                <w:rFonts w:ascii="Times New Roman" w:cs="Times New Roman" w:eastAsia="Times New Roman" w:hAnsi="Times New Roman"/>
                <w:sz w:val="16"/>
                <w:szCs w:val="16"/>
                <w:b w:val="1"/>
                <w:bCs w:val="1"/>
                <w:color w:val="4C4C4E"/>
                <w:w w:val="97"/>
              </w:rPr>
              <w:t xml:space="preserve">Amortized Cost </w:t>
            </w:r>
            <w:r>
              <w:rPr>
                <w:rFonts w:ascii="Times New Roman" w:cs="Times New Roman" w:eastAsia="Times New Roman" w:hAnsi="Times New Roman"/>
                <w:sz w:val="20"/>
                <w:szCs w:val="20"/>
                <w:b w:val="1"/>
                <w:bCs w:val="1"/>
                <w:color w:val="4C4C4E"/>
                <w:w w:val="97"/>
                <w:vertAlign w:val="superscript"/>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4C4C4E"/>
              </w:rPr>
              <w:t>Fair Value</w:t>
            </w:r>
          </w:p>
        </w:tc>
        <w:tc>
          <w:tcPr>
            <w:tcW w:w="12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4C4C4E"/>
              </w:rPr>
              <w:t>Gain (Loss)</w:t>
            </w:r>
          </w:p>
        </w:tc>
        <w:tc>
          <w:tcPr>
            <w:tcW w:w="0" w:type="dxa"/>
            <w:vAlign w:val="bottom"/>
          </w:tcPr>
          <w:p>
            <w:pPr>
              <w:spacing w:after="0"/>
              <w:rPr>
                <w:sz w:val="1"/>
                <w:szCs w:val="1"/>
                <w:color w:val="auto"/>
              </w:rPr>
            </w:pPr>
          </w:p>
        </w:tc>
      </w:tr>
      <w:tr>
        <w:trPr>
          <w:trHeight w:val="225"/>
        </w:trPr>
        <w:tc>
          <w:tcPr>
            <w:tcW w:w="428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First-lien debt investments</w:t>
            </w:r>
          </w:p>
        </w:tc>
        <w:tc>
          <w:tcPr>
            <w:tcW w:w="380" w:type="dxa"/>
            <w:vAlign w:val="bottom"/>
            <w:tcBorders>
              <w:top w:val="single" w:sz="8" w:color="4C4C4E"/>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w:t>
            </w:r>
          </w:p>
        </w:tc>
        <w:tc>
          <w:tcPr>
            <w:tcW w:w="8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3,298.0</w:t>
            </w:r>
          </w:p>
        </w:tc>
        <w:tc>
          <w:tcPr>
            <w:tcW w:w="20" w:type="dxa"/>
            <w:vAlign w:val="bottom"/>
            <w:tcBorders>
              <w:top w:val="single" w:sz="8" w:color="D8EEF4"/>
            </w:tcBorders>
            <w:shd w:val="clear" w:color="auto" w:fill="D8EEF4"/>
          </w:tcPr>
          <w:p>
            <w:pPr>
              <w:spacing w:after="0"/>
              <w:rPr>
                <w:sz w:val="19"/>
                <w:szCs w:val="19"/>
                <w:color w:val="auto"/>
              </w:rPr>
            </w:pPr>
          </w:p>
        </w:tc>
        <w:tc>
          <w:tcPr>
            <w:tcW w:w="20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3,302.5</w:t>
            </w:r>
          </w:p>
        </w:tc>
        <w:tc>
          <w:tcPr>
            <w:tcW w:w="200" w:type="dxa"/>
            <w:vAlign w:val="bottom"/>
            <w:tcBorders>
              <w:top w:val="single" w:sz="8" w:color="D8EEF4"/>
            </w:tcBorders>
            <w:shd w:val="clear" w:color="auto" w:fill="D8EEF4"/>
          </w:tcPr>
          <w:p>
            <w:pPr>
              <w:spacing w:after="0"/>
              <w:rPr>
                <w:sz w:val="19"/>
                <w:szCs w:val="19"/>
                <w:color w:val="auto"/>
              </w:rPr>
            </w:pPr>
          </w:p>
        </w:tc>
        <w:tc>
          <w:tcPr>
            <w:tcW w:w="1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1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4.5</w:t>
            </w:r>
          </w:p>
        </w:tc>
        <w:tc>
          <w:tcPr>
            <w:tcW w:w="120" w:type="dxa"/>
            <w:vAlign w:val="bottom"/>
            <w:tcBorders>
              <w:top w:val="single" w:sz="8" w:color="D8EEF4"/>
            </w:tcBorders>
            <w:shd w:val="clear" w:color="auto" w:fill="D8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4C4C4E"/>
              </w:rPr>
              <w:t>Second-lien debt investments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53.2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(33.4)</w:t>
            </w:r>
          </w:p>
        </w:tc>
        <w:tc>
          <w:tcPr>
            <w:tcW w:w="0" w:type="dxa"/>
            <w:vAlign w:val="bottom"/>
          </w:tcPr>
          <w:p>
            <w:pPr>
              <w:spacing w:after="0"/>
              <w:rPr>
                <w:sz w:val="1"/>
                <w:szCs w:val="1"/>
                <w:color w:val="auto"/>
              </w:rPr>
            </w:pPr>
          </w:p>
        </w:tc>
      </w:tr>
      <w:tr>
        <w:trPr>
          <w:trHeight w:val="230"/>
        </w:trPr>
        <w:tc>
          <w:tcPr>
            <w:tcW w:w="42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Mezzanine debt investments</w:t>
            </w:r>
          </w:p>
        </w:tc>
        <w:tc>
          <w:tcPr>
            <w:tcW w:w="380" w:type="dxa"/>
            <w:vAlign w:val="bottom"/>
            <w:shd w:val="clear" w:color="auto" w:fill="D8EEF4"/>
          </w:tcPr>
          <w:p>
            <w:pPr>
              <w:spacing w:after="0"/>
              <w:rPr>
                <w:sz w:val="20"/>
                <w:szCs w:val="20"/>
                <w:color w:val="auto"/>
              </w:rPr>
            </w:pPr>
          </w:p>
        </w:tc>
        <w:tc>
          <w:tcPr>
            <w:tcW w:w="90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37.1</w:t>
            </w:r>
          </w:p>
        </w:tc>
        <w:tc>
          <w:tcPr>
            <w:tcW w:w="20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39.1</w:t>
            </w:r>
          </w:p>
        </w:tc>
        <w:tc>
          <w:tcPr>
            <w:tcW w:w="200" w:type="dxa"/>
            <w:vAlign w:val="bottom"/>
            <w:shd w:val="clear" w:color="auto" w:fill="D8EEF4"/>
          </w:tcPr>
          <w:p>
            <w:pPr>
              <w:spacing w:after="0"/>
              <w:rPr>
                <w:sz w:val="20"/>
                <w:szCs w:val="20"/>
                <w:color w:val="auto"/>
              </w:rPr>
            </w:pPr>
          </w:p>
        </w:tc>
        <w:tc>
          <w:tcPr>
            <w:tcW w:w="120" w:type="dxa"/>
            <w:vAlign w:val="bottom"/>
            <w:shd w:val="clear" w:color="auto" w:fill="D8EEF4"/>
          </w:tcPr>
          <w:p>
            <w:pPr>
              <w:spacing w:after="0"/>
              <w:rPr>
                <w:sz w:val="20"/>
                <w:szCs w:val="20"/>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2.0</w:t>
            </w:r>
          </w:p>
        </w:tc>
        <w:tc>
          <w:tcPr>
            <w:tcW w:w="12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4C4C4E"/>
              </w:rPr>
              <w:t>Equity and other investments</w:t>
            </w:r>
          </w:p>
        </w:tc>
        <w:tc>
          <w:tcPr>
            <w:tcW w:w="3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149.4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155.5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D8EEF4"/>
            </w:tcBorders>
            <w:shd w:val="clear" w:color="auto" w:fill="D8EEF4"/>
          </w:tcPr>
          <w:p>
            <w:pPr>
              <w:spacing w:after="0" w:line="230" w:lineRule="exact"/>
              <w:rPr>
                <w:sz w:val="20"/>
                <w:szCs w:val="20"/>
                <w:color w:val="auto"/>
              </w:rPr>
            </w:pPr>
            <w:r>
              <w:rPr>
                <w:rFonts w:ascii="Times New Roman" w:cs="Times New Roman" w:eastAsia="Times New Roman" w:hAnsi="Times New Roman"/>
                <w:sz w:val="20"/>
                <w:szCs w:val="20"/>
                <w:color w:val="4C4C4E"/>
              </w:rPr>
              <w:t xml:space="preserve">Structured credit investments </w:t>
            </w:r>
            <w:r>
              <w:rPr>
                <w:rFonts w:ascii="Times New Roman" w:cs="Times New Roman" w:eastAsia="Times New Roman" w:hAnsi="Times New Roman"/>
                <w:sz w:val="26"/>
                <w:szCs w:val="26"/>
                <w:color w:val="4C4C4E"/>
                <w:vertAlign w:val="superscript"/>
              </w:rPr>
              <w:t>(2)</w:t>
            </w:r>
          </w:p>
        </w:tc>
        <w:tc>
          <w:tcPr>
            <w:tcW w:w="380" w:type="dxa"/>
            <w:vAlign w:val="bottom"/>
            <w:tcBorders>
              <w:bottom w:val="single" w:sz="8" w:color="4C4C4E"/>
            </w:tcBorders>
            <w:shd w:val="clear" w:color="auto" w:fill="D8EEF4"/>
          </w:tcPr>
          <w:p>
            <w:pPr>
              <w:spacing w:after="0"/>
              <w:rPr>
                <w:sz w:val="21"/>
                <w:szCs w:val="21"/>
                <w:color w:val="auto"/>
              </w:rPr>
            </w:pPr>
          </w:p>
        </w:tc>
        <w:tc>
          <w:tcPr>
            <w:tcW w:w="8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w:t>
            </w:r>
          </w:p>
        </w:tc>
        <w:tc>
          <w:tcPr>
            <w:tcW w:w="20" w:type="dxa"/>
            <w:vAlign w:val="bottom"/>
            <w:tcBorders>
              <w:bottom w:val="single" w:sz="8" w:color="D8EEF4"/>
            </w:tcBorders>
            <w:shd w:val="clear" w:color="auto" w:fill="D8EEF4"/>
          </w:tcPr>
          <w:p>
            <w:pPr>
              <w:spacing w:after="0"/>
              <w:rPr>
                <w:sz w:val="21"/>
                <w:szCs w:val="21"/>
                <w:color w:val="auto"/>
              </w:rPr>
            </w:pPr>
          </w:p>
        </w:tc>
        <w:tc>
          <w:tcPr>
            <w:tcW w:w="200" w:type="dxa"/>
            <w:vAlign w:val="bottom"/>
            <w:tcBorders>
              <w:bottom w:val="single" w:sz="8" w:color="D8EEF4"/>
            </w:tcBorders>
            <w:shd w:val="clear" w:color="auto" w:fill="D8EEF4"/>
          </w:tcPr>
          <w:p>
            <w:pPr>
              <w:spacing w:after="0"/>
              <w:rPr>
                <w:sz w:val="21"/>
                <w:szCs w:val="21"/>
                <w:color w:val="auto"/>
              </w:rPr>
            </w:pPr>
          </w:p>
        </w:tc>
        <w:tc>
          <w:tcPr>
            <w:tcW w:w="160" w:type="dxa"/>
            <w:vAlign w:val="bottom"/>
            <w:tcBorders>
              <w:bottom w:val="single" w:sz="8" w:color="4C4C4E"/>
            </w:tcBorders>
            <w:shd w:val="clear" w:color="auto" w:fill="D8EEF4"/>
          </w:tcPr>
          <w:p>
            <w:pPr>
              <w:spacing w:after="0"/>
              <w:rPr>
                <w:sz w:val="21"/>
                <w:szCs w:val="21"/>
                <w:color w:val="auto"/>
              </w:rPr>
            </w:pPr>
          </w:p>
        </w:tc>
        <w:tc>
          <w:tcPr>
            <w:tcW w:w="10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w:t>
            </w:r>
          </w:p>
        </w:tc>
        <w:tc>
          <w:tcPr>
            <w:tcW w:w="200" w:type="dxa"/>
            <w:vAlign w:val="bottom"/>
            <w:tcBorders>
              <w:bottom w:val="single" w:sz="8" w:color="D8EEF4"/>
            </w:tcBorders>
            <w:shd w:val="clear" w:color="auto" w:fill="D8EEF4"/>
          </w:tcPr>
          <w:p>
            <w:pPr>
              <w:spacing w:after="0"/>
              <w:rPr>
                <w:sz w:val="21"/>
                <w:szCs w:val="21"/>
                <w:color w:val="auto"/>
              </w:rPr>
            </w:pPr>
          </w:p>
        </w:tc>
        <w:tc>
          <w:tcPr>
            <w:tcW w:w="120" w:type="dxa"/>
            <w:vAlign w:val="bottom"/>
            <w:tcBorders>
              <w:bottom w:val="single" w:sz="8" w:color="4C4C4E"/>
            </w:tcBorders>
            <w:shd w:val="clear" w:color="auto" w:fill="D8EEF4"/>
          </w:tcPr>
          <w:p>
            <w:pPr>
              <w:spacing w:after="0"/>
              <w:rPr>
                <w:sz w:val="21"/>
                <w:szCs w:val="21"/>
                <w:color w:val="auto"/>
              </w:rPr>
            </w:pPr>
          </w:p>
        </w:tc>
        <w:tc>
          <w:tcPr>
            <w:tcW w:w="11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w:t>
            </w:r>
          </w:p>
        </w:tc>
        <w:tc>
          <w:tcPr>
            <w:tcW w:w="120" w:type="dxa"/>
            <w:vAlign w:val="bottom"/>
            <w:tcBorders>
              <w:bottom w:val="single" w:sz="8" w:color="D8EEF4"/>
            </w:tcBorders>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8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b w:val="1"/>
                <w:bCs w:val="1"/>
                <w:color w:val="4C4C4E"/>
              </w:rPr>
              <w:t>Total Investments</w:t>
            </w:r>
          </w:p>
        </w:tc>
        <w:tc>
          <w:tcPr>
            <w:tcW w:w="3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4C4C4E"/>
              </w:rPr>
              <w:t>$</w:t>
            </w:r>
          </w:p>
        </w:tc>
        <w:tc>
          <w:tcPr>
            <w:tcW w:w="88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4C4C4E"/>
              </w:rPr>
              <w:t>3,539.2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4C4C4E"/>
              </w:rPr>
              <w:t>3,518.4</w:t>
            </w:r>
          </w:p>
        </w:tc>
        <w:tc>
          <w:tcPr>
            <w:tcW w:w="20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126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20"/>
                <w:szCs w:val="20"/>
                <w:color w:val="4C4C4E"/>
              </w:rPr>
              <w:t>(20.8)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80" w:type="dxa"/>
            <w:vAlign w:val="bottom"/>
            <w:tcBorders>
              <w:top w:val="single" w:sz="8" w:color="4C4C4E"/>
              <w:bottom w:val="single" w:sz="8" w:color="4C4C4E"/>
            </w:tcBorders>
          </w:tcPr>
          <w:p>
            <w:pPr>
              <w:spacing w:after="0" w:line="20" w:lineRule="exact"/>
              <w:rPr>
                <w:sz w:val="1"/>
                <w:szCs w:val="1"/>
                <w:color w:val="auto"/>
              </w:rPr>
            </w:pPr>
          </w:p>
        </w:tc>
        <w:tc>
          <w:tcPr>
            <w:tcW w:w="88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4C4C4E"/>
              <w:bottom w:val="single" w:sz="8" w:color="4C4C4E"/>
            </w:tcBorders>
          </w:tcPr>
          <w:p>
            <w:pPr>
              <w:spacing w:after="0" w:line="20" w:lineRule="exact"/>
              <w:rPr>
                <w:sz w:val="1"/>
                <w:szCs w:val="1"/>
                <w:color w:val="auto"/>
              </w:rPr>
            </w:pPr>
          </w:p>
        </w:tc>
        <w:tc>
          <w:tcPr>
            <w:tcW w:w="1040" w:type="dxa"/>
            <w:vAlign w:val="bottom"/>
            <w:tcBorders>
              <w:top w:val="single" w:sz="8" w:color="4C4C4E"/>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4C4C4E"/>
              <w:bottom w:val="single" w:sz="8" w:color="4C4C4E"/>
            </w:tcBorders>
          </w:tcPr>
          <w:p>
            <w:pPr>
              <w:spacing w:after="0" w:line="20" w:lineRule="exact"/>
              <w:rPr>
                <w:sz w:val="1"/>
                <w:szCs w:val="1"/>
                <w:color w:val="auto"/>
              </w:rPr>
            </w:pPr>
          </w:p>
        </w:tc>
        <w:tc>
          <w:tcPr>
            <w:tcW w:w="1140" w:type="dxa"/>
            <w:vAlign w:val="bottom"/>
            <w:tcBorders>
              <w:top w:val="single" w:sz="8" w:color="4C4C4E"/>
              <w:bottom w:val="single" w:sz="8" w:color="4C4C4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-1180465</wp:posOffset>
            </wp:positionV>
            <wp:extent cx="266446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2664460" cy="38100"/>
                    </a:xfrm>
                    <a:prstGeom prst="rect">
                      <a:avLst/>
                    </a:prstGeom>
                    <a:noFill/>
                  </pic:spPr>
                </pic:pic>
              </a:graphicData>
            </a:graphic>
          </wp:anchor>
        </w:drawing>
      </w:r>
    </w:p>
    <w:p>
      <w:pPr>
        <w:spacing w:after="0" w:line="191" w:lineRule="exact"/>
        <w:rPr>
          <w:sz w:val="20"/>
          <w:szCs w:val="20"/>
          <w:color w:val="auto"/>
        </w:rPr>
      </w:pPr>
    </w:p>
    <w:p>
      <w:pPr>
        <w:ind w:left="500" w:right="440" w:hanging="496"/>
        <w:spacing w:after="0" w:line="254" w:lineRule="auto"/>
        <w:tabs>
          <w:tab w:leader="none" w:pos="500" w:val="left"/>
        </w:tabs>
        <w:numPr>
          <w:ilvl w:val="0"/>
          <w:numId w:val="2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Amortized cost represents the original cost adjusted for the amortization of discounts or premiums, as applicable, on debt investments using the effective interest method.</w:t>
      </w:r>
    </w:p>
    <w:p>
      <w:pPr>
        <w:spacing w:after="0" w:line="1" w:lineRule="exact"/>
        <w:rPr>
          <w:rFonts w:ascii="Times New Roman" w:cs="Times New Roman" w:eastAsia="Times New Roman" w:hAnsi="Times New Roman"/>
          <w:sz w:val="20"/>
          <w:szCs w:val="20"/>
          <w:color w:val="4C4C4E"/>
        </w:rPr>
      </w:pPr>
    </w:p>
    <w:p>
      <w:pPr>
        <w:ind w:left="500" w:hanging="496"/>
        <w:spacing w:after="0"/>
        <w:tabs>
          <w:tab w:leader="none" w:pos="500" w:val="left"/>
        </w:tabs>
        <w:numPr>
          <w:ilvl w:val="0"/>
          <w:numId w:val="2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Amounts round to less than $0.1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The industry composition of investments at fair value at December 31, 2025 and December 31, 2024 was as follows:</w:t>
      </w:r>
    </w:p>
    <w:p>
      <w:pPr>
        <w:spacing w:after="0" w:line="244" w:lineRule="exact"/>
        <w:rPr>
          <w:sz w:val="20"/>
          <w:szCs w:val="20"/>
          <w:color w:val="auto"/>
        </w:rPr>
      </w:pPr>
    </w:p>
    <w:tbl>
      <w:tblPr>
        <w:tblLayout w:type="fixed"/>
        <w:tblInd w:w="1060" w:type="dxa"/>
        <w:tblCellMar>
          <w:top w:w="0" w:type="dxa"/>
          <w:left w:w="0" w:type="dxa"/>
          <w:bottom w:w="0" w:type="dxa"/>
          <w:right w:w="0" w:type="dxa"/>
        </w:tblCellMar>
      </w:tblPr>
      <w:tr>
        <w:trPr>
          <w:trHeight w:val="203"/>
        </w:trPr>
        <w:tc>
          <w:tcPr>
            <w:tcW w:w="5140" w:type="dxa"/>
            <w:vAlign w:val="bottom"/>
            <w:tcBorders>
              <w:bottom w:val="single" w:sz="8" w:color="D8EEF4"/>
            </w:tcBorders>
          </w:tcPr>
          <w:p>
            <w:pPr>
              <w:spacing w:after="0"/>
              <w:rPr>
                <w:sz w:val="17"/>
                <w:szCs w:val="17"/>
                <w:color w:val="auto"/>
              </w:rPr>
            </w:pPr>
          </w:p>
        </w:tc>
        <w:tc>
          <w:tcPr>
            <w:tcW w:w="134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420" w:type="dxa"/>
            <w:vAlign w:val="bottom"/>
            <w:tcBorders>
              <w:bottom w:val="single" w:sz="8" w:color="D8EEF4"/>
            </w:tcBorders>
          </w:tcPr>
          <w:p>
            <w:pPr>
              <w:spacing w:after="0"/>
              <w:rPr>
                <w:sz w:val="17"/>
                <w:szCs w:val="17"/>
                <w:color w:val="auto"/>
              </w:rPr>
            </w:pPr>
          </w:p>
        </w:tc>
        <w:tc>
          <w:tcPr>
            <w:tcW w:w="1360" w:type="dxa"/>
            <w:vAlign w:val="bottom"/>
            <w:tcBorders>
              <w:bottom w:val="single" w:sz="8" w:color="4C4C4E"/>
            </w:tcBorders>
          </w:tcPr>
          <w:p>
            <w:pPr>
              <w:ind w:left="2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Automotive</w:t>
            </w:r>
          </w:p>
        </w:tc>
        <w:tc>
          <w:tcPr>
            <w:tcW w:w="13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420" w:type="dxa"/>
            <w:vAlign w:val="bottom"/>
            <w:tcBorders>
              <w:right w:val="single" w:sz="8" w:color="D8EEF4"/>
            </w:tcBorders>
            <w:shd w:val="clear" w:color="auto" w:fill="D8EEF4"/>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1.2%</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Business Services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13.4%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13.3%</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Chemicals</w:t>
            </w:r>
          </w:p>
        </w:tc>
        <w:tc>
          <w:tcPr>
            <w:tcW w:w="1760" w:type="dxa"/>
            <w:vAlign w:val="bottom"/>
            <w:tcBorders>
              <w:right w:val="single" w:sz="8" w:color="D8EEF4"/>
            </w:tcBorders>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1.2%</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0.9%</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Communications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1.5%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3.5%</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Education</w:t>
            </w:r>
          </w:p>
        </w:tc>
        <w:tc>
          <w:tcPr>
            <w:tcW w:w="1760" w:type="dxa"/>
            <w:vAlign w:val="bottom"/>
            <w:tcBorders>
              <w:right w:val="single" w:sz="8" w:color="D8EEF4"/>
            </w:tcBorders>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3.1%</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5.0%</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Electronics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0.8%</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0.8%</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Financial Services</w:t>
            </w:r>
          </w:p>
        </w:tc>
        <w:tc>
          <w:tcPr>
            <w:tcW w:w="1760" w:type="dxa"/>
            <w:vAlign w:val="bottom"/>
            <w:tcBorders>
              <w:right w:val="single" w:sz="8" w:color="D8EEF4"/>
            </w:tcBorders>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3.5%</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8.6%</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Healthcare</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9.0%</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7.5%</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Hotel, Gaming and Leisure</w:t>
            </w:r>
          </w:p>
        </w:tc>
        <w:tc>
          <w:tcPr>
            <w:tcW w:w="1760" w:type="dxa"/>
            <w:vAlign w:val="bottom"/>
            <w:tcBorders>
              <w:right w:val="single" w:sz="8" w:color="D8EEF4"/>
            </w:tcBorders>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8.0%</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7.4%</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Human Resource Support Services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9.0%</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10.2%</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Insurance</w:t>
            </w:r>
          </w:p>
        </w:tc>
        <w:tc>
          <w:tcPr>
            <w:tcW w:w="1760" w:type="dxa"/>
            <w:vAlign w:val="bottom"/>
            <w:tcBorders>
              <w:right w:val="single" w:sz="8" w:color="D8EEF4"/>
            </w:tcBorders>
            <w:gridSpan w:val="2"/>
            <w:shd w:val="clear" w:color="auto" w:fill="D8EEF4"/>
          </w:tcPr>
          <w:p>
            <w:pPr>
              <w:jc w:val="right"/>
              <w:ind w:right="420"/>
              <w:spacing w:after="0"/>
              <w:rPr>
                <w:sz w:val="20"/>
                <w:szCs w:val="20"/>
                <w:color w:val="auto"/>
              </w:rPr>
            </w:pPr>
            <w:r>
              <w:rPr>
                <w:rFonts w:ascii="Times New Roman" w:cs="Times New Roman" w:eastAsia="Times New Roman" w:hAnsi="Times New Roman"/>
                <w:sz w:val="20"/>
                <w:szCs w:val="20"/>
                <w:color w:val="4C4C4E"/>
              </w:rPr>
              <w:t>—</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0.2%</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Internet Services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18.3%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16.4%</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Manufacturing</w:t>
            </w:r>
          </w:p>
        </w:tc>
        <w:tc>
          <w:tcPr>
            <w:tcW w:w="1760" w:type="dxa"/>
            <w:vAlign w:val="bottom"/>
            <w:tcBorders>
              <w:right w:val="single" w:sz="8" w:color="D8EEF4"/>
            </w:tcBorders>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1.2%</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3.5%</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Marketing Services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0.3%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0.3%</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Office Products</w:t>
            </w:r>
          </w:p>
        </w:tc>
        <w:tc>
          <w:tcPr>
            <w:tcW w:w="1760" w:type="dxa"/>
            <w:vAlign w:val="bottom"/>
            <w:tcBorders>
              <w:right w:val="single" w:sz="8" w:color="D8EEF4"/>
            </w:tcBorders>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0.3%</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0.4%</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Oil, Gas and Consumable Fuels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2.8%</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2.7%</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Other</w:t>
            </w:r>
          </w:p>
        </w:tc>
        <w:tc>
          <w:tcPr>
            <w:tcW w:w="1760" w:type="dxa"/>
            <w:vAlign w:val="bottom"/>
            <w:tcBorders>
              <w:right w:val="single" w:sz="8" w:color="D8EEF4"/>
            </w:tcBorders>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5.3%</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1.9%</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Pharmaceuticals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2.7%</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2.9%</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line="243" w:lineRule="exact"/>
              <w:rPr>
                <w:sz w:val="20"/>
                <w:szCs w:val="20"/>
                <w:color w:val="auto"/>
              </w:rPr>
            </w:pPr>
            <w:r>
              <w:rPr>
                <w:rFonts w:ascii="Times New Roman" w:cs="Times New Roman" w:eastAsia="Times New Roman" w:hAnsi="Times New Roman"/>
                <w:sz w:val="20"/>
                <w:szCs w:val="20"/>
                <w:color w:val="4C4C4E"/>
              </w:rPr>
              <w:t xml:space="preserve">Real Estate </w:t>
            </w:r>
            <w:r>
              <w:rPr>
                <w:rFonts w:ascii="Times New Roman" w:cs="Times New Roman" w:eastAsia="Times New Roman" w:hAnsi="Times New Roman"/>
                <w:sz w:val="26"/>
                <w:szCs w:val="26"/>
                <w:color w:val="4C4C4E"/>
                <w:vertAlign w:val="superscript"/>
              </w:rPr>
              <w:t>(1)</w:t>
            </w:r>
          </w:p>
        </w:tc>
        <w:tc>
          <w:tcPr>
            <w:tcW w:w="1760" w:type="dxa"/>
            <w:vAlign w:val="bottom"/>
            <w:tcBorders>
              <w:right w:val="single" w:sz="8" w:color="D8EEF4"/>
            </w:tcBorders>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0.0%</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0.0%</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4C4C4E"/>
              </w:rPr>
              <w:t>Retail and Consumer Products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11.6%</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9.7%</w:t>
            </w:r>
          </w:p>
        </w:tc>
        <w:tc>
          <w:tcPr>
            <w:tcW w:w="0" w:type="dxa"/>
            <w:vAlign w:val="bottom"/>
          </w:tcPr>
          <w:p>
            <w:pPr>
              <w:spacing w:after="0"/>
              <w:rPr>
                <w:sz w:val="1"/>
                <w:szCs w:val="1"/>
                <w:color w:val="auto"/>
              </w:rPr>
            </w:pPr>
          </w:p>
        </w:tc>
      </w:tr>
      <w:tr>
        <w:trPr>
          <w:trHeight w:val="244"/>
        </w:trPr>
        <w:tc>
          <w:tcPr>
            <w:tcW w:w="51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Transportation</w:t>
            </w:r>
          </w:p>
        </w:tc>
        <w:tc>
          <w:tcPr>
            <w:tcW w:w="1760" w:type="dxa"/>
            <w:vAlign w:val="bottom"/>
            <w:tcBorders>
              <w:right w:val="single" w:sz="8" w:color="D8EEF4"/>
            </w:tcBorders>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8.0%</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3.6%</w:t>
            </w:r>
          </w:p>
        </w:tc>
        <w:tc>
          <w:tcPr>
            <w:tcW w:w="0" w:type="dxa"/>
            <w:vAlign w:val="bottom"/>
          </w:tcPr>
          <w:p>
            <w:pPr>
              <w:spacing w:after="0"/>
              <w:rPr>
                <w:sz w:val="1"/>
                <w:szCs w:val="1"/>
                <w:color w:val="auto"/>
              </w:rPr>
            </w:pPr>
          </w:p>
        </w:tc>
      </w:tr>
      <w:tr>
        <w:trPr>
          <w:trHeight w:val="20"/>
        </w:trPr>
        <w:tc>
          <w:tcPr>
            <w:tcW w:w="5140" w:type="dxa"/>
            <w:vAlign w:val="bottom"/>
            <w:tcBorders>
              <w:top w:val="single" w:sz="8" w:color="D8EEF4"/>
            </w:tcBorders>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1340" w:type="dxa"/>
            <w:vAlign w:val="bottom"/>
            <w:tcBorders>
              <w:top w:val="single" w:sz="8" w:color="4C4C4E"/>
            </w:tcBorders>
            <w:shd w:val="clear" w:color="auto" w:fill="4C4C4E"/>
          </w:tcPr>
          <w:p>
            <w:pPr>
              <w:spacing w:after="0" w:line="20" w:lineRule="exact"/>
              <w:rPr>
                <w:sz w:val="1"/>
                <w:szCs w:val="1"/>
                <w:color w:val="auto"/>
              </w:rPr>
            </w:pPr>
          </w:p>
        </w:tc>
        <w:tc>
          <w:tcPr>
            <w:tcW w:w="420" w:type="dxa"/>
            <w:vAlign w:val="bottom"/>
            <w:tcBorders>
              <w:top w:val="single" w:sz="8" w:color="D8EEF4"/>
              <w:right w:val="single" w:sz="8" w:color="4C4C4E"/>
            </w:tcBorders>
          </w:tcPr>
          <w:p>
            <w:pPr>
              <w:spacing w:after="0" w:line="20" w:lineRule="exact"/>
              <w:rPr>
                <w:sz w:val="1"/>
                <w:szCs w:val="1"/>
                <w:color w:val="auto"/>
              </w:rPr>
            </w:pPr>
          </w:p>
        </w:tc>
        <w:tc>
          <w:tcPr>
            <w:tcW w:w="1360" w:type="dxa"/>
            <w:vAlign w:val="bottom"/>
            <w:tcBorders>
              <w:top w:val="single" w:sz="8" w:color="4C4C4E"/>
            </w:tcBorders>
            <w:shd w:val="clear" w:color="auto" w:fill="4C4C4E"/>
          </w:tcPr>
          <w:p>
            <w:pPr>
              <w:spacing w:after="0" w:line="20" w:lineRule="exact"/>
              <w:rPr>
                <w:sz w:val="1"/>
                <w:szCs w:val="1"/>
                <w:color w:val="auto"/>
              </w:rPr>
            </w:pPr>
          </w:p>
        </w:tc>
        <w:tc>
          <w:tcPr>
            <w:tcW w:w="280" w:type="dxa"/>
            <w:vAlign w:val="bottom"/>
            <w:tcBorders>
              <w:top w:val="single" w:sz="8" w:color="D8EE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vMerge w:val="continue"/>
          </w:tcPr>
          <w:p>
            <w:pPr>
              <w:spacing w:after="0"/>
              <w:rPr>
                <w:sz w:val="19"/>
                <w:szCs w:val="19"/>
                <w:color w:val="auto"/>
              </w:rPr>
            </w:pPr>
          </w:p>
        </w:tc>
        <w:tc>
          <w:tcPr>
            <w:tcW w:w="1760" w:type="dxa"/>
            <w:vAlign w:val="bottom"/>
            <w:gridSpan w:val="2"/>
          </w:tcPr>
          <w:p>
            <w:pPr>
              <w:jc w:val="right"/>
              <w:ind w:right="240"/>
              <w:spacing w:after="0" w:line="219" w:lineRule="exact"/>
              <w:rPr>
                <w:sz w:val="20"/>
                <w:szCs w:val="20"/>
                <w:color w:val="auto"/>
              </w:rPr>
            </w:pPr>
            <w:r>
              <w:rPr>
                <w:rFonts w:ascii="Times New Roman" w:cs="Times New Roman" w:eastAsia="Times New Roman" w:hAnsi="Times New Roman"/>
                <w:sz w:val="20"/>
                <w:szCs w:val="20"/>
                <w:color w:val="4C4C4E"/>
              </w:rPr>
              <w:t>100.0%</w:t>
            </w:r>
          </w:p>
        </w:tc>
        <w:tc>
          <w:tcPr>
            <w:tcW w:w="164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4C4C4E"/>
              </w:rPr>
              <w:t>100.0%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340" w:type="dxa"/>
            <w:vAlign w:val="bottom"/>
            <w:tcBorders>
              <w:top w:val="single" w:sz="8" w:color="4C4C4E"/>
              <w:bottom w:val="single" w:sz="8" w:color="4C4C4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top w:val="single" w:sz="8" w:color="4C4C4E"/>
              <w:bottom w:val="single" w:sz="8" w:color="4C4C4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5036820</wp:posOffset>
                </wp:positionH>
                <wp:positionV relativeFrom="paragraph">
                  <wp:posOffset>-3446145</wp:posOffset>
                </wp:positionV>
                <wp:extent cx="878840" cy="15494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840" cy="154940"/>
                        </a:xfrm>
                        <a:prstGeom prst="rect">
                          <a:avLst/>
                        </a:prstGeom>
                        <a:solidFill>
                          <a:srgbClr val="D8EEF4"/>
                        </a:solidFill>
                      </wps:spPr>
                      <wps:bodyPr/>
                    </wps:wsp>
                  </a:graphicData>
                </a:graphic>
              </wp:anchor>
            </w:drawing>
          </mc:Choice>
          <mc:Fallback>
            <w:pict>
              <v:rect id="Shape 11" o:spid="_x0000_s1036" style="position:absolute;margin-left:396.6pt;margin-top:-271.3499pt;width:69.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5915660</wp:posOffset>
                </wp:positionH>
                <wp:positionV relativeFrom="paragraph">
                  <wp:posOffset>-3455670</wp:posOffset>
                </wp:positionV>
                <wp:extent cx="176530" cy="16446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530" cy="164465"/>
                        </a:xfrm>
                        <a:prstGeom prst="rect">
                          <a:avLst/>
                        </a:prstGeom>
                        <a:solidFill>
                          <a:srgbClr val="D8EEF4"/>
                        </a:solidFill>
                      </wps:spPr>
                      <wps:bodyPr/>
                    </wps:wsp>
                  </a:graphicData>
                </a:graphic>
              </wp:anchor>
            </w:drawing>
          </mc:Choice>
          <mc:Fallback>
            <w:pict>
              <v:rect id="Shape 12" o:spid="_x0000_s1037" style="position:absolute;margin-left:465.8pt;margin-top:-272.0999pt;width:13.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ectPr>
          <w:pgSz w:w="11880" w:h="15480" w:orient="portrait"/>
          <w:cols w:equalWidth="0" w:num="1">
            <w:col w:w="10640"/>
          </w:cols>
          <w:pgMar w:left="680" w:top="746" w:right="560" w:bottom="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12</w:t>
      </w:r>
    </w:p>
    <w:p>
      <w:pPr>
        <w:sectPr>
          <w:pgSz w:w="11880" w:h="15480" w:orient="portrait"/>
          <w:cols w:equalWidth="0" w:num="1">
            <w:col w:w="10640"/>
          </w:cols>
          <w:pgMar w:left="680" w:top="746" w:right="560" w:bottom="0" w:gutter="0" w:footer="0" w:header="0"/>
          <w:type w:val="continuous"/>
        </w:sectPr>
      </w:pPr>
    </w:p>
    <w:bookmarkStart w:id="12" w:name="page13"/>
    <w:bookmarkEnd w:id="12"/>
    <w:p>
      <w:pPr>
        <w:ind w:left="500" w:hanging="496"/>
        <w:spacing w:after="0"/>
        <w:tabs>
          <w:tab w:leader="none" w:pos="500" w:val="left"/>
        </w:tabs>
        <w:numPr>
          <w:ilvl w:val="0"/>
          <w:numId w:val="2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Value sums to less than 0.1%.</w:t>
      </w:r>
    </w:p>
    <w:p>
      <w:pPr>
        <w:spacing w:after="0" w:line="230" w:lineRule="exact"/>
        <w:rPr>
          <w:sz w:val="20"/>
          <w:szCs w:val="20"/>
          <w:color w:val="auto"/>
        </w:rPr>
      </w:pPr>
    </w:p>
    <w:p>
      <w:pPr>
        <w:ind w:firstLine="245"/>
        <w:spacing w:after="0" w:line="277" w:lineRule="auto"/>
        <w:rPr>
          <w:sz w:val="20"/>
          <w:szCs w:val="20"/>
          <w:color w:val="auto"/>
        </w:rPr>
      </w:pPr>
      <w:r>
        <w:rPr>
          <w:rFonts w:ascii="Times New Roman" w:cs="Times New Roman" w:eastAsia="Times New Roman" w:hAnsi="Times New Roman"/>
          <w:sz w:val="20"/>
          <w:szCs w:val="20"/>
          <w:color w:val="4C4C4E"/>
        </w:rPr>
        <w:t>We classify the industries of our portfolio companies by end-market (such as Internet Services, and Business Services) and not by the product or services (such as Software) directed to those end-markets.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geographic composition of investments at fair value at December 31, 2025 and December 31, 2024 was as follows:</w:t>
      </w:r>
    </w:p>
    <w:p>
      <w:pPr>
        <w:spacing w:after="0" w:line="290" w:lineRule="exact"/>
        <w:rPr>
          <w:sz w:val="20"/>
          <w:szCs w:val="20"/>
          <w:color w:val="auto"/>
        </w:rPr>
      </w:pPr>
    </w:p>
    <w:tbl>
      <w:tblPr>
        <w:tblLayout w:type="fixed"/>
        <w:tblInd w:w="10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4C4C4E"/>
                <w:w w:val="98"/>
              </w:rPr>
              <w:t>December 31, 2025</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0" w:type="dxa"/>
            <w:vAlign w:val="bottom"/>
          </w:tcPr>
          <w:p>
            <w:pPr>
              <w:spacing w:after="0"/>
              <w:rPr>
                <w:sz w:val="1"/>
                <w:szCs w:val="1"/>
                <w:color w:val="auto"/>
              </w:rPr>
            </w:pPr>
          </w:p>
        </w:tc>
      </w:tr>
      <w:tr>
        <w:trPr>
          <w:trHeight w:val="239"/>
        </w:trPr>
        <w:tc>
          <w:tcPr>
            <w:tcW w:w="52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United States</w:t>
            </w:r>
          </w:p>
        </w:tc>
        <w:tc>
          <w:tcPr>
            <w:tcW w:w="1320" w:type="dxa"/>
            <w:vAlign w:val="bottom"/>
            <w:tcBorders>
              <w:top w:val="single" w:sz="8" w:color="4C4C4E"/>
            </w:tcBorders>
            <w:shd w:val="clear" w:color="auto" w:fill="D8EEF4"/>
          </w:tcPr>
          <w:p>
            <w:pPr>
              <w:spacing w:after="0"/>
              <w:rPr>
                <w:sz w:val="20"/>
                <w:szCs w:val="20"/>
                <w:color w:val="auto"/>
              </w:rPr>
            </w:pPr>
          </w:p>
        </w:tc>
        <w:tc>
          <w:tcPr>
            <w:tcW w:w="380" w:type="dxa"/>
            <w:vAlign w:val="bottom"/>
            <w:tcBorders>
              <w:top w:val="single" w:sz="8" w:color="D8EEF4"/>
            </w:tcBorders>
            <w:shd w:val="clear" w:color="auto" w:fill="D8EEF4"/>
          </w:tcPr>
          <w:p>
            <w:pPr>
              <w:spacing w:after="0"/>
              <w:rPr>
                <w:sz w:val="20"/>
                <w:szCs w:val="20"/>
                <w:color w:val="auto"/>
              </w:rPr>
            </w:pPr>
          </w:p>
        </w:tc>
        <w:tc>
          <w:tcPr>
            <w:tcW w:w="1360" w:type="dxa"/>
            <w:vAlign w:val="bottom"/>
            <w:tcBorders>
              <w:top w:val="single" w:sz="8" w:color="4C4C4E"/>
            </w:tcBorders>
            <w:shd w:val="clear" w:color="auto" w:fill="D8EEF4"/>
          </w:tcPr>
          <w:p>
            <w:pPr>
              <w:spacing w:after="0"/>
              <w:rPr>
                <w:sz w:val="20"/>
                <w:szCs w:val="20"/>
                <w:color w:val="auto"/>
              </w:rPr>
            </w:pPr>
          </w:p>
        </w:tc>
        <w:tc>
          <w:tcPr>
            <w:tcW w:w="280" w:type="dxa"/>
            <w:vAlign w:val="bottom"/>
            <w:tcBorders>
              <w:top w:val="single" w:sz="8" w:color="D8EEF4"/>
            </w:tcBorders>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4C4C4E"/>
              </w:rPr>
              <w:t>Midwest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12.5%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14.3%</w:t>
            </w:r>
          </w:p>
        </w:tc>
        <w:tc>
          <w:tcPr>
            <w:tcW w:w="0" w:type="dxa"/>
            <w:vAlign w:val="bottom"/>
          </w:tcPr>
          <w:p>
            <w:pPr>
              <w:spacing w:after="0"/>
              <w:rPr>
                <w:sz w:val="1"/>
                <w:szCs w:val="1"/>
                <w:color w:val="auto"/>
              </w:rPr>
            </w:pPr>
          </w:p>
        </w:tc>
      </w:tr>
      <w:tr>
        <w:trPr>
          <w:trHeight w:val="244"/>
        </w:trPr>
        <w:tc>
          <w:tcPr>
            <w:tcW w:w="520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20"/>
                <w:szCs w:val="20"/>
                <w:color w:val="4C4C4E"/>
              </w:rPr>
              <w:t>Northeast</w:t>
            </w:r>
          </w:p>
        </w:tc>
        <w:tc>
          <w:tcPr>
            <w:tcW w:w="170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18.6%</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21.7%</w:t>
            </w:r>
          </w:p>
        </w:tc>
        <w:tc>
          <w:tcPr>
            <w:tcW w:w="0" w:type="dxa"/>
            <w:vAlign w:val="bottom"/>
          </w:tcPr>
          <w:p>
            <w:pPr>
              <w:spacing w:after="0"/>
              <w:rPr>
                <w:sz w:val="1"/>
                <w:szCs w:val="1"/>
                <w:color w:val="auto"/>
              </w:rPr>
            </w:pPr>
          </w:p>
        </w:tc>
      </w:tr>
      <w:tr>
        <w:trPr>
          <w:trHeight w:val="244"/>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4C4C4E"/>
              </w:rPr>
              <w:t>South</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23.2%</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20.6%</w:t>
            </w:r>
          </w:p>
        </w:tc>
        <w:tc>
          <w:tcPr>
            <w:tcW w:w="0" w:type="dxa"/>
            <w:vAlign w:val="bottom"/>
          </w:tcPr>
          <w:p>
            <w:pPr>
              <w:spacing w:after="0"/>
              <w:rPr>
                <w:sz w:val="1"/>
                <w:szCs w:val="1"/>
                <w:color w:val="auto"/>
              </w:rPr>
            </w:pPr>
          </w:p>
        </w:tc>
      </w:tr>
      <w:tr>
        <w:trPr>
          <w:trHeight w:val="244"/>
        </w:trPr>
        <w:tc>
          <w:tcPr>
            <w:tcW w:w="520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20"/>
                <w:szCs w:val="20"/>
                <w:color w:val="4C4C4E"/>
              </w:rPr>
              <w:t>West</w:t>
            </w:r>
          </w:p>
        </w:tc>
        <w:tc>
          <w:tcPr>
            <w:tcW w:w="170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29.8%</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28.8%</w:t>
            </w:r>
          </w:p>
        </w:tc>
        <w:tc>
          <w:tcPr>
            <w:tcW w:w="0" w:type="dxa"/>
            <w:vAlign w:val="bottom"/>
          </w:tcPr>
          <w:p>
            <w:pPr>
              <w:spacing w:after="0"/>
              <w:rPr>
                <w:sz w:val="1"/>
                <w:szCs w:val="1"/>
                <w:color w:val="auto"/>
              </w:rPr>
            </w:pPr>
          </w:p>
        </w:tc>
      </w:tr>
      <w:tr>
        <w:trPr>
          <w:trHeight w:val="244"/>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4C4C4E"/>
              </w:rPr>
              <w:t>Australia</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0.2%</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1.1%</w:t>
            </w:r>
          </w:p>
        </w:tc>
        <w:tc>
          <w:tcPr>
            <w:tcW w:w="0" w:type="dxa"/>
            <w:vAlign w:val="bottom"/>
          </w:tcPr>
          <w:p>
            <w:pPr>
              <w:spacing w:after="0"/>
              <w:rPr>
                <w:sz w:val="1"/>
                <w:szCs w:val="1"/>
                <w:color w:val="auto"/>
              </w:rPr>
            </w:pPr>
          </w:p>
        </w:tc>
      </w:tr>
      <w:tr>
        <w:trPr>
          <w:trHeight w:val="244"/>
        </w:trPr>
        <w:tc>
          <w:tcPr>
            <w:tcW w:w="52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Canada</w:t>
            </w:r>
          </w:p>
        </w:tc>
        <w:tc>
          <w:tcPr>
            <w:tcW w:w="170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1.5%</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3.1%</w:t>
            </w:r>
          </w:p>
        </w:tc>
        <w:tc>
          <w:tcPr>
            <w:tcW w:w="0" w:type="dxa"/>
            <w:vAlign w:val="bottom"/>
          </w:tcPr>
          <w:p>
            <w:pPr>
              <w:spacing w:after="0"/>
              <w:rPr>
                <w:sz w:val="1"/>
                <w:szCs w:val="1"/>
                <w:color w:val="auto"/>
              </w:rPr>
            </w:pPr>
          </w:p>
        </w:tc>
      </w:tr>
      <w:tr>
        <w:trPr>
          <w:trHeight w:val="244"/>
        </w:trPr>
        <w:tc>
          <w:tcPr>
            <w:tcW w:w="5200" w:type="dxa"/>
            <w:vAlign w:val="bottom"/>
          </w:tcPr>
          <w:p>
            <w:pPr>
              <w:spacing w:after="0" w:line="243" w:lineRule="exact"/>
              <w:rPr>
                <w:sz w:val="20"/>
                <w:szCs w:val="20"/>
                <w:color w:val="auto"/>
              </w:rPr>
            </w:pPr>
            <w:r>
              <w:rPr>
                <w:rFonts w:ascii="Times New Roman" w:cs="Times New Roman" w:eastAsia="Times New Roman" w:hAnsi="Times New Roman"/>
                <w:sz w:val="20"/>
                <w:szCs w:val="20"/>
                <w:color w:val="4C4C4E"/>
              </w:rPr>
              <w:t xml:space="preserve">Finland </w:t>
            </w:r>
            <w:r>
              <w:rPr>
                <w:rFonts w:ascii="Times New Roman" w:cs="Times New Roman" w:eastAsia="Times New Roman" w:hAnsi="Times New Roman"/>
                <w:sz w:val="26"/>
                <w:szCs w:val="26"/>
                <w:color w:val="4C4C4E"/>
                <w:vertAlign w:val="superscript"/>
              </w:rPr>
              <w:t>(1)</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0.0%</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0.0%</w:t>
            </w:r>
          </w:p>
        </w:tc>
        <w:tc>
          <w:tcPr>
            <w:tcW w:w="0" w:type="dxa"/>
            <w:vAlign w:val="bottom"/>
          </w:tcPr>
          <w:p>
            <w:pPr>
              <w:spacing w:after="0"/>
              <w:rPr>
                <w:sz w:val="1"/>
                <w:szCs w:val="1"/>
                <w:color w:val="auto"/>
              </w:rPr>
            </w:pPr>
          </w:p>
        </w:tc>
      </w:tr>
      <w:tr>
        <w:trPr>
          <w:trHeight w:val="244"/>
        </w:trPr>
        <w:tc>
          <w:tcPr>
            <w:tcW w:w="52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France</w:t>
            </w:r>
          </w:p>
        </w:tc>
        <w:tc>
          <w:tcPr>
            <w:tcW w:w="170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1.6%</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0.1%</w:t>
            </w:r>
          </w:p>
        </w:tc>
        <w:tc>
          <w:tcPr>
            <w:tcW w:w="0" w:type="dxa"/>
            <w:vAlign w:val="bottom"/>
          </w:tcPr>
          <w:p>
            <w:pPr>
              <w:spacing w:after="0"/>
              <w:rPr>
                <w:sz w:val="1"/>
                <w:szCs w:val="1"/>
                <w:color w:val="auto"/>
              </w:rPr>
            </w:pPr>
          </w:p>
        </w:tc>
      </w:tr>
      <w:tr>
        <w:trPr>
          <w:trHeight w:val="244"/>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4C4C4E"/>
              </w:rPr>
              <w:t>Germany</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3.5%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1.7%</w:t>
            </w:r>
          </w:p>
        </w:tc>
        <w:tc>
          <w:tcPr>
            <w:tcW w:w="0" w:type="dxa"/>
            <w:vAlign w:val="bottom"/>
          </w:tcPr>
          <w:p>
            <w:pPr>
              <w:spacing w:after="0"/>
              <w:rPr>
                <w:sz w:val="1"/>
                <w:szCs w:val="1"/>
                <w:color w:val="auto"/>
              </w:rPr>
            </w:pPr>
          </w:p>
        </w:tc>
      </w:tr>
      <w:tr>
        <w:trPr>
          <w:trHeight w:val="244"/>
        </w:trPr>
        <w:tc>
          <w:tcPr>
            <w:tcW w:w="52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Italy</w:t>
            </w:r>
          </w:p>
        </w:tc>
        <w:tc>
          <w:tcPr>
            <w:tcW w:w="170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0.6%</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0.6%</w:t>
            </w:r>
          </w:p>
        </w:tc>
        <w:tc>
          <w:tcPr>
            <w:tcW w:w="0" w:type="dxa"/>
            <w:vAlign w:val="bottom"/>
          </w:tcPr>
          <w:p>
            <w:pPr>
              <w:spacing w:after="0"/>
              <w:rPr>
                <w:sz w:val="1"/>
                <w:szCs w:val="1"/>
                <w:color w:val="auto"/>
              </w:rPr>
            </w:pPr>
          </w:p>
        </w:tc>
      </w:tr>
      <w:tr>
        <w:trPr>
          <w:trHeight w:val="244"/>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4C4C4E"/>
              </w:rPr>
              <w:t>Netherlands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0.4%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0.3%</w:t>
            </w:r>
          </w:p>
        </w:tc>
        <w:tc>
          <w:tcPr>
            <w:tcW w:w="0" w:type="dxa"/>
            <w:vAlign w:val="bottom"/>
          </w:tcPr>
          <w:p>
            <w:pPr>
              <w:spacing w:after="0"/>
              <w:rPr>
                <w:sz w:val="1"/>
                <w:szCs w:val="1"/>
                <w:color w:val="auto"/>
              </w:rPr>
            </w:pPr>
          </w:p>
        </w:tc>
      </w:tr>
      <w:tr>
        <w:trPr>
          <w:trHeight w:val="244"/>
        </w:trPr>
        <w:tc>
          <w:tcPr>
            <w:tcW w:w="52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Norway</w:t>
            </w:r>
          </w:p>
        </w:tc>
        <w:tc>
          <w:tcPr>
            <w:tcW w:w="170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3.3%</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2.8%</w:t>
            </w:r>
          </w:p>
        </w:tc>
        <w:tc>
          <w:tcPr>
            <w:tcW w:w="0" w:type="dxa"/>
            <w:vAlign w:val="bottom"/>
          </w:tcPr>
          <w:p>
            <w:pPr>
              <w:spacing w:after="0"/>
              <w:rPr>
                <w:sz w:val="1"/>
                <w:szCs w:val="1"/>
                <w:color w:val="auto"/>
              </w:rPr>
            </w:pPr>
          </w:p>
        </w:tc>
      </w:tr>
      <w:tr>
        <w:trPr>
          <w:trHeight w:val="244"/>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4C4C4E"/>
              </w:rPr>
              <w:t>Sweden</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0.8%</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0.3%</w:t>
            </w:r>
          </w:p>
        </w:tc>
        <w:tc>
          <w:tcPr>
            <w:tcW w:w="0" w:type="dxa"/>
            <w:vAlign w:val="bottom"/>
          </w:tcPr>
          <w:p>
            <w:pPr>
              <w:spacing w:after="0"/>
              <w:rPr>
                <w:sz w:val="1"/>
                <w:szCs w:val="1"/>
                <w:color w:val="auto"/>
              </w:rPr>
            </w:pPr>
          </w:p>
        </w:tc>
      </w:tr>
      <w:tr>
        <w:trPr>
          <w:trHeight w:val="244"/>
        </w:trPr>
        <w:tc>
          <w:tcPr>
            <w:tcW w:w="52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United Kingdom</w:t>
            </w:r>
          </w:p>
        </w:tc>
        <w:tc>
          <w:tcPr>
            <w:tcW w:w="170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4.0%</w:t>
            </w:r>
          </w:p>
        </w:tc>
        <w:tc>
          <w:tcPr>
            <w:tcW w:w="1640" w:type="dxa"/>
            <w:vAlign w:val="bottom"/>
            <w:gridSpan w:val="2"/>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4.6%</w:t>
            </w:r>
          </w:p>
        </w:tc>
        <w:tc>
          <w:tcPr>
            <w:tcW w:w="0" w:type="dxa"/>
            <w:vAlign w:val="bottom"/>
          </w:tcPr>
          <w:p>
            <w:pPr>
              <w:spacing w:after="0"/>
              <w:rPr>
                <w:sz w:val="1"/>
                <w:szCs w:val="1"/>
                <w:color w:val="auto"/>
              </w:rPr>
            </w:pPr>
          </w:p>
        </w:tc>
      </w:tr>
      <w:tr>
        <w:trPr>
          <w:trHeight w:val="20"/>
        </w:trPr>
        <w:tc>
          <w:tcPr>
            <w:tcW w:w="5200" w:type="dxa"/>
            <w:vAlign w:val="bottom"/>
            <w:tcBorders>
              <w:top w:val="single" w:sz="8" w:color="D8EEF4"/>
            </w:tcBorders>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1320" w:type="dxa"/>
            <w:vAlign w:val="bottom"/>
            <w:tcBorders>
              <w:top w:val="single" w:sz="8" w:color="4C4C4E"/>
            </w:tcBorders>
            <w:shd w:val="clear" w:color="auto" w:fill="4C4C4E"/>
          </w:tcPr>
          <w:p>
            <w:pPr>
              <w:spacing w:after="0" w:line="20" w:lineRule="exact"/>
              <w:rPr>
                <w:sz w:val="1"/>
                <w:szCs w:val="1"/>
                <w:color w:val="auto"/>
              </w:rPr>
            </w:pPr>
          </w:p>
        </w:tc>
        <w:tc>
          <w:tcPr>
            <w:tcW w:w="380" w:type="dxa"/>
            <w:vAlign w:val="bottom"/>
            <w:tcBorders>
              <w:top w:val="single" w:sz="8" w:color="D8EEF4"/>
            </w:tcBorders>
          </w:tcPr>
          <w:p>
            <w:pPr>
              <w:spacing w:after="0" w:line="20" w:lineRule="exact"/>
              <w:rPr>
                <w:sz w:val="1"/>
                <w:szCs w:val="1"/>
                <w:color w:val="auto"/>
              </w:rPr>
            </w:pPr>
          </w:p>
        </w:tc>
        <w:tc>
          <w:tcPr>
            <w:tcW w:w="1360" w:type="dxa"/>
            <w:vAlign w:val="bottom"/>
            <w:tcBorders>
              <w:top w:val="single" w:sz="8" w:color="4C4C4E"/>
            </w:tcBorders>
            <w:shd w:val="clear" w:color="auto" w:fill="4C4C4E"/>
          </w:tcPr>
          <w:p>
            <w:pPr>
              <w:spacing w:after="0" w:line="20" w:lineRule="exact"/>
              <w:rPr>
                <w:sz w:val="1"/>
                <w:szCs w:val="1"/>
                <w:color w:val="auto"/>
              </w:rPr>
            </w:pPr>
          </w:p>
        </w:tc>
        <w:tc>
          <w:tcPr>
            <w:tcW w:w="280" w:type="dxa"/>
            <w:vAlign w:val="bottom"/>
            <w:tcBorders>
              <w:top w:val="single" w:sz="8" w:color="D8EE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00" w:type="dxa"/>
            <w:vAlign w:val="bottom"/>
            <w:vMerge w:val="continue"/>
          </w:tcPr>
          <w:p>
            <w:pPr>
              <w:spacing w:after="0"/>
              <w:rPr>
                <w:sz w:val="19"/>
                <w:szCs w:val="19"/>
                <w:color w:val="auto"/>
              </w:rPr>
            </w:pPr>
          </w:p>
        </w:tc>
        <w:tc>
          <w:tcPr>
            <w:tcW w:w="1700" w:type="dxa"/>
            <w:vAlign w:val="bottom"/>
            <w:gridSpan w:val="2"/>
          </w:tcPr>
          <w:p>
            <w:pPr>
              <w:jc w:val="right"/>
              <w:ind w:right="220"/>
              <w:spacing w:after="0" w:line="219" w:lineRule="exact"/>
              <w:rPr>
                <w:sz w:val="20"/>
                <w:szCs w:val="20"/>
                <w:color w:val="auto"/>
              </w:rPr>
            </w:pPr>
            <w:r>
              <w:rPr>
                <w:rFonts w:ascii="Times New Roman" w:cs="Times New Roman" w:eastAsia="Times New Roman" w:hAnsi="Times New Roman"/>
                <w:sz w:val="20"/>
                <w:szCs w:val="20"/>
                <w:color w:val="4C4C4E"/>
              </w:rPr>
              <w:t>100.0%</w:t>
            </w:r>
          </w:p>
        </w:tc>
        <w:tc>
          <w:tcPr>
            <w:tcW w:w="164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4C4C4E"/>
              </w:rPr>
              <w:t>100.0%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320" w:type="dxa"/>
            <w:vAlign w:val="bottom"/>
            <w:tcBorders>
              <w:top w:val="single" w:sz="8" w:color="4C4C4E"/>
              <w:bottom w:val="single" w:sz="8" w:color="4C4C4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top w:val="single" w:sz="8" w:color="4C4C4E"/>
              <w:bottom w:val="single" w:sz="8" w:color="4C4C4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500" w:hanging="496"/>
        <w:spacing w:after="0"/>
        <w:tabs>
          <w:tab w:leader="none" w:pos="500" w:val="left"/>
        </w:tabs>
        <w:numPr>
          <w:ilvl w:val="0"/>
          <w:numId w:val="23"/>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Value sums to less than 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Investment Commitments</w:t>
      </w:r>
    </w:p>
    <w:p>
      <w:pPr>
        <w:spacing w:after="0" w:line="118" w:lineRule="exact"/>
        <w:rPr>
          <w:sz w:val="20"/>
          <w:szCs w:val="20"/>
          <w:color w:val="auto"/>
        </w:rPr>
      </w:pPr>
    </w:p>
    <w:p>
      <w:pPr>
        <w:ind w:right="240" w:firstLine="245"/>
        <w:spacing w:after="0" w:line="277" w:lineRule="auto"/>
        <w:rPr>
          <w:sz w:val="20"/>
          <w:szCs w:val="20"/>
          <w:color w:val="auto"/>
        </w:rPr>
      </w:pPr>
      <w:r>
        <w:rPr>
          <w:rFonts w:ascii="Times New Roman" w:cs="Times New Roman" w:eastAsia="Times New Roman" w:hAnsi="Times New Roman"/>
          <w:sz w:val="20"/>
          <w:szCs w:val="20"/>
          <w:color w:val="4C4C4E"/>
        </w:rPr>
        <w:t>As of December 31, 2025 and December 31, 2024, we had the following commitments to fund investments in current portfolio companies:</w:t>
      </w:r>
    </w:p>
    <w:p>
      <w:pPr>
        <w:sectPr>
          <w:pgSz w:w="11880" w:h="15480" w:orient="portrait"/>
          <w:cols w:equalWidth="0" w:num="1">
            <w:col w:w="10640"/>
          </w:cols>
          <w:pgMar w:left="68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13</w:t>
      </w:r>
    </w:p>
    <w:p>
      <w:pPr>
        <w:sectPr>
          <w:pgSz w:w="11880" w:h="15480" w:orient="portrait"/>
          <w:cols w:equalWidth="0" w:num="1">
            <w:col w:w="10640"/>
          </w:cols>
          <w:pgMar w:left="680" w:top="750" w:right="56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3"/>
        </w:trPr>
        <w:tc>
          <w:tcPr>
            <w:tcW w:w="53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200" w:type="dxa"/>
            <w:vAlign w:val="bottom"/>
            <w:tcBorders>
              <w:bottom w:val="single" w:sz="8" w:color="4C4C4E"/>
            </w:tcBorders>
          </w:tcPr>
          <w:p>
            <w:pPr>
              <w:spacing w:after="0"/>
              <w:rPr>
                <w:sz w:val="17"/>
                <w:szCs w:val="17"/>
                <w:color w:val="auto"/>
              </w:rPr>
            </w:pPr>
          </w:p>
        </w:tc>
        <w:tc>
          <w:tcPr>
            <w:tcW w:w="1720" w:type="dxa"/>
            <w:vAlign w:val="bottom"/>
            <w:tcBorders>
              <w:bottom w:val="single" w:sz="8" w:color="4C4C4E"/>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40" w:type="dxa"/>
            <w:vAlign w:val="bottom"/>
            <w:tcBorders>
              <w:bottom w:val="single" w:sz="8" w:color="D8EEF4"/>
            </w:tcBorders>
          </w:tcPr>
          <w:p>
            <w:pPr>
              <w:spacing w:after="0"/>
              <w:rPr>
                <w:sz w:val="17"/>
                <w:szCs w:val="17"/>
                <w:color w:val="auto"/>
              </w:rPr>
            </w:pPr>
          </w:p>
        </w:tc>
        <w:tc>
          <w:tcPr>
            <w:tcW w:w="240" w:type="dxa"/>
            <w:vAlign w:val="bottom"/>
            <w:tcBorders>
              <w:bottom w:val="single" w:sz="8" w:color="4C4C4E"/>
            </w:tcBorders>
          </w:tcPr>
          <w:p>
            <w:pPr>
              <w:spacing w:after="0"/>
              <w:rPr>
                <w:sz w:val="17"/>
                <w:szCs w:val="17"/>
                <w:color w:val="auto"/>
              </w:rPr>
            </w:pPr>
          </w:p>
        </w:tc>
        <w:tc>
          <w:tcPr>
            <w:tcW w:w="1800" w:type="dxa"/>
            <w:vAlign w:val="bottom"/>
            <w:tcBorders>
              <w:bottom w:val="single" w:sz="8" w:color="4C4C4E"/>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60" w:type="dxa"/>
            <w:vAlign w:val="bottom"/>
            <w:tcBorders>
              <w:bottom w:val="single" w:sz="8" w:color="D8EEF4"/>
            </w:tcBorders>
          </w:tcPr>
          <w:p>
            <w:pPr>
              <w:spacing w:after="0"/>
              <w:rPr>
                <w:sz w:val="17"/>
                <w:szCs w:val="17"/>
                <w:color w:val="auto"/>
              </w:rPr>
            </w:pPr>
          </w:p>
        </w:tc>
      </w:tr>
      <w:tr>
        <w:trPr>
          <w:trHeight w:val="239"/>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Alaska Bidco Oy - Delayed Draw &amp; Revolver</w:t>
            </w:r>
          </w:p>
        </w:tc>
        <w:tc>
          <w:tcPr>
            <w:tcW w:w="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0.2</w:t>
            </w:r>
          </w:p>
        </w:tc>
        <w:tc>
          <w:tcPr>
            <w:tcW w:w="240" w:type="dxa"/>
            <w:vAlign w:val="bottom"/>
            <w:shd w:val="clear" w:color="auto" w:fill="D8EEF4"/>
          </w:tcPr>
          <w:p>
            <w:pPr>
              <w:spacing w:after="0"/>
              <w:rPr>
                <w:sz w:val="20"/>
                <w:szCs w:val="20"/>
                <w:color w:val="auto"/>
              </w:rPr>
            </w:pPr>
          </w:p>
        </w:tc>
        <w:tc>
          <w:tcPr>
            <w:tcW w:w="240" w:type="dxa"/>
            <w:vAlign w:val="bottom"/>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0.2</w:t>
            </w:r>
          </w:p>
        </w:tc>
        <w:tc>
          <w:tcPr>
            <w:tcW w:w="60" w:type="dxa"/>
            <w:vAlign w:val="bottom"/>
            <w:shd w:val="clear" w:color="auto" w:fill="D8EEF4"/>
          </w:tcPr>
          <w:p>
            <w:pPr>
              <w:spacing w:after="0"/>
              <w:rPr>
                <w:sz w:val="20"/>
                <w:szCs w:val="20"/>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Aledade, Inc. -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Alpha Midco, Inc.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American Achievement, Corp. -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Apellis Pharmaceuticals, Inc. - Delayed Draw</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5.3</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Aptean, Inc. - Delayed Draw &amp;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Arcwood Environmental, Inc.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2.5</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Arrow Buyer, Inc. - Delayed Draw</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5.5</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Arrowhead Pharmaceuticals, Inc. - Delayed Draw</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27.7</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32.0</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Artisan Bidco, Inc. -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5.7</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Avalara, Inc. -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3.9</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AVSC Holding Corp. -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4.8</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Axonify, Inc. - Delayed Draw</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0.7</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Azurite Intermediate Holdings, Inc. - Revolver &amp; Equity</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5.6</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Babylon Finco Limited - Delayed Draw</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0.3</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Banyan Software Holdings, LLC - Delayed Draw</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3.9</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Bayshore Intermediate #2, L.P. -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2.7</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BCTO Ace Purchaser, Inc. - Delayed Draw &amp;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0.3</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BCTO Bluebill Buyer, Inc. - Delayed Draw</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4.1</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Ben Nevis Midco Limited - Delayed Draw</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BlueSnap, Inc.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5.1</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BTRS Holdings, Inc. - Delayed Draw &amp;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Cirrus (Bidco) Ltd - Delayed Draw</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Cordance Operations, LLC - Delayed Draw &amp;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6.7</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Coupa Holdings, LLC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6.8</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6.8</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Crewline Buyer, Inc. - Revolver &amp; Equity</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6.1</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Disco Parent, Inc. -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EDB Parent, LLC - Delayed Draw</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5.1</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Elysian Finco Ltd.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1.9</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Elysium BidCo Limited -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w:t>
            </w:r>
          </w:p>
        </w:tc>
        <w:tc>
          <w:tcPr>
            <w:tcW w:w="60" w:type="dxa"/>
            <w:vAlign w:val="bottom"/>
          </w:tcPr>
          <w:p>
            <w:pPr>
              <w:spacing w:after="0"/>
              <w:rPr>
                <w:sz w:val="21"/>
                <w:szCs w:val="21"/>
                <w:color w:val="auto"/>
              </w:rPr>
            </w:pPr>
          </w:p>
        </w:tc>
      </w:tr>
      <w:tr>
        <w:trPr>
          <w:trHeight w:val="224"/>
        </w:trPr>
        <w:tc>
          <w:tcPr>
            <w:tcW w:w="5320" w:type="dxa"/>
            <w:vAlign w:val="bottom"/>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Employment Hero Holdings Pty Ltd. - Delayed Draw &amp;</w:t>
            </w:r>
          </w:p>
        </w:tc>
        <w:tc>
          <w:tcPr>
            <w:tcW w:w="200" w:type="dxa"/>
            <w:vAlign w:val="bottom"/>
            <w:shd w:val="clear" w:color="auto" w:fill="D8EEF4"/>
          </w:tcPr>
          <w:p>
            <w:pPr>
              <w:spacing w:after="0"/>
              <w:rPr>
                <w:sz w:val="19"/>
                <w:szCs w:val="19"/>
                <w:color w:val="auto"/>
              </w:rPr>
            </w:pPr>
          </w:p>
        </w:tc>
        <w:tc>
          <w:tcPr>
            <w:tcW w:w="1720" w:type="dxa"/>
            <w:vAlign w:val="bottom"/>
            <w:shd w:val="clear" w:color="auto" w:fill="D8EEF4"/>
          </w:tcPr>
          <w:p>
            <w:pPr>
              <w:spacing w:after="0"/>
              <w:rPr>
                <w:sz w:val="19"/>
                <w:szCs w:val="19"/>
                <w:color w:val="auto"/>
              </w:rPr>
            </w:pPr>
          </w:p>
        </w:tc>
        <w:tc>
          <w:tcPr>
            <w:tcW w:w="240" w:type="dxa"/>
            <w:vAlign w:val="bottom"/>
            <w:shd w:val="clear" w:color="auto" w:fill="D8EEF4"/>
          </w:tcPr>
          <w:p>
            <w:pPr>
              <w:spacing w:after="0"/>
              <w:rPr>
                <w:sz w:val="19"/>
                <w:szCs w:val="19"/>
                <w:color w:val="auto"/>
              </w:rPr>
            </w:pPr>
          </w:p>
        </w:tc>
        <w:tc>
          <w:tcPr>
            <w:tcW w:w="240" w:type="dxa"/>
            <w:vAlign w:val="bottom"/>
            <w:shd w:val="clear" w:color="auto" w:fill="D8EEF4"/>
          </w:tcPr>
          <w:p>
            <w:pPr>
              <w:spacing w:after="0"/>
              <w:rPr>
                <w:sz w:val="19"/>
                <w:szCs w:val="19"/>
                <w:color w:val="auto"/>
              </w:rPr>
            </w:pPr>
          </w:p>
        </w:tc>
        <w:tc>
          <w:tcPr>
            <w:tcW w:w="1800" w:type="dxa"/>
            <w:vAlign w:val="bottom"/>
            <w:shd w:val="clear" w:color="auto" w:fill="D8EEF4"/>
          </w:tcPr>
          <w:p>
            <w:pPr>
              <w:spacing w:after="0"/>
              <w:rPr>
                <w:sz w:val="19"/>
                <w:szCs w:val="19"/>
                <w:color w:val="auto"/>
              </w:rPr>
            </w:pPr>
          </w:p>
        </w:tc>
        <w:tc>
          <w:tcPr>
            <w:tcW w:w="60" w:type="dxa"/>
            <w:vAlign w:val="bottom"/>
            <w:shd w:val="clear" w:color="auto" w:fill="D8EEF4"/>
          </w:tcPr>
          <w:p>
            <w:pPr>
              <w:spacing w:after="0"/>
              <w:rPr>
                <w:sz w:val="19"/>
                <w:szCs w:val="19"/>
                <w:color w:val="auto"/>
              </w:rPr>
            </w:pPr>
          </w:p>
        </w:tc>
      </w:tr>
      <w:tr>
        <w:trPr>
          <w:trHeight w:val="250"/>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1.9</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EMS Linq, Inc. -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4.6</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Erling Lux Bidco SARL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6.1</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2.8</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Eventus Buyer, LLC - Delayed Draw &amp;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10.0</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ExtraHop Networks, Inc.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3.4</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Flight Intermediate HoldCo, Inc. - Delayed Draw</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37.9</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ForeScout Technologies, Inc.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Fullsteam Operations, LLC - Delayed Draw &amp;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8.9</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Galileo Parent, Inc. -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3.5</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5.5</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Greenshoot Bidco B.V. -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Hippo XPA Bidco AB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9.4</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1.7</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HireVue, Inc. -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HMP Omnimedia, LLC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9.8</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Ingenovis Health Finance, LLC -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IRGSE Holding Corp. -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5.7</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Kahua, Inc. - Delayed Draw</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Kangaroo Bidco AS - Delayed Draw</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w:t>
            </w:r>
          </w:p>
        </w:tc>
        <w:tc>
          <w:tcPr>
            <w:tcW w:w="60" w:type="dxa"/>
            <w:vAlign w:val="bottom"/>
            <w:shd w:val="clear" w:color="auto" w:fill="D8EEF4"/>
          </w:tcPr>
          <w:p>
            <w:pPr>
              <w:spacing w:after="0"/>
              <w:rPr>
                <w:sz w:val="21"/>
                <w:szCs w:val="21"/>
                <w:color w:val="auto"/>
              </w:rPr>
            </w:pPr>
          </w:p>
        </w:tc>
      </w:tr>
      <w:tr>
        <w:trPr>
          <w:trHeight w:val="225"/>
        </w:trPr>
        <w:tc>
          <w:tcPr>
            <w:tcW w:w="53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4C4C4E"/>
              </w:rPr>
              <w:t>Kaseware Intermediate Holding Company - Delayed Draw &amp;</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Kryptona BidCo US, LLC -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2.2</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2.2</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LeanTaaS Holdings, Inc. - Delayed Draw</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18.8</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LIHA Holdco B.V.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Lynx BidCo - Delayed Draw &amp; Revolver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0.9</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Marcura Equities LTD - Delayed Draw &amp; Revolver</w:t>
            </w:r>
          </w:p>
        </w:tc>
        <w:tc>
          <w:tcPr>
            <w:tcW w:w="200" w:type="dxa"/>
            <w:vAlign w:val="bottom"/>
            <w:shd w:val="clear" w:color="auto" w:fill="D8EEF4"/>
          </w:tcPr>
          <w:p>
            <w:pPr>
              <w:spacing w:after="0"/>
              <w:rPr>
                <w:sz w:val="21"/>
                <w:szCs w:val="21"/>
                <w:color w:val="auto"/>
              </w:rPr>
            </w:pPr>
          </w:p>
        </w:tc>
        <w:tc>
          <w:tcPr>
            <w:tcW w:w="1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1.7</w:t>
            </w:r>
          </w:p>
        </w:tc>
        <w:tc>
          <w:tcPr>
            <w:tcW w:w="24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9.1</w:t>
            </w:r>
          </w:p>
        </w:tc>
        <w:tc>
          <w:tcPr>
            <w:tcW w:w="60" w:type="dxa"/>
            <w:vAlign w:val="bottom"/>
            <w:shd w:val="clear" w:color="auto" w:fill="D8EEF4"/>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9580"/>
          </w:cols>
          <w:pgMar w:left="1220" w:top="764" w:right="1080" w:bottom="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14</w:t>
      </w:r>
    </w:p>
    <w:p>
      <w:pPr>
        <w:sectPr>
          <w:pgSz w:w="11880" w:h="15480" w:orient="portrait"/>
          <w:cols w:equalWidth="0" w:num="1">
            <w:col w:w="9580"/>
          </w:cols>
          <w:pgMar w:left="1220" w:top="764" w:right="1080" w:bottom="0" w:gutter="0" w:footer="0" w:header="0"/>
          <w:type w:val="continuous"/>
        </w:sectPr>
      </w:pPr>
    </w:p>
    <w:bookmarkStart w:id="14" w:name="page15"/>
    <w:bookmarkEnd w:id="14"/>
    <w:tbl>
      <w:tblPr>
        <w:tblLayout w:type="fixed"/>
        <w:tblInd w:w="54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Merit Software Finance Holdings, LLC - Delayed Draw &amp;</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Revolver</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11.8</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Omnigo Software, LLC - Delayed Draw &amp; Revolver</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1.9</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6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PDI TA Holdings, Inc. - Delayed Draw &amp; Revolver</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3.3</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PrimePay Intermediate, LLC - Delayed Draw</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4.0</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PrimeRevenue, Inc. - Revolver</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6.3</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QSR Acquisition Co. - Delayed Draw</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15.0</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Rail Acquisitions LLC - Delayed Draw &amp; Revolver</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5.7</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RainFocus, LLC - Delayed Draw</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5.3</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6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25"/>
        </w:trPr>
        <w:tc>
          <w:tcPr>
            <w:tcW w:w="53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4C4C4E"/>
              </w:rPr>
              <w:t>Rapid Data GmbH Unternehmensberatung - Delayed Draw &amp;</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Revolver</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Raptor US Buyer II Corp. - Revolver</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0.7</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Sapphire Software Buyer, Inc. - Revolver</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3.3</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Scorpio Bidco - Delayed Draw</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Sediver S.p.A. - Delayed Draw</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4.1</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3.6</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Severin Acquisition, LLC - Delayed Draw &amp; Revolver</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5.0</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Shiftmove GmbH - Delayed Draw</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10.2</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13.6</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SkyLark UK DebtCo Limited - Delayed Draw</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6.9</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SL Buyer Corp. - Delayed Draw</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11.2</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SMA Technologies Holdings, LLC - Revolver</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Sport Alliance GmbH - Revolver</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60" w:type="dxa"/>
            <w:vAlign w:val="bottom"/>
          </w:tcPr>
          <w:p>
            <w:pPr>
              <w:spacing w:after="0"/>
              <w:rPr>
                <w:sz w:val="21"/>
                <w:szCs w:val="21"/>
                <w:color w:val="auto"/>
              </w:rPr>
            </w:pPr>
          </w:p>
        </w:tc>
      </w:tr>
      <w:tr>
        <w:trPr>
          <w:trHeight w:val="224"/>
        </w:trPr>
        <w:tc>
          <w:tcPr>
            <w:tcW w:w="5320" w:type="dxa"/>
            <w:vAlign w:val="bottom"/>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Tango Management Consulting, LLC - Delayed Draw &amp;</w:t>
            </w:r>
          </w:p>
        </w:tc>
        <w:tc>
          <w:tcPr>
            <w:tcW w:w="780" w:type="dxa"/>
            <w:vAlign w:val="bottom"/>
            <w:shd w:val="clear" w:color="auto" w:fill="D8EEF4"/>
          </w:tcPr>
          <w:p>
            <w:pPr>
              <w:spacing w:after="0"/>
              <w:rPr>
                <w:sz w:val="19"/>
                <w:szCs w:val="19"/>
                <w:color w:val="auto"/>
              </w:rPr>
            </w:pPr>
          </w:p>
        </w:tc>
        <w:tc>
          <w:tcPr>
            <w:tcW w:w="1140" w:type="dxa"/>
            <w:vAlign w:val="bottom"/>
            <w:shd w:val="clear" w:color="auto" w:fill="D8EEF4"/>
          </w:tcPr>
          <w:p>
            <w:pPr>
              <w:spacing w:after="0"/>
              <w:rPr>
                <w:sz w:val="19"/>
                <w:szCs w:val="19"/>
                <w:color w:val="auto"/>
              </w:rPr>
            </w:pPr>
          </w:p>
        </w:tc>
        <w:tc>
          <w:tcPr>
            <w:tcW w:w="240" w:type="dxa"/>
            <w:vAlign w:val="bottom"/>
            <w:shd w:val="clear" w:color="auto" w:fill="D8EEF4"/>
          </w:tcPr>
          <w:p>
            <w:pPr>
              <w:spacing w:after="0"/>
              <w:rPr>
                <w:sz w:val="19"/>
                <w:szCs w:val="19"/>
                <w:color w:val="auto"/>
              </w:rPr>
            </w:pPr>
          </w:p>
        </w:tc>
        <w:tc>
          <w:tcPr>
            <w:tcW w:w="840" w:type="dxa"/>
            <w:vAlign w:val="bottom"/>
            <w:shd w:val="clear" w:color="auto" w:fill="D8EEF4"/>
          </w:tcPr>
          <w:p>
            <w:pPr>
              <w:spacing w:after="0"/>
              <w:rPr>
                <w:sz w:val="19"/>
                <w:szCs w:val="19"/>
                <w:color w:val="auto"/>
              </w:rPr>
            </w:pPr>
          </w:p>
        </w:tc>
        <w:tc>
          <w:tcPr>
            <w:tcW w:w="1200" w:type="dxa"/>
            <w:vAlign w:val="bottom"/>
            <w:shd w:val="clear" w:color="auto" w:fill="D8EEF4"/>
          </w:tcPr>
          <w:p>
            <w:pPr>
              <w:spacing w:after="0"/>
              <w:rPr>
                <w:sz w:val="19"/>
                <w:szCs w:val="19"/>
                <w:color w:val="auto"/>
              </w:rPr>
            </w:pPr>
          </w:p>
        </w:tc>
        <w:tc>
          <w:tcPr>
            <w:tcW w:w="60" w:type="dxa"/>
            <w:vAlign w:val="bottom"/>
            <w:shd w:val="clear" w:color="auto" w:fill="D8EEF4"/>
          </w:tcPr>
          <w:p>
            <w:pPr>
              <w:spacing w:after="0"/>
              <w:rPr>
                <w:sz w:val="19"/>
                <w:szCs w:val="19"/>
                <w:color w:val="auto"/>
              </w:rPr>
            </w:pPr>
          </w:p>
        </w:tc>
      </w:tr>
      <w:tr>
        <w:trPr>
          <w:trHeight w:val="250"/>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Revolver</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23.8</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TRP Assets, LLC - Delayed Draw</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10.2</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10.2</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Truck-Lite Co., LLC - Delayed Draw &amp; Revolver</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8.7</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TS Imagine Inc. - Revolver</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USA Debusk LLC - Delayed Draw &amp; Revolver</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2.5</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2.8</w:t>
            </w:r>
          </w:p>
        </w:tc>
        <w:tc>
          <w:tcPr>
            <w:tcW w:w="60" w:type="dxa"/>
            <w:vAlign w:val="bottom"/>
            <w:shd w:val="clear" w:color="auto" w:fill="D8EEF4"/>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4C4C4E"/>
              </w:rPr>
              <w:t>Varinem German Bidco GmbH - Delayed Draw</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4.9</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3.6</w:t>
            </w:r>
          </w:p>
        </w:tc>
        <w:tc>
          <w:tcPr>
            <w:tcW w:w="60" w:type="dxa"/>
            <w:vAlign w:val="bottom"/>
          </w:tcPr>
          <w:p>
            <w:pPr>
              <w:spacing w:after="0"/>
              <w:rPr>
                <w:sz w:val="21"/>
                <w:szCs w:val="21"/>
                <w:color w:val="auto"/>
              </w:rPr>
            </w:pPr>
          </w:p>
        </w:tc>
      </w:tr>
      <w:tr>
        <w:trPr>
          <w:trHeight w:val="244"/>
        </w:trPr>
        <w:tc>
          <w:tcPr>
            <w:tcW w:w="53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Velocity Clinical Research, Inc. - Delayed Draw &amp; Revolver</w:t>
            </w:r>
          </w:p>
        </w:tc>
        <w:tc>
          <w:tcPr>
            <w:tcW w:w="78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8.8</w:t>
            </w:r>
          </w:p>
        </w:tc>
        <w:tc>
          <w:tcPr>
            <w:tcW w:w="240" w:type="dxa"/>
            <w:vAlign w:val="bottom"/>
            <w:shd w:val="clear" w:color="auto" w:fill="D8EEF4"/>
          </w:tcPr>
          <w:p>
            <w:pPr>
              <w:spacing w:after="0"/>
              <w:rPr>
                <w:sz w:val="21"/>
                <w:szCs w:val="21"/>
                <w:color w:val="auto"/>
              </w:rPr>
            </w:pPr>
          </w:p>
        </w:tc>
        <w:tc>
          <w:tcPr>
            <w:tcW w:w="840" w:type="dxa"/>
            <w:vAlign w:val="bottom"/>
            <w:shd w:val="clear" w:color="auto" w:fill="D8EEF4"/>
          </w:tcPr>
          <w:p>
            <w:pPr>
              <w:spacing w:after="0"/>
              <w:rPr>
                <w:sz w:val="21"/>
                <w:szCs w:val="21"/>
                <w:color w:val="auto"/>
              </w:rPr>
            </w:pPr>
          </w:p>
        </w:tc>
        <w:tc>
          <w:tcPr>
            <w:tcW w:w="126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53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20"/>
                <w:szCs w:val="20"/>
                <w:color w:val="4C4C4E"/>
              </w:rPr>
              <w:t>Wrangler Topco, LLC - Delayed Draw &amp; Revolver</w:t>
            </w:r>
          </w:p>
        </w:tc>
        <w:tc>
          <w:tcPr>
            <w:tcW w:w="780" w:type="dxa"/>
            <w:vAlign w:val="bottom"/>
            <w:tcBorders>
              <w:bottom w:val="single" w:sz="8" w:color="4C4C4E"/>
            </w:tcBorders>
          </w:tcPr>
          <w:p>
            <w:pPr>
              <w:spacing w:after="0"/>
              <w:rPr>
                <w:sz w:val="21"/>
                <w:szCs w:val="21"/>
                <w:color w:val="auto"/>
              </w:rPr>
            </w:pPr>
          </w:p>
        </w:tc>
        <w:tc>
          <w:tcPr>
            <w:tcW w:w="114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0.9</w:t>
            </w:r>
          </w:p>
        </w:tc>
        <w:tc>
          <w:tcPr>
            <w:tcW w:w="240" w:type="dxa"/>
            <w:vAlign w:val="bottom"/>
            <w:tcBorders>
              <w:bottom w:val="single" w:sz="8" w:color="D8EEF4"/>
            </w:tcBorders>
          </w:tcPr>
          <w:p>
            <w:pPr>
              <w:spacing w:after="0"/>
              <w:rPr>
                <w:sz w:val="21"/>
                <w:szCs w:val="21"/>
                <w:color w:val="auto"/>
              </w:rPr>
            </w:pPr>
          </w:p>
        </w:tc>
        <w:tc>
          <w:tcPr>
            <w:tcW w:w="840" w:type="dxa"/>
            <w:vAlign w:val="bottom"/>
            <w:tcBorders>
              <w:bottom w:val="single" w:sz="8" w:color="4C4C4E"/>
            </w:tcBorders>
          </w:tcPr>
          <w:p>
            <w:pPr>
              <w:spacing w:after="0"/>
              <w:rPr>
                <w:sz w:val="21"/>
                <w:szCs w:val="21"/>
                <w:color w:val="auto"/>
              </w:rPr>
            </w:pPr>
          </w:p>
        </w:tc>
        <w:tc>
          <w:tcPr>
            <w:tcW w:w="12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60" w:type="dxa"/>
            <w:vAlign w:val="bottom"/>
            <w:tcBorders>
              <w:bottom w:val="single" w:sz="8" w:color="D8EEF4"/>
            </w:tcBorders>
          </w:tcPr>
          <w:p>
            <w:pPr>
              <w:spacing w:after="0"/>
              <w:rPr>
                <w:sz w:val="21"/>
                <w:szCs w:val="21"/>
                <w:color w:val="auto"/>
              </w:rPr>
            </w:pPr>
          </w:p>
        </w:tc>
      </w:tr>
      <w:tr>
        <w:trPr>
          <w:trHeight w:val="239"/>
        </w:trPr>
        <w:tc>
          <w:tcPr>
            <w:tcW w:w="5320" w:type="dxa"/>
            <w:vAlign w:val="bottom"/>
            <w:shd w:val="clear" w:color="auto" w:fill="D8EEF4"/>
          </w:tcPr>
          <w:p>
            <w:pPr>
              <w:ind w:left="100"/>
              <w:spacing w:after="0" w:line="238" w:lineRule="exact"/>
              <w:rPr>
                <w:sz w:val="20"/>
                <w:szCs w:val="20"/>
                <w:color w:val="auto"/>
              </w:rPr>
            </w:pPr>
            <w:r>
              <w:rPr>
                <w:rFonts w:ascii="Times New Roman" w:cs="Times New Roman" w:eastAsia="Times New Roman" w:hAnsi="Times New Roman"/>
                <w:sz w:val="20"/>
                <w:szCs w:val="20"/>
                <w:b w:val="1"/>
                <w:bCs w:val="1"/>
                <w:color w:val="4C4C4E"/>
              </w:rPr>
              <w:t xml:space="preserve">Total Portfolio Company Commitments </w:t>
            </w:r>
            <w:r>
              <w:rPr>
                <w:rFonts w:ascii="Times New Roman" w:cs="Times New Roman" w:eastAsia="Times New Roman" w:hAnsi="Times New Roman"/>
                <w:sz w:val="26"/>
                <w:szCs w:val="26"/>
                <w:b w:val="1"/>
                <w:bCs w:val="1"/>
                <w:color w:val="4C4C4E"/>
                <w:vertAlign w:val="superscript"/>
              </w:rPr>
              <w:t>(1)(2)</w:t>
            </w:r>
          </w:p>
        </w:tc>
        <w:tc>
          <w:tcPr>
            <w:tcW w:w="780" w:type="dxa"/>
            <w:vAlign w:val="bottom"/>
            <w:tcBorders>
              <w:bottom w:val="single" w:sz="8" w:color="4C4C4E"/>
            </w:tcBorders>
            <w:shd w:val="clear" w:color="auto" w:fill="D8EEF4"/>
          </w:tcPr>
          <w:p>
            <w:pPr>
              <w:jc w:val="right"/>
              <w:ind w:right="580"/>
              <w:spacing w:after="0"/>
              <w:rPr>
                <w:sz w:val="20"/>
                <w:szCs w:val="20"/>
                <w:color w:val="auto"/>
              </w:rPr>
            </w:pPr>
            <w:r>
              <w:rPr>
                <w:rFonts w:ascii="Times New Roman" w:cs="Times New Roman" w:eastAsia="Times New Roman" w:hAnsi="Times New Roman"/>
                <w:sz w:val="20"/>
                <w:szCs w:val="20"/>
                <w:color w:val="4C4C4E"/>
                <w:w w:val="79"/>
              </w:rPr>
              <w:t>$</w:t>
            </w:r>
          </w:p>
        </w:tc>
        <w:tc>
          <w:tcPr>
            <w:tcW w:w="11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338.5</w:t>
            </w:r>
          </w:p>
        </w:tc>
        <w:tc>
          <w:tcPr>
            <w:tcW w:w="240" w:type="dxa"/>
            <w:vAlign w:val="bottom"/>
            <w:shd w:val="clear" w:color="auto" w:fill="D8EEF4"/>
          </w:tcPr>
          <w:p>
            <w:pPr>
              <w:spacing w:after="0"/>
              <w:rPr>
                <w:sz w:val="20"/>
                <w:szCs w:val="20"/>
                <w:color w:val="auto"/>
              </w:rPr>
            </w:pPr>
          </w:p>
        </w:tc>
        <w:tc>
          <w:tcPr>
            <w:tcW w:w="840" w:type="dxa"/>
            <w:vAlign w:val="bottom"/>
            <w:tcBorders>
              <w:bottom w:val="single" w:sz="8" w:color="4C4C4E"/>
            </w:tcBorders>
            <w:shd w:val="clear" w:color="auto" w:fill="D8EEF4"/>
          </w:tcPr>
          <w:p>
            <w:pPr>
              <w:jc w:val="right"/>
              <w:ind w:right="640"/>
              <w:spacing w:after="0"/>
              <w:rPr>
                <w:sz w:val="20"/>
                <w:szCs w:val="20"/>
                <w:color w:val="auto"/>
              </w:rPr>
            </w:pPr>
            <w:r>
              <w:rPr>
                <w:rFonts w:ascii="Times New Roman" w:cs="Times New Roman" w:eastAsia="Times New Roman" w:hAnsi="Times New Roman"/>
                <w:sz w:val="20"/>
                <w:szCs w:val="20"/>
                <w:color w:val="4C4C4E"/>
                <w:w w:val="79"/>
              </w:rPr>
              <w:t>$</w:t>
            </w:r>
          </w:p>
        </w:tc>
        <w:tc>
          <w:tcPr>
            <w:tcW w:w="12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356.3</w:t>
            </w:r>
          </w:p>
        </w:tc>
        <w:tc>
          <w:tcPr>
            <w:tcW w:w="60" w:type="dxa"/>
            <w:vAlign w:val="bottom"/>
            <w:shd w:val="clear" w:color="auto" w:fill="D8EEF4"/>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780" w:type="dxa"/>
            <w:vAlign w:val="bottom"/>
            <w:tcBorders>
              <w:bottom w:val="single" w:sz="8" w:color="4C4C4E"/>
            </w:tcBorders>
          </w:tcPr>
          <w:p>
            <w:pPr>
              <w:spacing w:after="0" w:line="20" w:lineRule="exact"/>
              <w:rPr>
                <w:sz w:val="1"/>
                <w:szCs w:val="1"/>
                <w:color w:val="auto"/>
              </w:rPr>
            </w:pPr>
          </w:p>
        </w:tc>
        <w:tc>
          <w:tcPr>
            <w:tcW w:w="114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4C4C4E"/>
            </w:tcBorders>
          </w:tcPr>
          <w:p>
            <w:pPr>
              <w:spacing w:after="0" w:line="20" w:lineRule="exact"/>
              <w:rPr>
                <w:sz w:val="1"/>
                <w:szCs w:val="1"/>
                <w:color w:val="auto"/>
              </w:rPr>
            </w:pPr>
          </w:p>
        </w:tc>
        <w:tc>
          <w:tcPr>
            <w:tcW w:w="120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ind w:left="500" w:hanging="496"/>
        <w:spacing w:after="0" w:line="249" w:lineRule="auto"/>
        <w:tabs>
          <w:tab w:leader="none" w:pos="500" w:val="left"/>
        </w:tabs>
        <w:numPr>
          <w:ilvl w:val="0"/>
          <w:numId w:val="2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20"/>
          <w:szCs w:val="20"/>
          <w:color w:val="4C4C4E"/>
        </w:rPr>
      </w:pPr>
    </w:p>
    <w:p>
      <w:pPr>
        <w:ind w:left="500" w:right="120" w:hanging="496"/>
        <w:spacing w:after="0" w:line="248" w:lineRule="auto"/>
        <w:tabs>
          <w:tab w:leader="none" w:pos="500" w:val="left"/>
        </w:tabs>
        <w:numPr>
          <w:ilvl w:val="0"/>
          <w:numId w:val="2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Our estimate of the fair value of the current investments in these portfolio companies includes an analysis of the fair value of any unfunded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Other Commitments and Contingencies</w:t>
      </w:r>
    </w:p>
    <w:p>
      <w:pPr>
        <w:spacing w:after="0" w:line="118" w:lineRule="exact"/>
        <w:rPr>
          <w:sz w:val="20"/>
          <w:szCs w:val="20"/>
          <w:color w:val="auto"/>
        </w:rPr>
      </w:pPr>
    </w:p>
    <w:p>
      <w:pPr>
        <w:ind w:right="460" w:firstLine="245"/>
        <w:spacing w:after="0" w:line="277" w:lineRule="auto"/>
        <w:rPr>
          <w:sz w:val="20"/>
          <w:szCs w:val="20"/>
          <w:color w:val="auto"/>
        </w:rPr>
      </w:pPr>
      <w:r>
        <w:rPr>
          <w:rFonts w:ascii="Times New Roman" w:cs="Times New Roman" w:eastAsia="Times New Roman" w:hAnsi="Times New Roman"/>
          <w:sz w:val="20"/>
          <w:szCs w:val="20"/>
          <w:color w:val="4C4C4E"/>
        </w:rPr>
        <w:t>As of December 31, 2025 and December 31, 2024, we did not have any unfunded commitments to fund investments to new borrowers that were not current portfolio companies as of such date.</w:t>
      </w:r>
    </w:p>
    <w:p>
      <w:pPr>
        <w:spacing w:after="0" w:line="169" w:lineRule="exact"/>
        <w:rPr>
          <w:sz w:val="20"/>
          <w:szCs w:val="20"/>
          <w:color w:val="auto"/>
        </w:rPr>
      </w:pPr>
    </w:p>
    <w:p>
      <w:pPr>
        <w:ind w:right="320" w:firstLine="245"/>
        <w:spacing w:after="0" w:line="258" w:lineRule="auto"/>
        <w:rPr>
          <w:sz w:val="20"/>
          <w:szCs w:val="20"/>
          <w:color w:val="auto"/>
        </w:rPr>
      </w:pPr>
      <w:r>
        <w:rPr>
          <w:rFonts w:ascii="Times New Roman" w:cs="Times New Roman" w:eastAsia="Times New Roman" w:hAnsi="Times New Roman"/>
          <w:sz w:val="20"/>
          <w:szCs w:val="20"/>
          <w:color w:val="4C4C4E"/>
        </w:rPr>
        <w:t>From time to time, we may become a party to certain legal proceedings incidental to the normal course of our business. As of December 31, 2025, management is not aware of any material pending or threatened litigation that would require accounting recognition or financial statement disclosure.</w:t>
      </w:r>
    </w:p>
    <w:p>
      <w:pPr>
        <w:sectPr>
          <w:pgSz w:w="11880" w:h="15480" w:orient="portrait"/>
          <w:cols w:equalWidth="0" w:num="1">
            <w:col w:w="10600"/>
          </w:cols>
          <w:pgMar w:left="680" w:top="76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C4C4E"/>
        </w:rPr>
        <w:t>15</w:t>
      </w:r>
    </w:p>
    <w:p>
      <w:pPr>
        <w:sectPr>
          <w:pgSz w:w="11880" w:h="15480" w:orient="portrait"/>
          <w:cols w:equalWidth="0" w:num="1">
            <w:col w:w="10600"/>
          </w:cols>
          <w:pgMar w:left="680" w:top="764" w:right="60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i w:val="1"/>
          <w:iCs w:val="1"/>
          <w:color w:val="4C4C4E"/>
        </w:rPr>
        <w:t>Competition</w:t>
      </w:r>
    </w:p>
    <w:p>
      <w:pPr>
        <w:spacing w:after="0" w:line="118"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4C4C4E"/>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20"/>
          <w:szCs w:val="20"/>
          <w:i w:val="1"/>
          <w:iCs w:val="1"/>
          <w:color w:val="4C4C4E"/>
        </w:rPr>
        <w:t>ITEM 1A. RISK FACTORS—Risks Related to Our Business and Structure—We operate in</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a highly competitive market for investment opportunities.</w:t>
      </w:r>
      <w:r>
        <w:rPr>
          <w:rFonts w:ascii="Times New Roman" w:cs="Times New Roman" w:eastAsia="Times New Roman" w:hAnsi="Times New Roman"/>
          <w:sz w:val="20"/>
          <w:szCs w:val="20"/>
          <w:color w:val="4C4C4E"/>
        </w:rPr>
        <w: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Capital Resources and Borrowings</w:t>
      </w:r>
    </w:p>
    <w:p>
      <w:pPr>
        <w:spacing w:after="0" w:line="118" w:lineRule="exact"/>
        <w:rPr>
          <w:sz w:val="20"/>
          <w:szCs w:val="20"/>
          <w:color w:val="auto"/>
        </w:rPr>
      </w:pPr>
    </w:p>
    <w:p>
      <w:pPr>
        <w:ind w:right="380" w:firstLine="245"/>
        <w:spacing w:after="0" w:line="258" w:lineRule="auto"/>
        <w:rPr>
          <w:sz w:val="20"/>
          <w:szCs w:val="20"/>
          <w:color w:val="auto"/>
        </w:rPr>
      </w:pPr>
      <w:r>
        <w:rPr>
          <w:rFonts w:ascii="Times New Roman" w:cs="Times New Roman" w:eastAsia="Times New Roman" w:hAnsi="Times New Roman"/>
          <w:sz w:val="20"/>
          <w:szCs w:val="20"/>
          <w:color w:val="4C4C4E"/>
        </w:rPr>
        <w:t>We anticipate generating cash in the future from cash flows from operations, including interest received on our cash and cash equivalents, U.S. government securities and other high-quality debt investments that mature in one year or less, and through issuances of common stock.</w:t>
      </w:r>
    </w:p>
    <w:p>
      <w:pPr>
        <w:spacing w:after="0" w:line="188" w:lineRule="exact"/>
        <w:rPr>
          <w:sz w:val="20"/>
          <w:szCs w:val="20"/>
          <w:color w:val="auto"/>
        </w:rPr>
      </w:pPr>
    </w:p>
    <w:p>
      <w:pPr>
        <w:ind w:right="160" w:firstLine="245"/>
        <w:spacing w:after="0" w:line="252" w:lineRule="auto"/>
        <w:rPr>
          <w:sz w:val="20"/>
          <w:szCs w:val="20"/>
          <w:color w:val="auto"/>
        </w:rPr>
      </w:pPr>
      <w:r>
        <w:rPr>
          <w:rFonts w:ascii="Times New Roman" w:cs="Times New Roman" w:eastAsia="Times New Roman" w:hAnsi="Times New Roman"/>
          <w:sz w:val="20"/>
          <w:szCs w:val="20"/>
          <w:color w:val="4C4C4E"/>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2025 and December 31, 2024, our asset coverage was 191.5% and 182.5%, respectively. See “</w:t>
      </w:r>
      <w:r>
        <w:rPr>
          <w:rFonts w:ascii="Times New Roman" w:cs="Times New Roman" w:eastAsia="Times New Roman" w:hAnsi="Times New Roman"/>
          <w:sz w:val="20"/>
          <w:szCs w:val="20"/>
          <w:i w:val="1"/>
          <w:iCs w:val="1"/>
          <w:color w:val="4C4C4E"/>
        </w:rPr>
        <w:t>Regulation as a Business Development Company—Senior Securities</w:t>
      </w:r>
      <w:r>
        <w:rPr>
          <w:rFonts w:ascii="Times New Roman" w:cs="Times New Roman" w:eastAsia="Times New Roman" w:hAnsi="Times New Roman"/>
          <w:sz w:val="20"/>
          <w:szCs w:val="20"/>
          <w:color w:val="4C4C4E"/>
        </w:rPr>
        <w:t>” below.</w:t>
      </w:r>
    </w:p>
    <w:p>
      <w:pPr>
        <w:spacing w:after="0" w:line="194" w:lineRule="exact"/>
        <w:rPr>
          <w:sz w:val="20"/>
          <w:szCs w:val="20"/>
          <w:color w:val="auto"/>
        </w:rPr>
      </w:pPr>
    </w:p>
    <w:p>
      <w:pPr>
        <w:ind w:right="180" w:firstLine="245"/>
        <w:spacing w:after="0" w:line="249" w:lineRule="auto"/>
        <w:rPr>
          <w:sz w:val="20"/>
          <w:szCs w:val="20"/>
          <w:color w:val="auto"/>
        </w:rPr>
      </w:pPr>
      <w:r>
        <w:rPr>
          <w:rFonts w:ascii="Times New Roman" w:cs="Times New Roman" w:eastAsia="Times New Roman" w:hAnsi="Times New Roman"/>
          <w:sz w:val="20"/>
          <w:szCs w:val="20"/>
          <w:color w:val="4C4C4E"/>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Debt obligations consisted of the following as of December 31, 2025 and December 31, 2024:</w:t>
      </w:r>
    </w:p>
    <w:p>
      <w:pPr>
        <w:spacing w:after="0" w:line="290" w:lineRule="exact"/>
        <w:rPr>
          <w:sz w:val="20"/>
          <w:szCs w:val="20"/>
          <w:color w:val="auto"/>
        </w:rPr>
      </w:pPr>
    </w:p>
    <w:tbl>
      <w:tblPr>
        <w:tblLayout w:type="fixed"/>
        <w:tblInd w:w="106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right"/>
              <w:ind w:right="625"/>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0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4C4C4E"/>
              </w:rPr>
              <w:t>Aggregate Principal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4C4C4E"/>
                <w:w w:val="98"/>
              </w:rPr>
              <w:t>Outstanding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4C4C4E"/>
              </w:rPr>
              <w:t>Amount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4C4C4E"/>
              </w:rPr>
              <w:t>Carrying</w:t>
            </w:r>
          </w:p>
        </w:tc>
        <w:tc>
          <w:tcPr>
            <w:tcW w:w="80" w:type="dxa"/>
            <w:vAlign w:val="bottom"/>
          </w:tcPr>
          <w:p>
            <w:pPr>
              <w:spacing w:after="0"/>
              <w:rPr>
                <w:sz w:val="17"/>
                <w:szCs w:val="17"/>
                <w:color w:val="auto"/>
              </w:rPr>
            </w:pPr>
          </w:p>
        </w:tc>
      </w:tr>
      <w:tr>
        <w:trPr>
          <w:trHeight w:val="203"/>
        </w:trPr>
        <w:tc>
          <w:tcPr>
            <w:tcW w:w="30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1400" w:type="dxa"/>
            <w:vAlign w:val="bottom"/>
            <w:tcBorders>
              <w:bottom w:val="single" w:sz="8" w:color="4C4C4E"/>
            </w:tcBorders>
            <w:gridSpan w:val="2"/>
          </w:tcPr>
          <w:p>
            <w:pPr>
              <w:spacing w:after="0"/>
              <w:rPr>
                <w:sz w:val="20"/>
                <w:szCs w:val="20"/>
                <w:color w:val="auto"/>
              </w:rPr>
            </w:pPr>
            <w:r>
              <w:rPr>
                <w:rFonts w:ascii="Times New Roman" w:cs="Times New Roman" w:eastAsia="Times New Roman" w:hAnsi="Times New Roman"/>
                <w:sz w:val="16"/>
                <w:szCs w:val="16"/>
                <w:b w:val="1"/>
                <w:bCs w:val="1"/>
                <w:color w:val="4C4C4E"/>
              </w:rPr>
              <w:t>Amount Committed</w:t>
            </w:r>
          </w:p>
        </w:tc>
        <w:tc>
          <w:tcPr>
            <w:tcW w:w="200" w:type="dxa"/>
            <w:vAlign w:val="bottom"/>
            <w:tcBorders>
              <w:bottom w:val="single" w:sz="8" w:color="D8EEF4"/>
            </w:tcBorders>
          </w:tcPr>
          <w:p>
            <w:pPr>
              <w:spacing w:after="0"/>
              <w:rPr>
                <w:sz w:val="17"/>
                <w:szCs w:val="17"/>
                <w:color w:val="auto"/>
              </w:rPr>
            </w:pPr>
          </w:p>
        </w:tc>
        <w:tc>
          <w:tcPr>
            <w:tcW w:w="120" w:type="dxa"/>
            <w:vAlign w:val="bottom"/>
            <w:tcBorders>
              <w:bottom w:val="single" w:sz="8" w:color="4C4C4E"/>
            </w:tcBorders>
          </w:tcPr>
          <w:p>
            <w:pPr>
              <w:spacing w:after="0"/>
              <w:rPr>
                <w:sz w:val="17"/>
                <w:szCs w:val="17"/>
                <w:color w:val="auto"/>
              </w:rPr>
            </w:pPr>
          </w:p>
        </w:tc>
        <w:tc>
          <w:tcPr>
            <w:tcW w:w="1020" w:type="dxa"/>
            <w:vAlign w:val="bottom"/>
            <w:tcBorders>
              <w:bottom w:val="single" w:sz="8" w:color="4C4C4E"/>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4C4C4E"/>
              </w:rPr>
              <w:t>Principal</w:t>
            </w:r>
          </w:p>
        </w:tc>
        <w:tc>
          <w:tcPr>
            <w:tcW w:w="20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1000" w:type="dxa"/>
            <w:vAlign w:val="bottom"/>
            <w:tcBorders>
              <w:bottom w:val="single" w:sz="8" w:color="4C4C4E"/>
            </w:tcBorders>
          </w:tcPr>
          <w:p>
            <w:pPr>
              <w:jc w:val="right"/>
              <w:ind w:right="65"/>
              <w:spacing w:after="0" w:line="204" w:lineRule="exact"/>
              <w:rPr>
                <w:sz w:val="20"/>
                <w:szCs w:val="20"/>
                <w:color w:val="auto"/>
              </w:rPr>
            </w:pPr>
            <w:r>
              <w:rPr>
                <w:rFonts w:ascii="Times New Roman" w:cs="Times New Roman" w:eastAsia="Times New Roman" w:hAnsi="Times New Roman"/>
                <w:sz w:val="16"/>
                <w:szCs w:val="16"/>
                <w:b w:val="1"/>
                <w:bCs w:val="1"/>
                <w:color w:val="4C4C4E"/>
                <w:w w:val="97"/>
              </w:rPr>
              <w:t xml:space="preserve">Available </w:t>
            </w:r>
            <w:r>
              <w:rPr>
                <w:rFonts w:ascii="Times New Roman" w:cs="Times New Roman" w:eastAsia="Times New Roman" w:hAnsi="Times New Roman"/>
                <w:sz w:val="20"/>
                <w:szCs w:val="20"/>
                <w:b w:val="1"/>
                <w:bCs w:val="1"/>
                <w:color w:val="4C4C4E"/>
                <w:w w:val="97"/>
                <w:vertAlign w:val="superscript"/>
              </w:rPr>
              <w:t>(1)</w:t>
            </w:r>
          </w:p>
        </w:tc>
        <w:tc>
          <w:tcPr>
            <w:tcW w:w="220" w:type="dxa"/>
            <w:vAlign w:val="bottom"/>
            <w:tcBorders>
              <w:bottom w:val="single" w:sz="8" w:color="D8EEF4"/>
            </w:tcBorders>
          </w:tcPr>
          <w:p>
            <w:pPr>
              <w:spacing w:after="0"/>
              <w:rPr>
                <w:sz w:val="17"/>
                <w:szCs w:val="17"/>
                <w:color w:val="auto"/>
              </w:rPr>
            </w:pPr>
          </w:p>
        </w:tc>
        <w:tc>
          <w:tcPr>
            <w:tcW w:w="160" w:type="dxa"/>
            <w:vAlign w:val="bottom"/>
            <w:tcBorders>
              <w:bottom w:val="single" w:sz="8" w:color="4C4C4E"/>
            </w:tcBorders>
          </w:tcPr>
          <w:p>
            <w:pPr>
              <w:spacing w:after="0"/>
              <w:rPr>
                <w:sz w:val="17"/>
                <w:szCs w:val="17"/>
                <w:color w:val="auto"/>
              </w:rPr>
            </w:pPr>
          </w:p>
        </w:tc>
        <w:tc>
          <w:tcPr>
            <w:tcW w:w="980" w:type="dxa"/>
            <w:vAlign w:val="bottom"/>
            <w:tcBorders>
              <w:bottom w:val="single" w:sz="8" w:color="4C4C4E"/>
            </w:tcBorders>
          </w:tcPr>
          <w:p>
            <w:pPr>
              <w:jc w:val="right"/>
              <w:ind w:right="150"/>
              <w:spacing w:after="0" w:line="203" w:lineRule="exact"/>
              <w:rPr>
                <w:sz w:val="20"/>
                <w:szCs w:val="20"/>
                <w:color w:val="auto"/>
              </w:rPr>
            </w:pPr>
            <w:r>
              <w:rPr>
                <w:rFonts w:ascii="Times New Roman" w:cs="Times New Roman" w:eastAsia="Times New Roman" w:hAnsi="Times New Roman"/>
                <w:sz w:val="23"/>
                <w:szCs w:val="23"/>
                <w:b w:val="1"/>
                <w:bCs w:val="1"/>
                <w:color w:val="4C4C4E"/>
                <w:vertAlign w:val="subscript"/>
              </w:rPr>
              <w:t>Value</w:t>
            </w:r>
            <w:r>
              <w:rPr>
                <w:rFonts w:ascii="Times New Roman" w:cs="Times New Roman" w:eastAsia="Times New Roman" w:hAnsi="Times New Roman"/>
                <w:sz w:val="9"/>
                <w:szCs w:val="9"/>
                <w:b w:val="1"/>
                <w:bCs w:val="1"/>
                <w:color w:val="4C4C4E"/>
              </w:rPr>
              <w:t xml:space="preserve"> (2)(3)</w:t>
            </w:r>
          </w:p>
        </w:tc>
        <w:tc>
          <w:tcPr>
            <w:tcW w:w="80" w:type="dxa"/>
            <w:vAlign w:val="bottom"/>
            <w:tcBorders>
              <w:bottom w:val="single" w:sz="8" w:color="D8EEF4"/>
            </w:tcBorders>
          </w:tcPr>
          <w:p>
            <w:pPr>
              <w:spacing w:after="0"/>
              <w:rPr>
                <w:sz w:val="17"/>
                <w:szCs w:val="17"/>
                <w:color w:val="auto"/>
              </w:rPr>
            </w:pPr>
          </w:p>
        </w:tc>
      </w:tr>
      <w:tr>
        <w:trPr>
          <w:trHeight w:val="239"/>
        </w:trPr>
        <w:tc>
          <w:tcPr>
            <w:tcW w:w="30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Revolving Credit Facility</w:t>
            </w:r>
          </w:p>
        </w:tc>
        <w:tc>
          <w:tcPr>
            <w:tcW w:w="4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w:t>
            </w: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1,675.0</w:t>
            </w:r>
          </w:p>
        </w:tc>
        <w:tc>
          <w:tcPr>
            <w:tcW w:w="200" w:type="dxa"/>
            <w:vAlign w:val="bottom"/>
            <w:shd w:val="clear" w:color="auto" w:fill="D8EEF4"/>
          </w:tcPr>
          <w:p>
            <w:pPr>
              <w:spacing w:after="0"/>
              <w:rPr>
                <w:sz w:val="20"/>
                <w:szCs w:val="20"/>
                <w:color w:val="auto"/>
              </w:rPr>
            </w:pPr>
          </w:p>
        </w:tc>
        <w:tc>
          <w:tcPr>
            <w:tcW w:w="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513.9</w:t>
            </w:r>
          </w:p>
        </w:tc>
        <w:tc>
          <w:tcPr>
            <w:tcW w:w="200" w:type="dxa"/>
            <w:vAlign w:val="bottom"/>
            <w:shd w:val="clear" w:color="auto" w:fill="D8EEF4"/>
          </w:tcPr>
          <w:p>
            <w:pPr>
              <w:spacing w:after="0"/>
              <w:rPr>
                <w:sz w:val="20"/>
                <w:szCs w:val="20"/>
                <w:color w:val="auto"/>
              </w:rPr>
            </w:pPr>
          </w:p>
        </w:tc>
        <w:tc>
          <w:tcPr>
            <w:tcW w:w="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1,139.3</w:t>
            </w:r>
          </w:p>
        </w:tc>
        <w:tc>
          <w:tcPr>
            <w:tcW w:w="220" w:type="dxa"/>
            <w:vAlign w:val="bottom"/>
            <w:shd w:val="clear" w:color="auto" w:fill="D8EEF4"/>
          </w:tcPr>
          <w:p>
            <w:pPr>
              <w:spacing w:after="0"/>
              <w:rPr>
                <w:sz w:val="20"/>
                <w:szCs w:val="20"/>
                <w:color w:val="auto"/>
              </w:rPr>
            </w:pP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498.8</w:t>
            </w:r>
          </w:p>
        </w:tc>
        <w:tc>
          <w:tcPr>
            <w:tcW w:w="80" w:type="dxa"/>
            <w:vAlign w:val="bottom"/>
            <w:shd w:val="clear" w:color="auto" w:fill="D8EEF4"/>
          </w:tcPr>
          <w:p>
            <w:pPr>
              <w:spacing w:after="0"/>
              <w:rPr>
                <w:sz w:val="20"/>
                <w:szCs w:val="20"/>
                <w:color w:val="auto"/>
              </w:rPr>
            </w:pPr>
          </w:p>
        </w:tc>
      </w:tr>
      <w:tr>
        <w:trPr>
          <w:trHeight w:val="244"/>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4C4C4E"/>
              </w:rPr>
              <w:t>2026 Notes</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293.5</w:t>
            </w:r>
          </w:p>
        </w:tc>
        <w:tc>
          <w:tcPr>
            <w:tcW w:w="80" w:type="dxa"/>
            <w:vAlign w:val="bottom"/>
          </w:tcPr>
          <w:p>
            <w:pPr>
              <w:spacing w:after="0"/>
              <w:rPr>
                <w:sz w:val="21"/>
                <w:szCs w:val="21"/>
                <w:color w:val="auto"/>
              </w:rPr>
            </w:pPr>
          </w:p>
        </w:tc>
      </w:tr>
      <w:tr>
        <w:trPr>
          <w:trHeight w:val="244"/>
        </w:trPr>
        <w:tc>
          <w:tcPr>
            <w:tcW w:w="30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2028 Notes</w:t>
            </w:r>
          </w:p>
        </w:tc>
        <w:tc>
          <w:tcPr>
            <w:tcW w:w="440" w:type="dxa"/>
            <w:vAlign w:val="bottom"/>
            <w:shd w:val="clear" w:color="auto" w:fill="D8EEF4"/>
          </w:tcPr>
          <w:p>
            <w:pPr>
              <w:spacing w:after="0"/>
              <w:rPr>
                <w:sz w:val="21"/>
                <w:szCs w:val="21"/>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00" w:type="dxa"/>
            <w:vAlign w:val="bottom"/>
            <w:shd w:val="clear" w:color="auto" w:fill="D8EEF4"/>
          </w:tcPr>
          <w:p>
            <w:pPr>
              <w:spacing w:after="0"/>
              <w:rPr>
                <w:sz w:val="21"/>
                <w:szCs w:val="21"/>
                <w:color w:val="auto"/>
              </w:rPr>
            </w:pPr>
          </w:p>
        </w:tc>
        <w:tc>
          <w:tcPr>
            <w:tcW w:w="120" w:type="dxa"/>
            <w:vAlign w:val="bottom"/>
            <w:shd w:val="clear" w:color="auto" w:fill="D8EEF4"/>
          </w:tcPr>
          <w:p>
            <w:pPr>
              <w:spacing w:after="0"/>
              <w:rPr>
                <w:sz w:val="21"/>
                <w:szCs w:val="21"/>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0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10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shd w:val="clear" w:color="auto" w:fill="D8EEF4"/>
          </w:tcPr>
          <w:p>
            <w:pPr>
              <w:spacing w:after="0"/>
              <w:rPr>
                <w:sz w:val="21"/>
                <w:szCs w:val="21"/>
                <w:color w:val="auto"/>
              </w:rPr>
            </w:pPr>
          </w:p>
        </w:tc>
        <w:tc>
          <w:tcPr>
            <w:tcW w:w="160" w:type="dxa"/>
            <w:vAlign w:val="bottom"/>
            <w:shd w:val="clear" w:color="auto" w:fill="D8EEF4"/>
          </w:tcPr>
          <w:p>
            <w:pPr>
              <w:spacing w:after="0"/>
              <w:rPr>
                <w:sz w:val="21"/>
                <w:szCs w:val="21"/>
                <w:color w:val="auto"/>
              </w:rPr>
            </w:pP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301.2</w:t>
            </w:r>
          </w:p>
        </w:tc>
        <w:tc>
          <w:tcPr>
            <w:tcW w:w="80" w:type="dxa"/>
            <w:vAlign w:val="bottom"/>
            <w:shd w:val="clear" w:color="auto" w:fill="D8EEF4"/>
          </w:tcPr>
          <w:p>
            <w:pPr>
              <w:spacing w:after="0"/>
              <w:rPr>
                <w:sz w:val="21"/>
                <w:szCs w:val="21"/>
                <w:color w:val="auto"/>
              </w:rPr>
            </w:pPr>
          </w:p>
        </w:tc>
      </w:tr>
      <w:tr>
        <w:trPr>
          <w:trHeight w:val="244"/>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4C4C4E"/>
              </w:rPr>
              <w:t>2029 Notes</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348.0</w:t>
            </w:r>
          </w:p>
        </w:tc>
        <w:tc>
          <w:tcPr>
            <w:tcW w:w="80" w:type="dxa"/>
            <w:vAlign w:val="bottom"/>
          </w:tcPr>
          <w:p>
            <w:pPr>
              <w:spacing w:after="0"/>
              <w:rPr>
                <w:sz w:val="21"/>
                <w:szCs w:val="21"/>
                <w:color w:val="auto"/>
              </w:rPr>
            </w:pPr>
          </w:p>
        </w:tc>
      </w:tr>
      <w:tr>
        <w:trPr>
          <w:trHeight w:val="244"/>
        </w:trPr>
        <w:tc>
          <w:tcPr>
            <w:tcW w:w="30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2030 Notes</w:t>
            </w:r>
          </w:p>
        </w:tc>
        <w:tc>
          <w:tcPr>
            <w:tcW w:w="440" w:type="dxa"/>
            <w:vAlign w:val="bottom"/>
            <w:tcBorders>
              <w:bottom w:val="single" w:sz="8" w:color="4C4C4E"/>
            </w:tcBorders>
            <w:shd w:val="clear" w:color="auto" w:fill="D8EEF4"/>
          </w:tcPr>
          <w:p>
            <w:pPr>
              <w:spacing w:after="0"/>
              <w:rPr>
                <w:sz w:val="21"/>
                <w:szCs w:val="21"/>
                <w:color w:val="auto"/>
              </w:rPr>
            </w:pPr>
          </w:p>
        </w:tc>
        <w:tc>
          <w:tcPr>
            <w:tcW w:w="9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00" w:type="dxa"/>
            <w:vAlign w:val="bottom"/>
            <w:shd w:val="clear" w:color="auto" w:fill="D8EEF4"/>
          </w:tcPr>
          <w:p>
            <w:pPr>
              <w:spacing w:after="0"/>
              <w:rPr>
                <w:sz w:val="21"/>
                <w:szCs w:val="21"/>
                <w:color w:val="auto"/>
              </w:rPr>
            </w:pPr>
          </w:p>
        </w:tc>
        <w:tc>
          <w:tcPr>
            <w:tcW w:w="120" w:type="dxa"/>
            <w:vAlign w:val="bottom"/>
            <w:tcBorders>
              <w:bottom w:val="single" w:sz="8" w:color="4C4C4E"/>
            </w:tcBorders>
            <w:shd w:val="clear" w:color="auto" w:fill="D8EEF4"/>
          </w:tcPr>
          <w:p>
            <w:pPr>
              <w:spacing w:after="0"/>
              <w:rPr>
                <w:sz w:val="21"/>
                <w:szCs w:val="21"/>
                <w:color w:val="auto"/>
              </w:rPr>
            </w:pPr>
          </w:p>
        </w:tc>
        <w:tc>
          <w:tcPr>
            <w:tcW w:w="10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00" w:type="dxa"/>
            <w:vAlign w:val="bottom"/>
            <w:shd w:val="clear" w:color="auto" w:fill="D8EEF4"/>
          </w:tcPr>
          <w:p>
            <w:pPr>
              <w:spacing w:after="0"/>
              <w:rPr>
                <w:sz w:val="21"/>
                <w:szCs w:val="21"/>
                <w:color w:val="auto"/>
              </w:rPr>
            </w:pPr>
          </w:p>
        </w:tc>
        <w:tc>
          <w:tcPr>
            <w:tcW w:w="140" w:type="dxa"/>
            <w:vAlign w:val="bottom"/>
            <w:tcBorders>
              <w:bottom w:val="single" w:sz="8" w:color="4C4C4E"/>
            </w:tcBorders>
            <w:shd w:val="clear" w:color="auto" w:fill="D8EEF4"/>
          </w:tcPr>
          <w:p>
            <w:pPr>
              <w:spacing w:after="0"/>
              <w:rPr>
                <w:sz w:val="21"/>
                <w:szCs w:val="21"/>
                <w:color w:val="auto"/>
              </w:rPr>
            </w:pPr>
          </w:p>
        </w:tc>
        <w:tc>
          <w:tcPr>
            <w:tcW w:w="10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shd w:val="clear" w:color="auto" w:fill="D8EEF4"/>
          </w:tcPr>
          <w:p>
            <w:pPr>
              <w:spacing w:after="0"/>
              <w:rPr>
                <w:sz w:val="21"/>
                <w:szCs w:val="21"/>
                <w:color w:val="auto"/>
              </w:rPr>
            </w:pPr>
          </w:p>
        </w:tc>
        <w:tc>
          <w:tcPr>
            <w:tcW w:w="160" w:type="dxa"/>
            <w:vAlign w:val="bottom"/>
            <w:tcBorders>
              <w:bottom w:val="single" w:sz="8" w:color="4C4C4E"/>
            </w:tcBorders>
            <w:shd w:val="clear" w:color="auto" w:fill="D8EEF4"/>
          </w:tcPr>
          <w:p>
            <w:pPr>
              <w:spacing w:after="0"/>
              <w:rPr>
                <w:sz w:val="21"/>
                <w:szCs w:val="21"/>
                <w:color w:val="auto"/>
              </w:rPr>
            </w:pPr>
          </w:p>
        </w:tc>
        <w:tc>
          <w:tcPr>
            <w:tcW w:w="9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301.7</w:t>
            </w:r>
          </w:p>
        </w:tc>
        <w:tc>
          <w:tcPr>
            <w:tcW w:w="80" w:type="dxa"/>
            <w:vAlign w:val="bottom"/>
            <w:shd w:val="clear" w:color="auto" w:fill="D8EEF4"/>
          </w:tcPr>
          <w:p>
            <w:pPr>
              <w:spacing w:after="0"/>
              <w:rPr>
                <w:sz w:val="21"/>
                <w:szCs w:val="21"/>
                <w:color w:val="auto"/>
              </w:rPr>
            </w:pPr>
          </w:p>
        </w:tc>
      </w:tr>
      <w:tr>
        <w:trPr>
          <w:trHeight w:val="239"/>
        </w:trPr>
        <w:tc>
          <w:tcPr>
            <w:tcW w:w="30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Debt</w:t>
            </w:r>
          </w:p>
        </w:tc>
        <w:tc>
          <w:tcPr>
            <w:tcW w:w="4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w:t>
            </w:r>
          </w:p>
        </w:tc>
        <w:tc>
          <w:tcPr>
            <w:tcW w:w="9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2,925.0</w:t>
            </w:r>
          </w:p>
        </w:tc>
        <w:tc>
          <w:tcPr>
            <w:tcW w:w="200" w:type="dxa"/>
            <w:vAlign w:val="bottom"/>
          </w:tcPr>
          <w:p>
            <w:pPr>
              <w:spacing w:after="0"/>
              <w:rPr>
                <w:sz w:val="20"/>
                <w:szCs w:val="20"/>
                <w:color w:val="auto"/>
              </w:rPr>
            </w:pPr>
          </w:p>
        </w:tc>
        <w:tc>
          <w:tcPr>
            <w:tcW w:w="1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1,763.9</w:t>
            </w:r>
          </w:p>
        </w:tc>
        <w:tc>
          <w:tcPr>
            <w:tcW w:w="200" w:type="dxa"/>
            <w:vAlign w:val="bottom"/>
          </w:tcPr>
          <w:p>
            <w:pPr>
              <w:spacing w:after="0"/>
              <w:rPr>
                <w:sz w:val="20"/>
                <w:szCs w:val="20"/>
                <w:color w:val="auto"/>
              </w:rPr>
            </w:pPr>
          </w:p>
        </w:tc>
        <w:tc>
          <w:tcPr>
            <w:tcW w:w="14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1,139.3</w:t>
            </w:r>
          </w:p>
        </w:tc>
        <w:tc>
          <w:tcPr>
            <w:tcW w:w="220" w:type="dxa"/>
            <w:vAlign w:val="bottom"/>
          </w:tcPr>
          <w:p>
            <w:pPr>
              <w:spacing w:after="0"/>
              <w:rPr>
                <w:sz w:val="20"/>
                <w:szCs w:val="20"/>
                <w:color w:val="auto"/>
              </w:rPr>
            </w:pPr>
          </w:p>
        </w:tc>
        <w:tc>
          <w:tcPr>
            <w:tcW w:w="1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1,743.2</w:t>
            </w:r>
          </w:p>
        </w:tc>
        <w:tc>
          <w:tcPr>
            <w:tcW w:w="80" w:type="dxa"/>
            <w:vAlign w:val="bottom"/>
          </w:tcPr>
          <w:p>
            <w:pPr>
              <w:spacing w:after="0"/>
              <w:rPr>
                <w:sz w:val="20"/>
                <w:szCs w:val="20"/>
                <w:color w:val="auto"/>
              </w:rPr>
            </w:pPr>
          </w:p>
        </w:tc>
      </w:tr>
      <w:tr>
        <w:trPr>
          <w:trHeight w:val="20"/>
        </w:trPr>
        <w:tc>
          <w:tcPr>
            <w:tcW w:w="3020" w:type="dxa"/>
            <w:vAlign w:val="bottom"/>
          </w:tcPr>
          <w:p>
            <w:pPr>
              <w:spacing w:after="0" w:line="20" w:lineRule="exact"/>
              <w:rPr>
                <w:sz w:val="1"/>
                <w:szCs w:val="1"/>
                <w:color w:val="auto"/>
              </w:rPr>
            </w:pPr>
          </w:p>
        </w:tc>
        <w:tc>
          <w:tcPr>
            <w:tcW w:w="440" w:type="dxa"/>
            <w:vAlign w:val="bottom"/>
            <w:tcBorders>
              <w:bottom w:val="single" w:sz="8" w:color="4C4C4E"/>
            </w:tcBorders>
          </w:tcPr>
          <w:p>
            <w:pPr>
              <w:spacing w:after="0" w:line="20" w:lineRule="exact"/>
              <w:rPr>
                <w:sz w:val="1"/>
                <w:szCs w:val="1"/>
                <w:color w:val="auto"/>
              </w:rPr>
            </w:pPr>
          </w:p>
        </w:tc>
        <w:tc>
          <w:tcPr>
            <w:tcW w:w="96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102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100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98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-1252220</wp:posOffset>
            </wp:positionV>
            <wp:extent cx="34925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extLst>
                    </a:blip>
                    <a:srcRect/>
                    <a:stretch>
                      <a:fillRect/>
                    </a:stretch>
                  </pic:blipFill>
                  <pic:spPr bwMode="auto">
                    <a:xfrm>
                      <a:off x="0" y="0"/>
                      <a:ext cx="3492500" cy="38100"/>
                    </a:xfrm>
                    <a:prstGeom prst="rect">
                      <a:avLst/>
                    </a:prstGeom>
                    <a:noFill/>
                  </pic:spPr>
                </pic:pic>
              </a:graphicData>
            </a:graphic>
          </wp:anchor>
        </w:drawing>
      </w:r>
    </w:p>
    <w:p>
      <w:pPr>
        <w:spacing w:after="0" w:line="237" w:lineRule="exact"/>
        <w:rPr>
          <w:sz w:val="20"/>
          <w:szCs w:val="20"/>
          <w:color w:val="auto"/>
        </w:rPr>
      </w:pPr>
    </w:p>
    <w:p>
      <w:pPr>
        <w:ind w:left="500" w:right="740" w:hanging="496"/>
        <w:spacing w:after="0" w:line="254" w:lineRule="auto"/>
        <w:tabs>
          <w:tab w:leader="none" w:pos="500" w:val="left"/>
        </w:tabs>
        <w:numPr>
          <w:ilvl w:val="0"/>
          <w:numId w:val="25"/>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amount available may be subject to limitations related to the borrowing base under the Revolving Credit Facility, outstanding letters of credit issued and asset coverage requirements.</w:t>
      </w:r>
    </w:p>
    <w:p>
      <w:pPr>
        <w:spacing w:after="0" w:line="1" w:lineRule="exact"/>
        <w:rPr>
          <w:rFonts w:ascii="Times New Roman" w:cs="Times New Roman" w:eastAsia="Times New Roman" w:hAnsi="Times New Roman"/>
          <w:sz w:val="20"/>
          <w:szCs w:val="20"/>
          <w:color w:val="4C4C4E"/>
        </w:rPr>
      </w:pPr>
    </w:p>
    <w:p>
      <w:pPr>
        <w:ind w:left="500" w:hanging="496"/>
        <w:spacing w:after="0"/>
        <w:tabs>
          <w:tab w:leader="none" w:pos="500" w:val="left"/>
        </w:tabs>
        <w:numPr>
          <w:ilvl w:val="0"/>
          <w:numId w:val="25"/>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values of the Revolving Credit Facility, 2026 Notes, 2028 Notes, 2029 Notes and 2030 Notes are presented net of deferred financing costs and original issue discounts totaling $15.1 million, $0.7 million, $3.3 million, $5.3 million and $6.6 million, respectively.</w:t>
      </w:r>
    </w:p>
    <w:p>
      <w:pPr>
        <w:ind w:left="500" w:hanging="496"/>
        <w:spacing w:after="0"/>
        <w:tabs>
          <w:tab w:leader="none" w:pos="500" w:val="left"/>
        </w:tabs>
        <w:numPr>
          <w:ilvl w:val="0"/>
          <w:numId w:val="25"/>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 of the 2026 Notes, 2028 Notes, 2029 Notes and 2030 Notes are presented inclusive of an incremental</w:t>
      </w:r>
    </w:p>
    <w:p>
      <w:pPr>
        <w:ind w:left="500" w:right="80"/>
        <w:spacing w:after="0" w:line="248" w:lineRule="auto"/>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$(5.8) million, $4.5 million, $3.3 million and $8.3 million, respectively, which represents an adjustment in the carrying values of the 2026 Notes, 2028 Notes, 2029 Notes and 2030 Notes, each resulting from a hedge accounting relationship.</w:t>
      </w:r>
    </w:p>
    <w:p>
      <w:pPr>
        <w:spacing w:after="0" w:line="197" w:lineRule="exact"/>
        <w:rPr>
          <w:sz w:val="20"/>
          <w:szCs w:val="20"/>
          <w:color w:val="auto"/>
        </w:rPr>
      </w:pPr>
    </w:p>
    <w:tbl>
      <w:tblPr>
        <w:tblLayout w:type="fixed"/>
        <w:tblInd w:w="1060" w:type="dxa"/>
        <w:tblCellMar>
          <w:top w:w="0" w:type="dxa"/>
          <w:left w:w="0" w:type="dxa"/>
          <w:bottom w:w="0" w:type="dxa"/>
          <w:right w:w="0" w:type="dxa"/>
        </w:tblCellMar>
      </w:tblPr>
      <w:tr>
        <w:trPr>
          <w:trHeight w:val="199"/>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726"/>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4"/>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6"/>
                <w:szCs w:val="16"/>
                <w:b w:val="1"/>
                <w:bCs w:val="1"/>
                <w:color w:val="4C4C4E"/>
                <w:w w:val="99"/>
              </w:rPr>
              <w:t>Aggregate Principal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4C4C4E"/>
              </w:rPr>
              <w:t>Outstanding</w:t>
            </w:r>
          </w:p>
        </w:tc>
        <w:tc>
          <w:tcPr>
            <w:tcW w:w="120" w:type="dxa"/>
            <w:vAlign w:val="bottom"/>
          </w:tcPr>
          <w:p>
            <w:pPr>
              <w:spacing w:after="0"/>
              <w:rPr>
                <w:sz w:val="16"/>
                <w:szCs w:val="16"/>
                <w:color w:val="auto"/>
              </w:rPr>
            </w:pPr>
          </w:p>
        </w:tc>
        <w:tc>
          <w:tcPr>
            <w:tcW w:w="100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4C4C4E"/>
              </w:rPr>
              <w:t>Amount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4C4C4E"/>
              </w:rPr>
              <w:t>Carrying</w:t>
            </w: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100" w:type="dxa"/>
            <w:vAlign w:val="bottom"/>
          </w:tcPr>
          <w:p>
            <w:pPr>
              <w:spacing w:after="0"/>
              <w:rPr>
                <w:sz w:val="17"/>
                <w:szCs w:val="17"/>
                <w:color w:val="auto"/>
              </w:rPr>
            </w:pP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6"/>
                <w:szCs w:val="16"/>
                <w:b w:val="1"/>
                <w:bCs w:val="1"/>
                <w:color w:val="4C4C4E"/>
                <w:w w:val="99"/>
              </w:rPr>
              <w:t>Amount Committed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4C4C4E"/>
              </w:rPr>
              <w:t>Principal</w:t>
            </w:r>
          </w:p>
        </w:tc>
        <w:tc>
          <w:tcPr>
            <w:tcW w:w="120" w:type="dxa"/>
            <w:vAlign w:val="bottom"/>
          </w:tcPr>
          <w:p>
            <w:pPr>
              <w:spacing w:after="0"/>
              <w:rPr>
                <w:sz w:val="17"/>
                <w:szCs w:val="17"/>
                <w:color w:val="auto"/>
              </w:rPr>
            </w:pPr>
          </w:p>
        </w:tc>
        <w:tc>
          <w:tcPr>
            <w:tcW w:w="1000" w:type="dxa"/>
            <w:vAlign w:val="bottom"/>
          </w:tcPr>
          <w:p>
            <w:pPr>
              <w:jc w:val="right"/>
              <w:ind w:right="66"/>
              <w:spacing w:after="0" w:line="204" w:lineRule="exact"/>
              <w:rPr>
                <w:sz w:val="20"/>
                <w:szCs w:val="20"/>
                <w:color w:val="auto"/>
              </w:rPr>
            </w:pPr>
            <w:r>
              <w:rPr>
                <w:rFonts w:ascii="Times New Roman" w:cs="Times New Roman" w:eastAsia="Times New Roman" w:hAnsi="Times New Roman"/>
                <w:sz w:val="16"/>
                <w:szCs w:val="16"/>
                <w:b w:val="1"/>
                <w:bCs w:val="1"/>
                <w:color w:val="4C4C4E"/>
                <w:w w:val="97"/>
              </w:rPr>
              <w:t xml:space="preserve">Available </w:t>
            </w:r>
            <w:r>
              <w:rPr>
                <w:rFonts w:ascii="Times New Roman" w:cs="Times New Roman" w:eastAsia="Times New Roman" w:hAnsi="Times New Roman"/>
                <w:sz w:val="20"/>
                <w:szCs w:val="20"/>
                <w:b w:val="1"/>
                <w:bCs w:val="1"/>
                <w:color w:val="4C4C4E"/>
                <w:w w:val="97"/>
                <w:vertAlign w:val="superscript"/>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line="203" w:lineRule="exact"/>
              <w:rPr>
                <w:sz w:val="20"/>
                <w:szCs w:val="20"/>
                <w:color w:val="auto"/>
              </w:rPr>
            </w:pPr>
            <w:r>
              <w:rPr>
                <w:rFonts w:ascii="Times New Roman" w:cs="Times New Roman" w:eastAsia="Times New Roman" w:hAnsi="Times New Roman"/>
                <w:sz w:val="23"/>
                <w:szCs w:val="23"/>
                <w:b w:val="1"/>
                <w:bCs w:val="1"/>
                <w:color w:val="4C4C4E"/>
                <w:vertAlign w:val="subscript"/>
              </w:rPr>
              <w:t>Value</w:t>
            </w:r>
            <w:r>
              <w:rPr>
                <w:rFonts w:ascii="Times New Roman" w:cs="Times New Roman" w:eastAsia="Times New Roman" w:hAnsi="Times New Roman"/>
                <w:sz w:val="9"/>
                <w:szCs w:val="9"/>
                <w:b w:val="1"/>
                <w:bCs w:val="1"/>
                <w:color w:val="4C4C4E"/>
              </w:rPr>
              <w:t xml:space="preserve"> (2)(3)</w:t>
            </w:r>
          </w:p>
        </w:tc>
      </w:tr>
      <w:tr>
        <w:trPr>
          <w:trHeight w:val="225"/>
        </w:trPr>
        <w:tc>
          <w:tcPr>
            <w:tcW w:w="282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Revolving Credit Facility</w:t>
            </w:r>
          </w:p>
        </w:tc>
        <w:tc>
          <w:tcPr>
            <w:tcW w:w="1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5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1,700.0</w:t>
            </w:r>
          </w:p>
        </w:tc>
        <w:tc>
          <w:tcPr>
            <w:tcW w:w="200" w:type="dxa"/>
            <w:vAlign w:val="bottom"/>
            <w:tcBorders>
              <w:top w:val="single" w:sz="8" w:color="D8EEF4"/>
            </w:tcBorders>
            <w:shd w:val="clear" w:color="auto" w:fill="D8EEF4"/>
          </w:tcPr>
          <w:p>
            <w:pPr>
              <w:spacing w:after="0"/>
              <w:rPr>
                <w:sz w:val="19"/>
                <w:szCs w:val="19"/>
                <w:color w:val="auto"/>
              </w:rPr>
            </w:pPr>
          </w:p>
        </w:tc>
        <w:tc>
          <w:tcPr>
            <w:tcW w:w="1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1,004.1</w:t>
            </w:r>
          </w:p>
        </w:tc>
        <w:tc>
          <w:tcPr>
            <w:tcW w:w="220" w:type="dxa"/>
            <w:vAlign w:val="bottom"/>
            <w:tcBorders>
              <w:top w:val="single" w:sz="8" w:color="D8EEF4"/>
            </w:tcBorders>
            <w:shd w:val="clear" w:color="auto" w:fill="D8EEF4"/>
          </w:tcPr>
          <w:p>
            <w:pPr>
              <w:spacing w:after="0"/>
              <w:rPr>
                <w:sz w:val="19"/>
                <w:szCs w:val="19"/>
                <w:color w:val="auto"/>
              </w:rPr>
            </w:pPr>
          </w:p>
        </w:tc>
        <w:tc>
          <w:tcPr>
            <w:tcW w:w="1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674.2</w:t>
            </w:r>
          </w:p>
        </w:tc>
        <w:tc>
          <w:tcPr>
            <w:tcW w:w="22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988.6</w:t>
            </w:r>
          </w:p>
        </w:tc>
        <w:tc>
          <w:tcPr>
            <w:tcW w:w="80" w:type="dxa"/>
            <w:vAlign w:val="bottom"/>
            <w:tcBorders>
              <w:top w:val="single" w:sz="8" w:color="D8EEF4"/>
            </w:tcBorders>
            <w:shd w:val="clear" w:color="auto" w:fill="D8EEF4"/>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4C4C4E"/>
              </w:rPr>
              <w:t>2026 Notes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280.5</w:t>
            </w:r>
          </w:p>
        </w:tc>
        <w:tc>
          <w:tcPr>
            <w:tcW w:w="80" w:type="dxa"/>
            <w:vAlign w:val="bottom"/>
          </w:tcPr>
          <w:p>
            <w:pPr>
              <w:spacing w:after="0"/>
              <w:rPr>
                <w:sz w:val="20"/>
                <w:szCs w:val="20"/>
                <w:color w:val="auto"/>
              </w:rPr>
            </w:pPr>
          </w:p>
        </w:tc>
      </w:tr>
      <w:tr>
        <w:trPr>
          <w:trHeight w:val="230"/>
        </w:trPr>
        <w:tc>
          <w:tcPr>
            <w:tcW w:w="2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2028 Notes</w:t>
            </w:r>
          </w:p>
        </w:tc>
        <w:tc>
          <w:tcPr>
            <w:tcW w:w="100" w:type="dxa"/>
            <w:vAlign w:val="bottom"/>
            <w:shd w:val="clear" w:color="auto" w:fill="D8EEF4"/>
          </w:tcPr>
          <w:p>
            <w:pPr>
              <w:spacing w:after="0"/>
              <w:rPr>
                <w:sz w:val="20"/>
                <w:szCs w:val="20"/>
                <w:color w:val="auto"/>
              </w:rPr>
            </w:pP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00" w:type="dxa"/>
            <w:vAlign w:val="bottom"/>
            <w:shd w:val="clear" w:color="auto" w:fill="D8EEF4"/>
          </w:tcPr>
          <w:p>
            <w:pPr>
              <w:spacing w:after="0"/>
              <w:rPr>
                <w:sz w:val="20"/>
                <w:szCs w:val="20"/>
                <w:color w:val="auto"/>
              </w:rPr>
            </w:pPr>
          </w:p>
        </w:tc>
        <w:tc>
          <w:tcPr>
            <w:tcW w:w="120" w:type="dxa"/>
            <w:vAlign w:val="bottom"/>
            <w:shd w:val="clear" w:color="auto" w:fill="D8EEF4"/>
          </w:tcPr>
          <w:p>
            <w:pPr>
              <w:spacing w:after="0"/>
              <w:rPr>
                <w:sz w:val="20"/>
                <w:szCs w:val="20"/>
                <w:color w:val="auto"/>
              </w:rPr>
            </w:pPr>
          </w:p>
        </w:tc>
        <w:tc>
          <w:tcPr>
            <w:tcW w:w="124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300.0</w:t>
            </w:r>
          </w:p>
        </w:tc>
        <w:tc>
          <w:tcPr>
            <w:tcW w:w="120" w:type="dxa"/>
            <w:vAlign w:val="bottom"/>
            <w:shd w:val="clear" w:color="auto" w:fill="D8EEF4"/>
          </w:tcPr>
          <w:p>
            <w:pPr>
              <w:spacing w:after="0"/>
              <w:rPr>
                <w:sz w:val="20"/>
                <w:szCs w:val="20"/>
                <w:color w:val="auto"/>
              </w:rPr>
            </w:pPr>
          </w:p>
        </w:tc>
        <w:tc>
          <w:tcPr>
            <w:tcW w:w="10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106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294.1</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4C4C4E"/>
              </w:rPr>
              <w:t>2029 Notes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350.0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337.9</w:t>
            </w:r>
          </w:p>
        </w:tc>
      </w:tr>
      <w:tr>
        <w:trPr>
          <w:trHeight w:val="225"/>
        </w:trPr>
        <w:tc>
          <w:tcPr>
            <w:tcW w:w="2820" w:type="dxa"/>
            <w:vAlign w:val="bottom"/>
            <w:tcBorders>
              <w:top w:val="single" w:sz="8" w:color="D8EEF4"/>
            </w:tcBorders>
            <w:shd w:val="clear" w:color="auto" w:fill="D8EEF4"/>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4C4C4E"/>
              </w:rPr>
              <w:t>Total Debt</w:t>
            </w:r>
          </w:p>
        </w:tc>
        <w:tc>
          <w:tcPr>
            <w:tcW w:w="10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50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2,650.0</w:t>
            </w:r>
          </w:p>
        </w:tc>
        <w:tc>
          <w:tcPr>
            <w:tcW w:w="200" w:type="dxa"/>
            <w:vAlign w:val="bottom"/>
            <w:tcBorders>
              <w:top w:val="single" w:sz="8" w:color="D8EEF4"/>
            </w:tcBorders>
            <w:shd w:val="clear" w:color="auto" w:fill="D8EEF4"/>
          </w:tcPr>
          <w:p>
            <w:pPr>
              <w:spacing w:after="0"/>
              <w:rPr>
                <w:sz w:val="19"/>
                <w:szCs w:val="19"/>
                <w:color w:val="auto"/>
              </w:rPr>
            </w:pPr>
          </w:p>
        </w:tc>
        <w:tc>
          <w:tcPr>
            <w:tcW w:w="12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2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1,954.1</w:t>
            </w:r>
          </w:p>
        </w:tc>
        <w:tc>
          <w:tcPr>
            <w:tcW w:w="220" w:type="dxa"/>
            <w:vAlign w:val="bottom"/>
            <w:tcBorders>
              <w:top w:val="single" w:sz="8" w:color="D8EEF4"/>
            </w:tcBorders>
            <w:shd w:val="clear" w:color="auto" w:fill="D8EEF4"/>
          </w:tcPr>
          <w:p>
            <w:pPr>
              <w:spacing w:after="0"/>
              <w:rPr>
                <w:sz w:val="19"/>
                <w:szCs w:val="19"/>
                <w:color w:val="auto"/>
              </w:rPr>
            </w:pPr>
          </w:p>
        </w:tc>
        <w:tc>
          <w:tcPr>
            <w:tcW w:w="12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0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674.2</w:t>
            </w:r>
          </w:p>
        </w:tc>
        <w:tc>
          <w:tcPr>
            <w:tcW w:w="22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1,901.1</w:t>
            </w:r>
          </w:p>
        </w:tc>
        <w:tc>
          <w:tcPr>
            <w:tcW w:w="80" w:type="dxa"/>
            <w:vAlign w:val="bottom"/>
            <w:tcBorders>
              <w:top w:val="single" w:sz="8" w:color="D8EEF4"/>
            </w:tcBorders>
            <w:shd w:val="clear" w:color="auto" w:fill="D8EEF4"/>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50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102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100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98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2442210</wp:posOffset>
            </wp:positionH>
            <wp:positionV relativeFrom="paragraph">
              <wp:posOffset>-1034415</wp:posOffset>
            </wp:positionV>
            <wp:extent cx="361823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extLst>
                    </a:blip>
                    <a:srcRect/>
                    <a:stretch>
                      <a:fillRect/>
                    </a:stretch>
                  </pic:blipFill>
                  <pic:spPr bwMode="auto">
                    <a:xfrm>
                      <a:off x="0" y="0"/>
                      <a:ext cx="3618230" cy="38100"/>
                    </a:xfrm>
                    <a:prstGeom prst="rect">
                      <a:avLst/>
                    </a:prstGeom>
                    <a:noFill/>
                  </pic:spPr>
                </pic:pic>
              </a:graphicData>
            </a:graphic>
          </wp:anchor>
        </w:drawing>
      </w:r>
    </w:p>
    <w:p>
      <w:pPr>
        <w:sectPr>
          <w:pgSz w:w="11880" w:h="15480" w:orient="portrait"/>
          <w:cols w:equalWidth="0" w:num="1">
            <w:col w:w="10660"/>
          </w:cols>
          <w:pgMar w:left="680" w:top="75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16</w:t>
      </w:r>
    </w:p>
    <w:p>
      <w:pPr>
        <w:sectPr>
          <w:pgSz w:w="11880" w:h="15480" w:orient="portrait"/>
          <w:cols w:equalWidth="0" w:num="1">
            <w:col w:w="10660"/>
          </w:cols>
          <w:pgMar w:left="680" w:top="752" w:right="540" w:bottom="0" w:gutter="0" w:footer="0" w:header="0"/>
          <w:type w:val="continuous"/>
        </w:sectPr>
      </w:pPr>
    </w:p>
    <w:bookmarkStart w:id="16" w:name="page17"/>
    <w:bookmarkEnd w:id="16"/>
    <w:p>
      <w:pPr>
        <w:ind w:left="500" w:right="720" w:hanging="496"/>
        <w:spacing w:after="0" w:line="254" w:lineRule="auto"/>
        <w:tabs>
          <w:tab w:leader="none" w:pos="500" w:val="left"/>
        </w:tabs>
        <w:numPr>
          <w:ilvl w:val="0"/>
          <w:numId w:val="26"/>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amount available may be subject to limitations related to the borrowing base under the Revolving Credit Facility, outstanding letters of credit issued and asset coverage requirements.</w:t>
      </w:r>
    </w:p>
    <w:p>
      <w:pPr>
        <w:spacing w:after="0" w:line="1" w:lineRule="exact"/>
        <w:rPr>
          <w:rFonts w:ascii="Times New Roman" w:cs="Times New Roman" w:eastAsia="Times New Roman" w:hAnsi="Times New Roman"/>
          <w:sz w:val="20"/>
          <w:szCs w:val="20"/>
          <w:color w:val="4C4C4E"/>
        </w:rPr>
      </w:pPr>
    </w:p>
    <w:p>
      <w:pPr>
        <w:ind w:left="500" w:right="200" w:hanging="496"/>
        <w:spacing w:after="0" w:line="252" w:lineRule="auto"/>
        <w:tabs>
          <w:tab w:leader="none" w:pos="500" w:val="left"/>
        </w:tabs>
        <w:numPr>
          <w:ilvl w:val="0"/>
          <w:numId w:val="26"/>
        </w:numPr>
        <w:rPr>
          <w:rFonts w:ascii="Times New Roman" w:cs="Times New Roman" w:eastAsia="Times New Roman" w:hAnsi="Times New Roman"/>
          <w:sz w:val="19"/>
          <w:szCs w:val="19"/>
          <w:color w:val="4C4C4E"/>
        </w:rPr>
      </w:pPr>
      <w:r>
        <w:rPr>
          <w:rFonts w:ascii="Times New Roman" w:cs="Times New Roman" w:eastAsia="Times New Roman" w:hAnsi="Times New Roman"/>
          <w:sz w:val="19"/>
          <w:szCs w:val="19"/>
          <w:color w:val="4C4C4E"/>
        </w:rPr>
        <w:t>The carrying values of the Revolving Credit Facility, 2026 Notes, 2028 Notes and 2029 Notes are presented net of deferred financing costs and original issue discounts totaling $15.4 million, $1.8 million, $4.5 million, and $6.9 million, respectively.</w:t>
      </w:r>
    </w:p>
    <w:p>
      <w:pPr>
        <w:spacing w:after="0" w:line="1" w:lineRule="exact"/>
        <w:rPr>
          <w:rFonts w:ascii="Times New Roman" w:cs="Times New Roman" w:eastAsia="Times New Roman" w:hAnsi="Times New Roman"/>
          <w:sz w:val="19"/>
          <w:szCs w:val="19"/>
          <w:color w:val="4C4C4E"/>
        </w:rPr>
      </w:pPr>
    </w:p>
    <w:p>
      <w:pPr>
        <w:jc w:val="both"/>
        <w:ind w:left="500" w:right="100" w:hanging="496"/>
        <w:spacing w:after="0" w:line="244" w:lineRule="auto"/>
        <w:tabs>
          <w:tab w:leader="none" w:pos="500" w:val="left"/>
        </w:tabs>
        <w:numPr>
          <w:ilvl w:val="0"/>
          <w:numId w:val="26"/>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 of the 2026 Notes, 2028 Notes, and 2029 Notes are presented inclusive of an incremental $(17.6) million, $(1.4) million and $(5.2) million, respectively, which represents an adjustment in the carrying values of the 2026 Notes, 2028 Notes and 2029 Notes, each resulting from a hedge accounting relationship.</w:t>
      </w:r>
    </w:p>
    <w:p>
      <w:pPr>
        <w:spacing w:after="0" w:line="201" w:lineRule="exact"/>
        <w:rPr>
          <w:sz w:val="20"/>
          <w:szCs w:val="20"/>
          <w:color w:val="auto"/>
        </w:rPr>
      </w:pPr>
    </w:p>
    <w:p>
      <w:pPr>
        <w:ind w:right="160" w:firstLine="245"/>
        <w:spacing w:after="0" w:line="277" w:lineRule="auto"/>
        <w:rPr>
          <w:sz w:val="20"/>
          <w:szCs w:val="20"/>
          <w:color w:val="auto"/>
        </w:rPr>
      </w:pPr>
      <w:r>
        <w:rPr>
          <w:rFonts w:ascii="Times New Roman" w:cs="Times New Roman" w:eastAsia="Times New Roman" w:hAnsi="Times New Roman"/>
          <w:sz w:val="20"/>
          <w:szCs w:val="20"/>
          <w:color w:val="4C4C4E"/>
        </w:rPr>
        <w:t>For the years ended December 31, 2025, December 31, 2024, and December 31, 2023, the components of interest expense were as follows:</w:t>
      </w:r>
    </w:p>
    <w:p>
      <w:pPr>
        <w:spacing w:after="0" w:line="290" w:lineRule="exact"/>
        <w:rPr>
          <w:sz w:val="20"/>
          <w:szCs w:val="20"/>
          <w:color w:val="auto"/>
        </w:rPr>
      </w:pPr>
    </w:p>
    <w:tbl>
      <w:tblPr>
        <w:tblLayout w:type="fixed"/>
        <w:tblInd w:w="1060" w:type="dxa"/>
        <w:tblCellMar>
          <w:top w:w="0" w:type="dxa"/>
          <w:left w:w="0" w:type="dxa"/>
          <w:bottom w:w="0" w:type="dxa"/>
          <w:right w:w="0" w:type="dxa"/>
        </w:tblCellMar>
      </w:tblPr>
      <w:tr>
        <w:trPr>
          <w:trHeight w:val="199"/>
        </w:trPr>
        <w:tc>
          <w:tcPr>
            <w:tcW w:w="3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420" w:type="dxa"/>
            <w:vAlign w:val="bottom"/>
          </w:tcPr>
          <w:p>
            <w:pPr>
              <w:spacing w:after="0" w:line="204" w:lineRule="exact"/>
              <w:rPr>
                <w:sz w:val="20"/>
                <w:szCs w:val="20"/>
                <w:color w:val="auto"/>
              </w:rPr>
            </w:pPr>
            <w:r>
              <w:rPr>
                <w:rFonts w:ascii="Times New Roman" w:cs="Times New Roman" w:eastAsia="Times New Roman" w:hAnsi="Times New Roman"/>
                <w:sz w:val="16"/>
                <w:szCs w:val="16"/>
                <w:color w:val="4C4C4E"/>
              </w:rPr>
              <w:t xml:space="preserve">($ in millions) </w:t>
            </w:r>
            <w:r>
              <w:rPr>
                <w:rFonts w:ascii="Times New Roman" w:cs="Times New Roman" w:eastAsia="Times New Roman" w:hAnsi="Times New Roman"/>
                <w:sz w:val="20"/>
                <w:szCs w:val="20"/>
                <w:color w:val="4C4C4E"/>
                <w:vertAlign w:val="superscript"/>
              </w:rPr>
              <w:t>(1)</w:t>
            </w:r>
          </w:p>
        </w:tc>
        <w:tc>
          <w:tcPr>
            <w:tcW w:w="17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0" w:type="dxa"/>
            <w:vAlign w:val="bottom"/>
          </w:tcPr>
          <w:p>
            <w:pPr>
              <w:spacing w:after="0"/>
              <w:rPr>
                <w:sz w:val="17"/>
                <w:szCs w:val="17"/>
                <w:color w:val="auto"/>
              </w:rPr>
            </w:pPr>
          </w:p>
        </w:tc>
        <w:tc>
          <w:tcPr>
            <w:tcW w:w="1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16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4C4C4E"/>
              </w:rPr>
              <w:t>December 31, 2023</w:t>
            </w:r>
          </w:p>
        </w:tc>
      </w:tr>
      <w:tr>
        <w:trPr>
          <w:trHeight w:val="225"/>
        </w:trPr>
        <w:tc>
          <w:tcPr>
            <w:tcW w:w="342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Interest expense</w:t>
            </w:r>
          </w:p>
        </w:tc>
        <w:tc>
          <w:tcPr>
            <w:tcW w:w="420" w:type="dxa"/>
            <w:vAlign w:val="bottom"/>
            <w:tcBorders>
              <w:top w:val="single" w:sz="8" w:color="4C4C4E"/>
            </w:tcBorders>
            <w:shd w:val="clear" w:color="auto" w:fill="D8EEF4"/>
          </w:tcPr>
          <w:p>
            <w:pPr>
              <w:jc w:val="right"/>
              <w:ind w:right="225"/>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101.0</w:t>
            </w:r>
          </w:p>
        </w:tc>
        <w:tc>
          <w:tcPr>
            <w:tcW w:w="360" w:type="dxa"/>
            <w:vAlign w:val="bottom"/>
            <w:tcBorders>
              <w:top w:val="single" w:sz="8" w:color="D8EEF4"/>
            </w:tcBorders>
            <w:shd w:val="clear" w:color="auto" w:fill="D8EEF4"/>
          </w:tcPr>
          <w:p>
            <w:pPr>
              <w:spacing w:after="0"/>
              <w:rPr>
                <w:sz w:val="19"/>
                <w:szCs w:val="19"/>
                <w:color w:val="auto"/>
              </w:rPr>
            </w:pPr>
          </w:p>
        </w:tc>
        <w:tc>
          <w:tcPr>
            <w:tcW w:w="20" w:type="dxa"/>
            <w:vAlign w:val="bottom"/>
            <w:tcBorders>
              <w:top w:val="single" w:sz="8" w:color="4C4C4E"/>
            </w:tcBorders>
            <w:shd w:val="clear" w:color="auto" w:fill="D8EEF4"/>
          </w:tcPr>
          <w:p>
            <w:pPr>
              <w:spacing w:after="0"/>
              <w:rPr>
                <w:sz w:val="19"/>
                <w:szCs w:val="19"/>
                <w:color w:val="auto"/>
              </w:rPr>
            </w:pPr>
          </w:p>
        </w:tc>
        <w:tc>
          <w:tcPr>
            <w:tcW w:w="180" w:type="dxa"/>
            <w:vAlign w:val="bottom"/>
            <w:tcBorders>
              <w:top w:val="single" w:sz="8" w:color="4C4C4E"/>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w:t>
            </w:r>
          </w:p>
        </w:tc>
        <w:tc>
          <w:tcPr>
            <w:tcW w:w="11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105.2</w:t>
            </w:r>
          </w:p>
        </w:tc>
        <w:tc>
          <w:tcPr>
            <w:tcW w:w="420" w:type="dxa"/>
            <w:vAlign w:val="bottom"/>
            <w:tcBorders>
              <w:top w:val="single" w:sz="8" w:color="D8EEF4"/>
            </w:tcBorders>
            <w:shd w:val="clear" w:color="auto" w:fill="D8EEF4"/>
          </w:tcPr>
          <w:p>
            <w:pPr>
              <w:spacing w:after="0"/>
              <w:rPr>
                <w:sz w:val="19"/>
                <w:szCs w:val="19"/>
                <w:color w:val="auto"/>
              </w:rPr>
            </w:pPr>
          </w:p>
        </w:tc>
        <w:tc>
          <w:tcPr>
            <w:tcW w:w="20" w:type="dxa"/>
            <w:vAlign w:val="bottom"/>
            <w:tcBorders>
              <w:top w:val="single" w:sz="8" w:color="4C4C4E"/>
            </w:tcBorders>
            <w:shd w:val="clear" w:color="auto" w:fill="D8EEF4"/>
          </w:tcPr>
          <w:p>
            <w:pPr>
              <w:spacing w:after="0"/>
              <w:rPr>
                <w:sz w:val="19"/>
                <w:szCs w:val="19"/>
                <w:color w:val="auto"/>
              </w:rPr>
            </w:pPr>
          </w:p>
        </w:tc>
        <w:tc>
          <w:tcPr>
            <w:tcW w:w="420" w:type="dxa"/>
            <w:vAlign w:val="bottom"/>
            <w:tcBorders>
              <w:top w:val="single" w:sz="8" w:color="4C4C4E"/>
            </w:tcBorders>
            <w:shd w:val="clear" w:color="auto" w:fill="D8EEF4"/>
          </w:tcPr>
          <w:p>
            <w:pPr>
              <w:jc w:val="right"/>
              <w:ind w:right="256"/>
              <w:spacing w:after="0"/>
              <w:rPr>
                <w:sz w:val="20"/>
                <w:szCs w:val="20"/>
                <w:color w:val="auto"/>
              </w:rPr>
            </w:pPr>
            <w:r>
              <w:rPr>
                <w:rFonts w:ascii="Times New Roman" w:cs="Times New Roman" w:eastAsia="Times New Roman" w:hAnsi="Times New Roman"/>
                <w:sz w:val="17"/>
                <w:szCs w:val="17"/>
                <w:color w:val="4C4C4E"/>
                <w:w w:val="70"/>
              </w:rPr>
              <w:t>$</w:t>
            </w:r>
          </w:p>
        </w:tc>
        <w:tc>
          <w:tcPr>
            <w:tcW w:w="9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95.5</w:t>
            </w:r>
          </w:p>
        </w:tc>
        <w:tc>
          <w:tcPr>
            <w:tcW w:w="280" w:type="dxa"/>
            <w:vAlign w:val="bottom"/>
            <w:tcBorders>
              <w:top w:val="single" w:sz="8" w:color="D8EEF4"/>
            </w:tcBorders>
            <w:shd w:val="clear" w:color="auto" w:fill="D8EEF4"/>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4C4C4E"/>
              </w:rPr>
              <w:t>Commitment fees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3.6</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4.0</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2.9</w:t>
            </w:r>
          </w:p>
        </w:tc>
        <w:tc>
          <w:tcPr>
            <w:tcW w:w="280" w:type="dxa"/>
            <w:vAlign w:val="bottom"/>
          </w:tcPr>
          <w:p>
            <w:pPr>
              <w:spacing w:after="0"/>
              <w:rPr>
                <w:sz w:val="20"/>
                <w:szCs w:val="20"/>
                <w:color w:val="auto"/>
              </w:rPr>
            </w:pPr>
          </w:p>
        </w:tc>
      </w:tr>
      <w:tr>
        <w:trPr>
          <w:trHeight w:val="230"/>
        </w:trPr>
        <w:tc>
          <w:tcPr>
            <w:tcW w:w="34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Amortization of deferred financing costs</w:t>
            </w:r>
          </w:p>
        </w:tc>
        <w:tc>
          <w:tcPr>
            <w:tcW w:w="420" w:type="dxa"/>
            <w:vAlign w:val="bottom"/>
            <w:shd w:val="clear" w:color="auto" w:fill="D8EEF4"/>
          </w:tcPr>
          <w:p>
            <w:pPr>
              <w:spacing w:after="0"/>
              <w:rPr>
                <w:sz w:val="20"/>
                <w:szCs w:val="20"/>
                <w:color w:val="auto"/>
              </w:rPr>
            </w:pPr>
          </w:p>
        </w:tc>
        <w:tc>
          <w:tcPr>
            <w:tcW w:w="9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6.7</w:t>
            </w:r>
          </w:p>
        </w:tc>
        <w:tc>
          <w:tcPr>
            <w:tcW w:w="36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6.9</w:t>
            </w:r>
          </w:p>
        </w:tc>
        <w:tc>
          <w:tcPr>
            <w:tcW w:w="4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420" w:type="dxa"/>
            <w:vAlign w:val="bottom"/>
            <w:shd w:val="clear" w:color="auto" w:fill="D8EEF4"/>
          </w:tcPr>
          <w:p>
            <w:pPr>
              <w:spacing w:after="0"/>
              <w:rPr>
                <w:sz w:val="20"/>
                <w:szCs w:val="20"/>
                <w:color w:val="auto"/>
              </w:rPr>
            </w:pPr>
          </w:p>
        </w:tc>
        <w:tc>
          <w:tcPr>
            <w:tcW w:w="122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5.2</w:t>
            </w: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4C4C4E"/>
              </w:rPr>
              <w:t>Accretion of original issue discount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1.6</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0.9</w:t>
            </w:r>
          </w:p>
        </w:tc>
      </w:tr>
      <w:tr>
        <w:trPr>
          <w:trHeight w:val="250"/>
        </w:trPr>
        <w:tc>
          <w:tcPr>
            <w:tcW w:w="34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Swap settlement</w:t>
            </w:r>
          </w:p>
        </w:tc>
        <w:tc>
          <w:tcPr>
            <w:tcW w:w="420" w:type="dxa"/>
            <w:vAlign w:val="bottom"/>
            <w:shd w:val="clear" w:color="auto" w:fill="D8EEF4"/>
          </w:tcPr>
          <w:p>
            <w:pPr>
              <w:spacing w:after="0"/>
              <w:rPr>
                <w:sz w:val="21"/>
                <w:szCs w:val="21"/>
                <w:color w:val="auto"/>
              </w:rPr>
            </w:pPr>
          </w:p>
        </w:tc>
        <w:tc>
          <w:tcPr>
            <w:tcW w:w="9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16.3</w:t>
            </w:r>
          </w:p>
        </w:tc>
        <w:tc>
          <w:tcPr>
            <w:tcW w:w="36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36.5</w:t>
            </w:r>
          </w:p>
        </w:tc>
        <w:tc>
          <w:tcPr>
            <w:tcW w:w="4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420" w:type="dxa"/>
            <w:vAlign w:val="bottom"/>
            <w:shd w:val="clear" w:color="auto" w:fill="D8EEF4"/>
          </w:tcPr>
          <w:p>
            <w:pPr>
              <w:spacing w:after="0"/>
              <w:rPr>
                <w:sz w:val="21"/>
                <w:szCs w:val="21"/>
                <w:color w:val="auto"/>
              </w:rPr>
            </w:pPr>
          </w:p>
        </w:tc>
        <w:tc>
          <w:tcPr>
            <w:tcW w:w="122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29.2</w:t>
            </w:r>
          </w:p>
        </w:tc>
      </w:tr>
      <w:tr>
        <w:trPr>
          <w:trHeight w:val="245"/>
        </w:trPr>
        <w:tc>
          <w:tcPr>
            <w:tcW w:w="3420" w:type="dxa"/>
            <w:vAlign w:val="bottom"/>
            <w:tcBorders>
              <w:top w:val="single" w:sz="8" w:color="D8EEF4"/>
              <w:bottom w:val="single" w:sz="8" w:color="D8EEF4"/>
            </w:tcBorders>
          </w:tcPr>
          <w:p>
            <w:pPr>
              <w:ind w:left="200"/>
              <w:spacing w:after="0" w:line="205" w:lineRule="exact"/>
              <w:rPr>
                <w:sz w:val="20"/>
                <w:szCs w:val="20"/>
                <w:color w:val="auto"/>
              </w:rPr>
            </w:pPr>
            <w:r>
              <w:rPr>
                <w:rFonts w:ascii="Times New Roman" w:cs="Times New Roman" w:eastAsia="Times New Roman" w:hAnsi="Times New Roman"/>
                <w:sz w:val="20"/>
                <w:szCs w:val="20"/>
                <w:b w:val="1"/>
                <w:bCs w:val="1"/>
                <w:color w:val="4C4C4E"/>
              </w:rPr>
              <w:t>Total Interest Expense</w:t>
            </w:r>
          </w:p>
        </w:tc>
        <w:tc>
          <w:tcPr>
            <w:tcW w:w="420" w:type="dxa"/>
            <w:vAlign w:val="bottom"/>
            <w:tcBorders>
              <w:top w:val="single" w:sz="8" w:color="4C4C4E"/>
              <w:bottom w:val="single" w:sz="8" w:color="4C4C4E"/>
            </w:tcBorders>
          </w:tcPr>
          <w:p>
            <w:pPr>
              <w:jc w:val="right"/>
              <w:ind w:right="225"/>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940" w:type="dxa"/>
            <w:vAlign w:val="bottom"/>
            <w:tcBorders>
              <w:top w:val="single" w:sz="8" w:color="4C4C4E"/>
              <w:bottom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rPr>
              <w:t>129.6</w:t>
            </w:r>
          </w:p>
        </w:tc>
        <w:tc>
          <w:tcPr>
            <w:tcW w:w="360" w:type="dxa"/>
            <w:vAlign w:val="bottom"/>
            <w:tcBorders>
              <w:top w:val="single" w:sz="8" w:color="D8EEF4"/>
              <w:bottom w:val="single" w:sz="8" w:color="D8EEF4"/>
            </w:tcBorders>
          </w:tcPr>
          <w:p>
            <w:pPr>
              <w:spacing w:after="0"/>
              <w:rPr>
                <w:sz w:val="21"/>
                <w:szCs w:val="21"/>
                <w:color w:val="auto"/>
              </w:rPr>
            </w:pPr>
          </w:p>
        </w:tc>
        <w:tc>
          <w:tcPr>
            <w:tcW w:w="200" w:type="dxa"/>
            <w:vAlign w:val="bottom"/>
            <w:tcBorders>
              <w:top w:val="single" w:sz="8" w:color="4C4C4E"/>
              <w:bottom w:val="single" w:sz="8" w:color="4C4C4E"/>
            </w:tcBorders>
            <w:gridSpan w:val="2"/>
          </w:tcPr>
          <w:p>
            <w:pPr>
              <w:spacing w:after="0" w:line="205" w:lineRule="exact"/>
              <w:rPr>
                <w:sz w:val="20"/>
                <w:szCs w:val="20"/>
                <w:color w:val="auto"/>
              </w:rPr>
            </w:pPr>
            <w:r>
              <w:rPr>
                <w:rFonts w:ascii="Times New Roman" w:cs="Times New Roman" w:eastAsia="Times New Roman" w:hAnsi="Times New Roman"/>
                <w:sz w:val="20"/>
                <w:szCs w:val="20"/>
                <w:color w:val="4C4C4E"/>
              </w:rPr>
              <w:t>$</w:t>
            </w:r>
          </w:p>
        </w:tc>
        <w:tc>
          <w:tcPr>
            <w:tcW w:w="1120" w:type="dxa"/>
            <w:vAlign w:val="bottom"/>
            <w:tcBorders>
              <w:top w:val="single" w:sz="8" w:color="4C4C4E"/>
              <w:bottom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rPr>
              <w:t>154.2</w:t>
            </w:r>
          </w:p>
        </w:tc>
        <w:tc>
          <w:tcPr>
            <w:tcW w:w="420" w:type="dxa"/>
            <w:vAlign w:val="bottom"/>
            <w:tcBorders>
              <w:top w:val="single" w:sz="8" w:color="D8EEF4"/>
              <w:bottom w:val="single" w:sz="8" w:color="D8EEF4"/>
            </w:tcBorders>
          </w:tcPr>
          <w:p>
            <w:pPr>
              <w:spacing w:after="0"/>
              <w:rPr>
                <w:sz w:val="21"/>
                <w:szCs w:val="21"/>
                <w:color w:val="auto"/>
              </w:rPr>
            </w:pPr>
          </w:p>
        </w:tc>
        <w:tc>
          <w:tcPr>
            <w:tcW w:w="20" w:type="dxa"/>
            <w:vAlign w:val="bottom"/>
            <w:tcBorders>
              <w:top w:val="single" w:sz="8" w:color="4C4C4E"/>
              <w:bottom w:val="single" w:sz="8" w:color="4C4C4E"/>
            </w:tcBorders>
          </w:tcPr>
          <w:p>
            <w:pPr>
              <w:spacing w:after="0"/>
              <w:rPr>
                <w:sz w:val="21"/>
                <w:szCs w:val="21"/>
                <w:color w:val="auto"/>
              </w:rPr>
            </w:pPr>
          </w:p>
        </w:tc>
        <w:tc>
          <w:tcPr>
            <w:tcW w:w="420" w:type="dxa"/>
            <w:vAlign w:val="bottom"/>
            <w:tcBorders>
              <w:top w:val="single" w:sz="8" w:color="4C4C4E"/>
              <w:bottom w:val="single" w:sz="8" w:color="4C4C4E"/>
            </w:tcBorders>
          </w:tcPr>
          <w:p>
            <w:pPr>
              <w:jc w:val="right"/>
              <w:ind w:right="256"/>
              <w:spacing w:after="0"/>
              <w:rPr>
                <w:sz w:val="20"/>
                <w:szCs w:val="20"/>
                <w:color w:val="auto"/>
              </w:rPr>
            </w:pPr>
            <w:r>
              <w:rPr>
                <w:rFonts w:ascii="Times New Roman" w:cs="Times New Roman" w:eastAsia="Times New Roman" w:hAnsi="Times New Roman"/>
                <w:sz w:val="17"/>
                <w:szCs w:val="17"/>
                <w:color w:val="4C4C4E"/>
                <w:w w:val="70"/>
              </w:rPr>
              <w:t>$</w:t>
            </w:r>
          </w:p>
        </w:tc>
        <w:tc>
          <w:tcPr>
            <w:tcW w:w="940" w:type="dxa"/>
            <w:vAlign w:val="bottom"/>
            <w:tcBorders>
              <w:top w:val="single" w:sz="8" w:color="4C4C4E"/>
              <w:bottom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rPr>
              <w:t>133.7</w:t>
            </w:r>
          </w:p>
        </w:tc>
        <w:tc>
          <w:tcPr>
            <w:tcW w:w="280" w:type="dxa"/>
            <w:vAlign w:val="bottom"/>
            <w:tcBorders>
              <w:top w:val="single" w:sz="8" w:color="D8EEF4"/>
              <w:bottom w:val="single" w:sz="8" w:color="D8EEF4"/>
            </w:tcBorders>
          </w:tcPr>
          <w:p>
            <w:pPr>
              <w:spacing w:after="0"/>
              <w:rPr>
                <w:sz w:val="21"/>
                <w:szCs w:val="21"/>
                <w:color w:val="auto"/>
              </w:rPr>
            </w:pPr>
          </w:p>
        </w:tc>
      </w:tr>
      <w:tr>
        <w:trPr>
          <w:trHeight w:val="215"/>
        </w:trPr>
        <w:tc>
          <w:tcPr>
            <w:tcW w:w="3420" w:type="dxa"/>
            <w:vAlign w:val="bottom"/>
            <w:shd w:val="clear" w:color="auto" w:fill="D8EEF4"/>
          </w:tcPr>
          <w:p>
            <w:pPr>
              <w:spacing w:after="0" w:line="215" w:lineRule="exact"/>
              <w:rPr>
                <w:sz w:val="20"/>
                <w:szCs w:val="20"/>
                <w:color w:val="auto"/>
              </w:rPr>
            </w:pPr>
            <w:r>
              <w:rPr>
                <w:rFonts w:ascii="Times New Roman" w:cs="Times New Roman" w:eastAsia="Times New Roman" w:hAnsi="Times New Roman"/>
                <w:sz w:val="20"/>
                <w:szCs w:val="20"/>
                <w:color w:val="4C4C4E"/>
              </w:rPr>
              <w:t>Average debt outstanding</w:t>
            </w:r>
          </w:p>
        </w:tc>
        <w:tc>
          <w:tcPr>
            <w:tcW w:w="420" w:type="dxa"/>
            <w:vAlign w:val="bottom"/>
            <w:shd w:val="clear" w:color="auto" w:fill="D8EEF4"/>
          </w:tcPr>
          <w:p>
            <w:pPr>
              <w:jc w:val="right"/>
              <w:ind w:right="225"/>
              <w:spacing w:after="0" w:line="215" w:lineRule="exact"/>
              <w:rPr>
                <w:sz w:val="20"/>
                <w:szCs w:val="20"/>
                <w:color w:val="auto"/>
              </w:rPr>
            </w:pPr>
            <w:r>
              <w:rPr>
                <w:rFonts w:ascii="Times New Roman" w:cs="Times New Roman" w:eastAsia="Times New Roman" w:hAnsi="Times New Roman"/>
                <w:sz w:val="20"/>
                <w:szCs w:val="20"/>
                <w:color w:val="4C4C4E"/>
                <w:w w:val="79"/>
              </w:rPr>
              <w:t>$</w:t>
            </w:r>
          </w:p>
        </w:tc>
        <w:tc>
          <w:tcPr>
            <w:tcW w:w="940" w:type="dxa"/>
            <w:vAlign w:val="bottom"/>
            <w:shd w:val="clear" w:color="auto" w:fill="D8EEF4"/>
          </w:tcPr>
          <w:p>
            <w:pPr>
              <w:jc w:val="right"/>
              <w:spacing w:after="0" w:line="215" w:lineRule="exact"/>
              <w:rPr>
                <w:sz w:val="20"/>
                <w:szCs w:val="20"/>
                <w:color w:val="auto"/>
              </w:rPr>
            </w:pPr>
            <w:r>
              <w:rPr>
                <w:rFonts w:ascii="Times New Roman" w:cs="Times New Roman" w:eastAsia="Times New Roman" w:hAnsi="Times New Roman"/>
                <w:sz w:val="20"/>
                <w:szCs w:val="20"/>
                <w:color w:val="4C4C4E"/>
              </w:rPr>
              <w:t>1,880.3</w:t>
            </w:r>
          </w:p>
        </w:tc>
        <w:tc>
          <w:tcPr>
            <w:tcW w:w="36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180" w:type="dxa"/>
            <w:vAlign w:val="bottom"/>
            <w:shd w:val="clear" w:color="auto" w:fill="D8EEF4"/>
          </w:tcPr>
          <w:p>
            <w:pPr>
              <w:spacing w:after="0" w:line="215" w:lineRule="exact"/>
              <w:rPr>
                <w:sz w:val="20"/>
                <w:szCs w:val="20"/>
                <w:color w:val="auto"/>
              </w:rPr>
            </w:pPr>
            <w:r>
              <w:rPr>
                <w:rFonts w:ascii="Times New Roman" w:cs="Times New Roman" w:eastAsia="Times New Roman" w:hAnsi="Times New Roman"/>
                <w:sz w:val="20"/>
                <w:szCs w:val="20"/>
                <w:color w:val="4C4C4E"/>
              </w:rPr>
              <w:t>$</w:t>
            </w:r>
          </w:p>
        </w:tc>
        <w:tc>
          <w:tcPr>
            <w:tcW w:w="1120" w:type="dxa"/>
            <w:vAlign w:val="bottom"/>
            <w:shd w:val="clear" w:color="auto" w:fill="D8EEF4"/>
          </w:tcPr>
          <w:p>
            <w:pPr>
              <w:jc w:val="right"/>
              <w:spacing w:after="0" w:line="215" w:lineRule="exact"/>
              <w:rPr>
                <w:sz w:val="20"/>
                <w:szCs w:val="20"/>
                <w:color w:val="auto"/>
              </w:rPr>
            </w:pPr>
            <w:r>
              <w:rPr>
                <w:rFonts w:ascii="Times New Roman" w:cs="Times New Roman" w:eastAsia="Times New Roman" w:hAnsi="Times New Roman"/>
                <w:sz w:val="20"/>
                <w:szCs w:val="20"/>
                <w:color w:val="4C4C4E"/>
              </w:rPr>
              <w:t>1,882.7</w:t>
            </w:r>
          </w:p>
        </w:tc>
        <w:tc>
          <w:tcPr>
            <w:tcW w:w="4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420" w:type="dxa"/>
            <w:vAlign w:val="bottom"/>
            <w:shd w:val="clear" w:color="auto" w:fill="D8EEF4"/>
          </w:tcPr>
          <w:p>
            <w:pPr>
              <w:jc w:val="right"/>
              <w:ind w:right="256"/>
              <w:spacing w:after="0"/>
              <w:rPr>
                <w:sz w:val="20"/>
                <w:szCs w:val="20"/>
                <w:color w:val="auto"/>
              </w:rPr>
            </w:pPr>
            <w:r>
              <w:rPr>
                <w:rFonts w:ascii="Times New Roman" w:cs="Times New Roman" w:eastAsia="Times New Roman" w:hAnsi="Times New Roman"/>
                <w:sz w:val="17"/>
                <w:szCs w:val="17"/>
                <w:color w:val="4C4C4E"/>
                <w:w w:val="70"/>
              </w:rPr>
              <w:t>$</w:t>
            </w:r>
          </w:p>
        </w:tc>
        <w:tc>
          <w:tcPr>
            <w:tcW w:w="940" w:type="dxa"/>
            <w:vAlign w:val="bottom"/>
            <w:shd w:val="clear" w:color="auto" w:fill="D8EEF4"/>
          </w:tcPr>
          <w:p>
            <w:pPr>
              <w:jc w:val="right"/>
              <w:spacing w:after="0" w:line="215" w:lineRule="exact"/>
              <w:rPr>
                <w:sz w:val="20"/>
                <w:szCs w:val="20"/>
                <w:color w:val="auto"/>
              </w:rPr>
            </w:pPr>
            <w:r>
              <w:rPr>
                <w:rFonts w:ascii="Times New Roman" w:cs="Times New Roman" w:eastAsia="Times New Roman" w:hAnsi="Times New Roman"/>
                <w:sz w:val="20"/>
                <w:szCs w:val="20"/>
                <w:color w:val="4C4C4E"/>
              </w:rPr>
              <w:t>1,705.6</w:t>
            </w:r>
          </w:p>
        </w:tc>
        <w:tc>
          <w:tcPr>
            <w:tcW w:w="280" w:type="dxa"/>
            <w:vAlign w:val="bottom"/>
            <w:shd w:val="clear" w:color="auto" w:fill="D8EEF4"/>
          </w:tcPr>
          <w:p>
            <w:pPr>
              <w:spacing w:after="0"/>
              <w:rPr>
                <w:sz w:val="18"/>
                <w:szCs w:val="18"/>
                <w:color w:val="auto"/>
              </w:rPr>
            </w:pPr>
          </w:p>
        </w:tc>
      </w:tr>
      <w:tr>
        <w:trPr>
          <w:trHeight w:val="266"/>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4C4C4E"/>
              </w:rPr>
              <w:t>Weighted average interest rate</w:t>
            </w:r>
          </w:p>
        </w:tc>
        <w:tc>
          <w:tcPr>
            <w:tcW w:w="4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C4C4E"/>
              </w:rPr>
              <w:t>6.2%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4C4C4E"/>
              </w:rPr>
              <w:t>7.5%</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-1379220</wp:posOffset>
            </wp:positionV>
            <wp:extent cx="312102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3121025" cy="38100"/>
                    </a:xfrm>
                    <a:prstGeom prst="rect">
                      <a:avLst/>
                    </a:prstGeom>
                    <a:noFill/>
                  </pic:spPr>
                </pic:pic>
              </a:graphicData>
            </a:graphic>
          </wp:anchor>
        </w:drawing>
      </w:r>
    </w:p>
    <w:p>
      <w:pPr>
        <w:spacing w:after="0" w:line="1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4C4C4E"/>
        </w:rPr>
        <w:t>(1)</w:t>
        <w:tab/>
        <w:t>Table may not sum due to rounding.</w:t>
      </w:r>
    </w:p>
    <w:p>
      <w:pPr>
        <w:spacing w:after="0" w:line="276" w:lineRule="exact"/>
        <w:rPr>
          <w:sz w:val="20"/>
          <w:szCs w:val="20"/>
          <w:color w:val="auto"/>
        </w:rPr>
      </w:pPr>
    </w:p>
    <w:p>
      <w:pPr>
        <w:jc w:val="both"/>
        <w:ind w:right="1040" w:firstLine="245"/>
        <w:spacing w:after="0" w:line="277" w:lineRule="auto"/>
        <w:rPr>
          <w:sz w:val="20"/>
          <w:szCs w:val="20"/>
          <w:color w:val="auto"/>
        </w:rPr>
      </w:pPr>
      <w:r>
        <w:rPr>
          <w:rFonts w:ascii="Times New Roman" w:cs="Times New Roman" w:eastAsia="Times New Roman" w:hAnsi="Times New Roman"/>
          <w:sz w:val="20"/>
          <w:szCs w:val="20"/>
          <w:color w:val="4C4C4E"/>
        </w:rPr>
        <w:t>For more information on our debt, see “</w:t>
      </w:r>
      <w:r>
        <w:rPr>
          <w:rFonts w:ascii="Times New Roman" w:cs="Times New Roman" w:eastAsia="Times New Roman" w:hAnsi="Times New Roman"/>
          <w:sz w:val="20"/>
          <w:szCs w:val="20"/>
          <w:i w:val="1"/>
          <w:iCs w:val="1"/>
          <w:color w:val="4C4C4E"/>
        </w:rPr>
        <w:t>ITEM 7. MANAGEMENT’S DISCUSSION AND ANALYSIS OF FINANCIAL</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CONDITION AND RESULTS OF OPERATIONS——Financial Condition, Liquidity and Capital Resources.</w:t>
      </w:r>
      <w:r>
        <w:rPr>
          <w:rFonts w:ascii="Times New Roman" w:cs="Times New Roman" w:eastAsia="Times New Roman" w:hAnsi="Times New Roman"/>
          <w:sz w:val="20"/>
          <w:szCs w:val="20"/>
          <w:color w:val="4C4C4E"/>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Dividend Policy</w:t>
      </w:r>
    </w:p>
    <w:p>
      <w:pPr>
        <w:spacing w:after="0" w:line="118" w:lineRule="exact"/>
        <w:rPr>
          <w:sz w:val="20"/>
          <w:szCs w:val="20"/>
          <w:color w:val="auto"/>
        </w:rPr>
      </w:pPr>
    </w:p>
    <w:p>
      <w:pPr>
        <w:ind w:right="100" w:firstLine="245"/>
        <w:spacing w:after="0" w:line="246" w:lineRule="auto"/>
        <w:rPr>
          <w:sz w:val="20"/>
          <w:szCs w:val="20"/>
          <w:color w:val="auto"/>
        </w:rPr>
      </w:pPr>
      <w:r>
        <w:rPr>
          <w:rFonts w:ascii="Times New Roman" w:cs="Times New Roman" w:eastAsia="Times New Roman" w:hAnsi="Times New Roman"/>
          <w:sz w:val="20"/>
          <w:szCs w:val="20"/>
          <w:color w:val="4C4C4E"/>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4" w:lineRule="exact"/>
        <w:rPr>
          <w:sz w:val="20"/>
          <w:szCs w:val="20"/>
          <w:color w:val="auto"/>
        </w:rPr>
      </w:pPr>
    </w:p>
    <w:p>
      <w:pPr>
        <w:ind w:left="500" w:hanging="251"/>
        <w:spacing w:after="0"/>
        <w:tabs>
          <w:tab w:leader="none" w:pos="500" w:val="left"/>
        </w:tabs>
        <w:numPr>
          <w:ilvl w:val="0"/>
          <w:numId w:val="27"/>
        </w:numPr>
        <w:rPr>
          <w:rFonts w:ascii="Arial" w:cs="Arial" w:eastAsia="Arial" w:hAnsi="Arial"/>
          <w:sz w:val="20"/>
          <w:szCs w:val="20"/>
          <w:color w:val="4C4C4E"/>
        </w:rPr>
      </w:pPr>
      <w:r>
        <w:rPr>
          <w:rFonts w:ascii="Times New Roman" w:cs="Times New Roman" w:eastAsia="Times New Roman" w:hAnsi="Times New Roman"/>
          <w:sz w:val="20"/>
          <w:szCs w:val="20"/>
          <w:color w:val="4C4C4E"/>
        </w:rPr>
        <w:t>98% of our net ordinary income, excluding certain ordinary gains and losses, recognized during a calendar year;</w:t>
      </w:r>
    </w:p>
    <w:p>
      <w:pPr>
        <w:spacing w:after="0" w:line="133" w:lineRule="exact"/>
        <w:rPr>
          <w:rFonts w:ascii="Arial" w:cs="Arial" w:eastAsia="Arial" w:hAnsi="Arial"/>
          <w:sz w:val="20"/>
          <w:szCs w:val="20"/>
          <w:color w:val="4C4C4E"/>
        </w:rPr>
      </w:pPr>
    </w:p>
    <w:p>
      <w:pPr>
        <w:ind w:left="500" w:right="200" w:hanging="251"/>
        <w:spacing w:after="0" w:line="276" w:lineRule="auto"/>
        <w:tabs>
          <w:tab w:leader="none" w:pos="500" w:val="left"/>
        </w:tabs>
        <w:numPr>
          <w:ilvl w:val="0"/>
          <w:numId w:val="27"/>
        </w:numPr>
        <w:rPr>
          <w:rFonts w:ascii="Arial" w:cs="Arial" w:eastAsia="Arial" w:hAnsi="Arial"/>
          <w:sz w:val="20"/>
          <w:szCs w:val="20"/>
          <w:color w:val="4C4C4E"/>
        </w:rPr>
      </w:pPr>
      <w:r>
        <w:rPr>
          <w:rFonts w:ascii="Times New Roman" w:cs="Times New Roman" w:eastAsia="Times New Roman" w:hAnsi="Times New Roman"/>
          <w:sz w:val="20"/>
          <w:szCs w:val="20"/>
          <w:color w:val="4C4C4E"/>
        </w:rPr>
        <w:t>98.2% of our capital gain net income, adjusted for certain ordinary gains and losses, recognized for the twelve-month period ending on October 31 of such calendar year; and</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27"/>
        </w:numPr>
        <w:rPr>
          <w:rFonts w:ascii="Arial" w:cs="Arial" w:eastAsia="Arial" w:hAnsi="Arial"/>
          <w:sz w:val="20"/>
          <w:szCs w:val="20"/>
          <w:color w:val="4C4C4E"/>
        </w:rPr>
      </w:pPr>
      <w:r>
        <w:rPr>
          <w:rFonts w:ascii="Times New Roman" w:cs="Times New Roman" w:eastAsia="Times New Roman" w:hAnsi="Times New Roman"/>
          <w:sz w:val="20"/>
          <w:szCs w:val="20"/>
          <w:color w:val="4C4C4E"/>
        </w:rPr>
        <w:t>100% of any income or gains recognized, but not distributed, in preceding years.</w:t>
      </w:r>
    </w:p>
    <w:p>
      <w:pPr>
        <w:spacing w:after="0" w:line="239" w:lineRule="exact"/>
        <w:rPr>
          <w:sz w:val="20"/>
          <w:szCs w:val="20"/>
          <w:color w:val="auto"/>
        </w:rPr>
      </w:pPr>
    </w:p>
    <w:p>
      <w:pPr>
        <w:ind w:right="160" w:firstLine="245"/>
        <w:spacing w:after="0" w:line="246" w:lineRule="auto"/>
        <w:rPr>
          <w:sz w:val="20"/>
          <w:szCs w:val="20"/>
          <w:color w:val="auto"/>
        </w:rPr>
      </w:pPr>
      <w:r>
        <w:rPr>
          <w:rFonts w:ascii="Times New Roman" w:cs="Times New Roman" w:eastAsia="Times New Roman" w:hAnsi="Times New Roman"/>
          <w:sz w:val="20"/>
          <w:szCs w:val="20"/>
          <w:color w:val="4C4C4E"/>
        </w:rPr>
        <w:t xml:space="preserve">We have previously incurred, and can be expected to incur in the future, such excise tax on a portion of our income and gains. While we intend to distribute income and capital gains to minimize exposure to the 4% U.S. federal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Times New Roman" w:cs="Times New Roman" w:eastAsia="Times New Roman" w:hAnsi="Times New Roman"/>
          <w:sz w:val="20"/>
          <w:szCs w:val="20"/>
          <w:i w:val="1"/>
          <w:iCs w:val="1"/>
          <w:color w:val="4C4C4E"/>
        </w:rPr>
        <w:t>See “ITEM 1A. RISK</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FACTORS—Risks Related to Our Business and Structure—We will be subject to corporate-level income tax if we are unable to maintain our qualification as a RIC under Subchapter M of the Code, including as a result of our failure to satisfy the RIC distribution requirements.”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Dividend Reinvestment Plan</w:t>
      </w:r>
    </w:p>
    <w:p>
      <w:pPr>
        <w:spacing w:after="0" w:line="118"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4C4C4E"/>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ectPr>
          <w:pgSz w:w="11880" w:h="15480" w:orient="portrait"/>
          <w:cols w:equalWidth="0" w:num="1">
            <w:col w:w="10640"/>
          </w:cols>
          <w:pgMar w:left="680" w:top="1026" w:right="560" w:bottom="0" w:gutter="0" w:footer="0" w:header="0"/>
        </w:sectPr>
      </w:pP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17</w:t>
      </w:r>
    </w:p>
    <w:p>
      <w:pPr>
        <w:sectPr>
          <w:pgSz w:w="11880" w:h="15480" w:orient="portrait"/>
          <w:cols w:equalWidth="0" w:num="1">
            <w:col w:w="10640"/>
          </w:cols>
          <w:pgMar w:left="680" w:top="1026" w:right="560" w:bottom="0" w:gutter="0" w:footer="0" w:header="0"/>
          <w:type w:val="continuous"/>
        </w:sectPr>
      </w:pPr>
    </w:p>
    <w:bookmarkStart w:id="17" w:name="page18"/>
    <w:bookmarkEnd w:id="17"/>
    <w:p>
      <w:pPr>
        <w:ind w:right="520" w:firstLine="245"/>
        <w:spacing w:after="0" w:line="277" w:lineRule="auto"/>
        <w:rPr>
          <w:sz w:val="20"/>
          <w:szCs w:val="20"/>
          <w:color w:val="auto"/>
        </w:rPr>
      </w:pPr>
      <w:r>
        <w:rPr>
          <w:rFonts w:ascii="Times New Roman" w:cs="Times New Roman" w:eastAsia="Times New Roman" w:hAnsi="Times New Roman"/>
          <w:sz w:val="20"/>
          <w:szCs w:val="20"/>
          <w:color w:val="4C4C4E"/>
        </w:rPr>
        <w:t>Those stockholders whose shares are held by a broker or other financial intermediary may receive cash dividends and other distributions in cash by notifying their broker or other financial intermediary of their election.</w:t>
      </w:r>
    </w:p>
    <w:p>
      <w:pPr>
        <w:spacing w:after="0" w:line="169"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No action is required on the part of a registered stockholder to have its cash dividend or other distribution reinvested in our common stock. A registered stockholder is able to elect to receive an entire cash dividend or distribution in cash by notifying Equiniti Trust Company, LLC,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200" w:lineRule="exact"/>
        <w:rPr>
          <w:sz w:val="20"/>
          <w:szCs w:val="20"/>
          <w:color w:val="auto"/>
        </w:rPr>
      </w:pPr>
    </w:p>
    <w:p>
      <w:pPr>
        <w:ind w:right="80" w:firstLine="245"/>
        <w:spacing w:after="0" w:line="243" w:lineRule="auto"/>
        <w:rPr>
          <w:sz w:val="20"/>
          <w:szCs w:val="20"/>
          <w:color w:val="auto"/>
        </w:rPr>
      </w:pPr>
      <w:r>
        <w:rPr>
          <w:rFonts w:ascii="Times New Roman" w:cs="Times New Roman" w:eastAsia="Times New Roman" w:hAnsi="Times New Roman"/>
          <w:sz w:val="20"/>
          <w:szCs w:val="20"/>
          <w:color w:val="4C4C4E"/>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209" w:lineRule="exact"/>
        <w:rPr>
          <w:sz w:val="20"/>
          <w:szCs w:val="20"/>
          <w:color w:val="auto"/>
        </w:rPr>
      </w:pPr>
    </w:p>
    <w:p>
      <w:pPr>
        <w:ind w:right="100" w:firstLine="245"/>
        <w:spacing w:after="0" w:line="247" w:lineRule="auto"/>
        <w:rPr>
          <w:sz w:val="20"/>
          <w:szCs w:val="20"/>
          <w:color w:val="auto"/>
        </w:rPr>
      </w:pPr>
      <w:r>
        <w:rPr>
          <w:rFonts w:ascii="Times New Roman" w:cs="Times New Roman" w:eastAsia="Times New Roman" w:hAnsi="Times New Roman"/>
          <w:sz w:val="20"/>
          <w:szCs w:val="20"/>
          <w:color w:val="4C4C4E"/>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20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4C4C4E"/>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Administration</w:t>
      </w:r>
    </w:p>
    <w:p>
      <w:pPr>
        <w:spacing w:after="0" w:line="118"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4C4C4E"/>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20"/>
          <w:szCs w:val="20"/>
          <w:i w:val="1"/>
          <w:iCs w:val="1"/>
          <w:color w:val="4C4C4E"/>
        </w:rPr>
        <w:t>Investment Advisory Agreement; Administration Agreement; License Agreement</w:t>
      </w:r>
      <w:r>
        <w:rPr>
          <w:rFonts w:ascii="Times New Roman" w:cs="Times New Roman" w:eastAsia="Times New Roman" w:hAnsi="Times New Roman"/>
          <w:sz w:val="20"/>
          <w:szCs w:val="20"/>
          <w:color w:val="4C4C4E"/>
        </w:rPr>
        <w:t>” below.</w:t>
      </w:r>
    </w:p>
    <w:p>
      <w:pPr>
        <w:spacing w:after="0" w:line="82" w:lineRule="exact"/>
        <w:rPr>
          <w:sz w:val="20"/>
          <w:szCs w:val="20"/>
          <w:color w:val="auto"/>
        </w:rPr>
      </w:pPr>
    </w:p>
    <w:p>
      <w:pPr>
        <w:ind w:right="20" w:firstLine="245"/>
        <w:spacing w:after="0" w:line="277" w:lineRule="auto"/>
        <w:rPr>
          <w:sz w:val="20"/>
          <w:szCs w:val="20"/>
          <w:color w:val="auto"/>
        </w:rPr>
      </w:pPr>
      <w:r>
        <w:rPr>
          <w:rFonts w:ascii="Times New Roman" w:cs="Times New Roman" w:eastAsia="Times New Roman" w:hAnsi="Times New Roman"/>
          <w:sz w:val="20"/>
          <w:szCs w:val="20"/>
          <w:color w:val="4C4C4E"/>
        </w:rPr>
        <w:t>In addition to our Adviser, Sixth Street has a team of over 740 investment and operating professionals. As of December 31, 2025, seventy-eight (78) of these personnel are dedicated to direct lending, including sixty-three (63) investment professionals.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Management Agreements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Investment Advisory Agreement; Administration Agreement; License Agreement</w:t>
      </w:r>
    </w:p>
    <w:p>
      <w:pPr>
        <w:spacing w:after="0" w:line="118" w:lineRule="exact"/>
        <w:rPr>
          <w:sz w:val="20"/>
          <w:szCs w:val="20"/>
          <w:color w:val="auto"/>
        </w:rPr>
      </w:pPr>
    </w:p>
    <w:p>
      <w:pPr>
        <w:ind w:right="140" w:firstLine="245"/>
        <w:spacing w:after="0" w:line="277" w:lineRule="auto"/>
        <w:rPr>
          <w:sz w:val="20"/>
          <w:szCs w:val="20"/>
          <w:color w:val="auto"/>
        </w:rPr>
      </w:pPr>
      <w:r>
        <w:rPr>
          <w:rFonts w:ascii="Times New Roman" w:cs="Times New Roman" w:eastAsia="Times New Roman" w:hAnsi="Times New Roman"/>
          <w:sz w:val="20"/>
          <w:szCs w:val="20"/>
          <w:color w:val="4C4C4E"/>
        </w:rPr>
        <w:t>On April 15, 2011, we entered into the Investment Advisory Agreement with our Adviser. The Investment Advisory Agreement was subsequently amended on December 12, 2011.</w:t>
      </w:r>
    </w:p>
    <w:p>
      <w:pPr>
        <w:sectPr>
          <w:pgSz w:w="11880" w:h="15480" w:orient="portrait"/>
          <w:cols w:equalWidth="0" w:num="1">
            <w:col w:w="10640"/>
          </w:cols>
          <w:pgMar w:left="68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18</w:t>
      </w:r>
    </w:p>
    <w:p>
      <w:pPr>
        <w:sectPr>
          <w:pgSz w:w="11880" w:h="15480" w:orient="portrait"/>
          <w:cols w:equalWidth="0" w:num="1">
            <w:col w:w="10640"/>
          </w:cols>
          <w:pgMar w:left="680" w:top="750" w:right="560" w:bottom="0" w:gutter="0" w:footer="0" w:header="0"/>
          <w:type w:val="continuous"/>
        </w:sectPr>
      </w:pPr>
    </w:p>
    <w:bookmarkStart w:id="18" w:name="page19"/>
    <w:bookmarkEnd w:id="18"/>
    <w:p>
      <w:pPr>
        <w:ind w:left="240"/>
        <w:spacing w:after="0"/>
        <w:rPr>
          <w:sz w:val="20"/>
          <w:szCs w:val="20"/>
          <w:color w:val="auto"/>
        </w:rPr>
      </w:pPr>
      <w:r>
        <w:rPr>
          <w:rFonts w:ascii="Times New Roman" w:cs="Times New Roman" w:eastAsia="Times New Roman" w:hAnsi="Times New Roman"/>
          <w:sz w:val="20"/>
          <w:szCs w:val="20"/>
          <w:color w:val="4C4C4E"/>
        </w:rPr>
        <w:t>Under the Investment Advisory Agreement, the Adviser:</w:t>
      </w:r>
    </w:p>
    <w:p>
      <w:pPr>
        <w:spacing w:after="0" w:line="134" w:lineRule="exact"/>
        <w:rPr>
          <w:sz w:val="20"/>
          <w:szCs w:val="20"/>
          <w:color w:val="auto"/>
        </w:rPr>
      </w:pPr>
    </w:p>
    <w:p>
      <w:pPr>
        <w:ind w:left="500" w:right="880" w:hanging="251"/>
        <w:spacing w:after="0" w:line="276" w:lineRule="auto"/>
        <w:tabs>
          <w:tab w:leader="none" w:pos="500" w:val="left"/>
        </w:tabs>
        <w:numPr>
          <w:ilvl w:val="0"/>
          <w:numId w:val="28"/>
        </w:numPr>
        <w:rPr>
          <w:rFonts w:ascii="Arial" w:cs="Arial" w:eastAsia="Arial" w:hAnsi="Arial"/>
          <w:sz w:val="20"/>
          <w:szCs w:val="20"/>
          <w:color w:val="4C4C4E"/>
        </w:rPr>
      </w:pPr>
      <w:r>
        <w:rPr>
          <w:rFonts w:ascii="Times New Roman" w:cs="Times New Roman" w:eastAsia="Times New Roman" w:hAnsi="Times New Roman"/>
          <w:sz w:val="20"/>
          <w:szCs w:val="20"/>
          <w:color w:val="4C4C4E"/>
        </w:rPr>
        <w:t>determines the composition of our portfolio, the nature and timing of the changes to our portfolio and the manner of implementing those changes;</w:t>
      </w:r>
    </w:p>
    <w:p>
      <w:pPr>
        <w:spacing w:after="0" w:line="64" w:lineRule="exact"/>
        <w:rPr>
          <w:rFonts w:ascii="Arial" w:cs="Arial" w:eastAsia="Arial" w:hAnsi="Arial"/>
          <w:sz w:val="20"/>
          <w:szCs w:val="20"/>
          <w:color w:val="4C4C4E"/>
        </w:rPr>
      </w:pPr>
    </w:p>
    <w:p>
      <w:pPr>
        <w:ind w:left="500" w:right="540" w:hanging="251"/>
        <w:spacing w:after="0" w:line="276" w:lineRule="auto"/>
        <w:tabs>
          <w:tab w:leader="none" w:pos="500" w:val="left"/>
        </w:tabs>
        <w:numPr>
          <w:ilvl w:val="0"/>
          <w:numId w:val="28"/>
        </w:numPr>
        <w:rPr>
          <w:rFonts w:ascii="Arial" w:cs="Arial" w:eastAsia="Arial" w:hAnsi="Arial"/>
          <w:sz w:val="20"/>
          <w:szCs w:val="20"/>
          <w:color w:val="4C4C4E"/>
        </w:rPr>
      </w:pPr>
      <w:r>
        <w:rPr>
          <w:rFonts w:ascii="Times New Roman" w:cs="Times New Roman" w:eastAsia="Times New Roman" w:hAnsi="Times New Roman"/>
          <w:sz w:val="20"/>
          <w:szCs w:val="20"/>
          <w:color w:val="4C4C4E"/>
        </w:rPr>
        <w:t>identifies, evaluates and negotiates the structure of the investments we make (including performing due diligence on our prospective portfolio companies);</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28"/>
        </w:numPr>
        <w:rPr>
          <w:rFonts w:ascii="Arial" w:cs="Arial" w:eastAsia="Arial" w:hAnsi="Arial"/>
          <w:sz w:val="20"/>
          <w:szCs w:val="20"/>
          <w:color w:val="4C4C4E"/>
        </w:rPr>
      </w:pPr>
      <w:r>
        <w:rPr>
          <w:rFonts w:ascii="Times New Roman" w:cs="Times New Roman" w:eastAsia="Times New Roman" w:hAnsi="Times New Roman"/>
          <w:sz w:val="20"/>
          <w:szCs w:val="20"/>
          <w:color w:val="4C4C4E"/>
        </w:rPr>
        <w:t>determines the assets we will originate, purchase, retain or sell;</w:t>
      </w:r>
    </w:p>
    <w:p>
      <w:pPr>
        <w:spacing w:after="0" w:line="133" w:lineRule="exact"/>
        <w:rPr>
          <w:rFonts w:ascii="Arial" w:cs="Arial" w:eastAsia="Arial" w:hAnsi="Arial"/>
          <w:sz w:val="20"/>
          <w:szCs w:val="20"/>
          <w:color w:val="4C4C4E"/>
        </w:rPr>
      </w:pPr>
    </w:p>
    <w:p>
      <w:pPr>
        <w:ind w:left="500" w:right="200" w:hanging="251"/>
        <w:spacing w:after="0" w:line="276" w:lineRule="auto"/>
        <w:tabs>
          <w:tab w:leader="none" w:pos="500" w:val="left"/>
        </w:tabs>
        <w:numPr>
          <w:ilvl w:val="0"/>
          <w:numId w:val="28"/>
        </w:numPr>
        <w:rPr>
          <w:rFonts w:ascii="Arial" w:cs="Arial" w:eastAsia="Arial" w:hAnsi="Arial"/>
          <w:sz w:val="20"/>
          <w:szCs w:val="20"/>
          <w:color w:val="4C4C4E"/>
        </w:rPr>
      </w:pPr>
      <w:r>
        <w:rPr>
          <w:rFonts w:ascii="Times New Roman" w:cs="Times New Roman" w:eastAsia="Times New Roman" w:hAnsi="Times New Roman"/>
          <w:sz w:val="20"/>
          <w:szCs w:val="20"/>
          <w:color w:val="4C4C4E"/>
        </w:rPr>
        <w:t>closes, monitors and administers the investments we make, including the exercise of any rights in our capacity as a lender or equity holder; and</w:t>
      </w:r>
    </w:p>
    <w:p>
      <w:pPr>
        <w:spacing w:after="0" w:line="64" w:lineRule="exact"/>
        <w:rPr>
          <w:rFonts w:ascii="Arial" w:cs="Arial" w:eastAsia="Arial" w:hAnsi="Arial"/>
          <w:sz w:val="20"/>
          <w:szCs w:val="20"/>
          <w:color w:val="4C4C4E"/>
        </w:rPr>
      </w:pPr>
    </w:p>
    <w:p>
      <w:pPr>
        <w:ind w:left="500" w:right="160" w:hanging="251"/>
        <w:spacing w:after="0" w:line="258" w:lineRule="auto"/>
        <w:tabs>
          <w:tab w:leader="none" w:pos="500" w:val="left"/>
        </w:tabs>
        <w:numPr>
          <w:ilvl w:val="0"/>
          <w:numId w:val="28"/>
        </w:numPr>
        <w:rPr>
          <w:rFonts w:ascii="Arial" w:cs="Arial" w:eastAsia="Arial" w:hAnsi="Arial"/>
          <w:sz w:val="20"/>
          <w:szCs w:val="20"/>
          <w:color w:val="4C4C4E"/>
        </w:rPr>
      </w:pPr>
      <w:r>
        <w:rPr>
          <w:rFonts w:ascii="Times New Roman" w:cs="Times New Roman" w:eastAsia="Times New Roman" w:hAnsi="Times New Roman"/>
          <w:sz w:val="20"/>
          <w:szCs w:val="20"/>
          <w:color w:val="4C4C4E"/>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87" w:lineRule="exact"/>
        <w:rPr>
          <w:sz w:val="20"/>
          <w:szCs w:val="20"/>
          <w:color w:val="auto"/>
        </w:rPr>
      </w:pPr>
    </w:p>
    <w:p>
      <w:pPr>
        <w:ind w:right="140" w:firstLine="245"/>
        <w:spacing w:after="0" w:line="277" w:lineRule="auto"/>
        <w:rPr>
          <w:sz w:val="20"/>
          <w:szCs w:val="20"/>
          <w:color w:val="auto"/>
        </w:rPr>
      </w:pPr>
      <w:r>
        <w:rPr>
          <w:rFonts w:ascii="Times New Roman" w:cs="Times New Roman" w:eastAsia="Times New Roman" w:hAnsi="Times New Roman"/>
          <w:sz w:val="20"/>
          <w:szCs w:val="20"/>
          <w:color w:val="4C4C4E"/>
        </w:rPr>
        <w:t>The Adviser’s services under the Investment Advisory Agreement are not exclusive, and the Adviser is free to furnish similar or other services to others so long as its services to us are not impaired.</w:t>
      </w:r>
    </w:p>
    <w:p>
      <w:pPr>
        <w:spacing w:after="0" w:line="169" w:lineRule="exact"/>
        <w:rPr>
          <w:sz w:val="20"/>
          <w:szCs w:val="20"/>
          <w:color w:val="auto"/>
        </w:rPr>
      </w:pPr>
    </w:p>
    <w:p>
      <w:pPr>
        <w:ind w:firstLine="245"/>
        <w:spacing w:after="0" w:line="277" w:lineRule="auto"/>
        <w:rPr>
          <w:sz w:val="20"/>
          <w:szCs w:val="20"/>
          <w:color w:val="auto"/>
        </w:rPr>
      </w:pPr>
      <w:r>
        <w:rPr>
          <w:rFonts w:ascii="Times New Roman" w:cs="Times New Roman" w:eastAsia="Times New Roman" w:hAnsi="Times New Roman"/>
          <w:sz w:val="20"/>
          <w:szCs w:val="20"/>
          <w:color w:val="4C4C4E"/>
        </w:rPr>
        <w:t>Under the terms of the Investment Advisory Agreement, we pay the Adviser a base management fee (the “Management Fee”) and may also pay certain incentive fees (the “Incentive Fees”).</w:t>
      </w:r>
    </w:p>
    <w:p>
      <w:pPr>
        <w:spacing w:after="0" w:line="169" w:lineRule="exact"/>
        <w:rPr>
          <w:sz w:val="20"/>
          <w:szCs w:val="20"/>
          <w:color w:val="auto"/>
        </w:rPr>
      </w:pPr>
    </w:p>
    <w:p>
      <w:pPr>
        <w:jc w:val="both"/>
        <w:ind w:right="200" w:firstLine="245"/>
        <w:spacing w:after="0" w:line="258" w:lineRule="auto"/>
        <w:rPr>
          <w:sz w:val="20"/>
          <w:szCs w:val="20"/>
          <w:color w:val="auto"/>
        </w:rPr>
      </w:pPr>
      <w:r>
        <w:rPr>
          <w:rFonts w:ascii="Times New Roman" w:cs="Times New Roman" w:eastAsia="Times New Roman" w:hAnsi="Times New Roman"/>
          <w:sz w:val="20"/>
          <w:szCs w:val="20"/>
          <w:color w:val="4C4C4E"/>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88" w:lineRule="exact"/>
        <w:rPr>
          <w:sz w:val="20"/>
          <w:szCs w:val="20"/>
          <w:color w:val="auto"/>
        </w:rPr>
      </w:pPr>
    </w:p>
    <w:p>
      <w:pPr>
        <w:ind w:right="580" w:firstLine="245"/>
        <w:spacing w:after="0" w:line="277" w:lineRule="auto"/>
        <w:rPr>
          <w:sz w:val="20"/>
          <w:szCs w:val="20"/>
          <w:color w:val="auto"/>
        </w:rPr>
      </w:pPr>
      <w:r>
        <w:rPr>
          <w:rFonts w:ascii="Times New Roman" w:cs="Times New Roman" w:eastAsia="Times New Roman" w:hAnsi="Times New Roman"/>
          <w:sz w:val="20"/>
          <w:szCs w:val="20"/>
          <w:color w:val="4C4C4E"/>
        </w:rPr>
        <w:t>For each of the years ended December 31, 2025, December 31, 2024, and December 31, 2023, Management Fees (gross of waivers) were $52.2 million, $51.8 million and $46.4 million, respectively.</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Any waived Management Fees are not subject to recoupment by the Adviser.</w:t>
      </w:r>
    </w:p>
    <w:p>
      <w:pPr>
        <w:spacing w:after="0" w:line="240" w:lineRule="exact"/>
        <w:rPr>
          <w:sz w:val="20"/>
          <w:szCs w:val="20"/>
          <w:color w:val="auto"/>
        </w:rPr>
      </w:pPr>
    </w:p>
    <w:p>
      <w:pPr>
        <w:ind w:right="40" w:firstLine="245"/>
        <w:spacing w:after="0" w:line="245" w:lineRule="auto"/>
        <w:rPr>
          <w:sz w:val="20"/>
          <w:szCs w:val="20"/>
          <w:color w:val="auto"/>
        </w:rPr>
      </w:pPr>
      <w:r>
        <w:rPr>
          <w:rFonts w:ascii="Times New Roman" w:cs="Times New Roman" w:eastAsia="Times New Roman" w:hAnsi="Times New Roman"/>
          <w:sz w:val="20"/>
          <w:szCs w:val="20"/>
          <w:color w:val="4C4C4E"/>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years ended December 31, 2025, December 31, 2024 and December 31, 2023, Management Fees of $1.3 million, $1.5 million and $1.2 million, respectively, have been waived pursuant to the Leverage Waiver.</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Incentive Fee consists of two parts, as follows:</w:t>
      </w:r>
    </w:p>
    <w:p>
      <w:pPr>
        <w:spacing w:after="0" w:line="120" w:lineRule="exact"/>
        <w:rPr>
          <w:sz w:val="20"/>
          <w:szCs w:val="20"/>
          <w:color w:val="auto"/>
        </w:rPr>
      </w:pPr>
    </w:p>
    <w:p>
      <w:pPr>
        <w:ind w:left="500" w:right="80" w:hanging="440"/>
        <w:spacing w:after="0" w:line="244" w:lineRule="auto"/>
        <w:tabs>
          <w:tab w:leader="none" w:pos="500" w:val="left"/>
        </w:tabs>
        <w:numPr>
          <w:ilvl w:val="0"/>
          <w:numId w:val="29"/>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w:t>
      </w:r>
    </w:p>
    <w:p>
      <w:pPr>
        <w:spacing w:after="0" w:line="5" w:lineRule="exact"/>
        <w:rPr>
          <w:rFonts w:ascii="Times New Roman" w:cs="Times New Roman" w:eastAsia="Times New Roman" w:hAnsi="Times New Roman"/>
          <w:sz w:val="20"/>
          <w:szCs w:val="20"/>
          <w:color w:val="4C4C4E"/>
        </w:rPr>
      </w:pPr>
    </w:p>
    <w:p>
      <w:pPr>
        <w:ind w:left="500" w:right="140"/>
        <w:spacing w:after="0" w:line="244" w:lineRule="auto"/>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0" w:lineRule="exact"/>
        <w:rPr>
          <w:rFonts w:ascii="Times New Roman" w:cs="Times New Roman" w:eastAsia="Times New Roman" w:hAnsi="Times New Roman"/>
          <w:sz w:val="20"/>
          <w:szCs w:val="20"/>
          <w:color w:val="4C4C4E"/>
        </w:rPr>
      </w:pPr>
    </w:p>
    <w:p>
      <w:pPr>
        <w:ind w:left="500"/>
        <w:spacing w:after="0" w:line="246" w:lineRule="auto"/>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79" w:lineRule="exact"/>
        <w:rPr>
          <w:rFonts w:ascii="Times New Roman" w:cs="Times New Roman" w:eastAsia="Times New Roman" w:hAnsi="Times New Roman"/>
          <w:sz w:val="20"/>
          <w:szCs w:val="20"/>
          <w:color w:val="4C4C4E"/>
        </w:rPr>
      </w:pPr>
    </w:p>
    <w:p>
      <w:pPr>
        <w:ind w:left="500" w:right="80" w:hanging="495"/>
        <w:spacing w:after="0" w:line="305" w:lineRule="auto"/>
        <w:tabs>
          <w:tab w:leader="none" w:pos="500" w:val="left"/>
        </w:tabs>
        <w:numPr>
          <w:ilvl w:val="0"/>
          <w:numId w:val="29"/>
        </w:numPr>
        <w:rPr>
          <w:rFonts w:ascii="Times New Roman" w:cs="Times New Roman" w:eastAsia="Times New Roman" w:hAnsi="Times New Roman"/>
          <w:sz w:val="19"/>
          <w:szCs w:val="19"/>
          <w:color w:val="4C4C4E"/>
        </w:rPr>
      </w:pPr>
      <w:r>
        <w:rPr>
          <w:rFonts w:ascii="Times New Roman" w:cs="Times New Roman" w:eastAsia="Times New Roman" w:hAnsi="Times New Roman"/>
          <w:sz w:val="19"/>
          <w:szCs w:val="19"/>
          <w:color w:val="4C4C4E"/>
        </w:rPr>
        <w:t>The second component, payable at the end of each fiscal year in arrears, equaled 15% through March 31, 2014 and, beginning April 1, 2014, equals a weighted percentage of cumulative realized capital gains from our inception to the end of that fiscal</w:t>
      </w:r>
    </w:p>
    <w:p>
      <w:pPr>
        <w:sectPr>
          <w:pgSz w:w="11880" w:h="15480" w:orient="portrait"/>
          <w:cols w:equalWidth="0" w:num="1">
            <w:col w:w="10660"/>
          </w:cols>
          <w:pgMar w:left="680" w:top="750" w:right="540" w:bottom="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19</w:t>
      </w:r>
    </w:p>
    <w:p>
      <w:pPr>
        <w:sectPr>
          <w:pgSz w:w="11880" w:h="15480" w:orient="portrait"/>
          <w:cols w:equalWidth="0" w:num="1">
            <w:col w:w="10660"/>
          </w:cols>
          <w:pgMar w:left="680" w:top="750" w:right="540" w:bottom="0" w:gutter="0" w:footer="0" w:header="0"/>
          <w:type w:val="continuous"/>
        </w:sectPr>
      </w:pPr>
    </w:p>
    <w:bookmarkStart w:id="19" w:name="page20"/>
    <w:bookmarkEnd w:id="19"/>
    <w:p>
      <w:pPr>
        <w:ind w:left="500"/>
        <w:spacing w:after="0" w:line="243" w:lineRule="auto"/>
        <w:rPr>
          <w:sz w:val="20"/>
          <w:szCs w:val="20"/>
          <w:color w:val="auto"/>
        </w:rPr>
      </w:pPr>
      <w:r>
        <w:rPr>
          <w:rFonts w:ascii="Times New Roman" w:cs="Times New Roman" w:eastAsia="Times New Roman" w:hAnsi="Times New Roman"/>
          <w:sz w:val="20"/>
          <w:szCs w:val="20"/>
          <w:color w:val="4C4C4E"/>
        </w:rPr>
        <w:t>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capital gains because a Capital Gains Fee would be owed to the Adviser if we were to sell the relevant investment and realize a capital gain. The weighted percentage is intended to ensure that for each fiscal year following the completion of the initial public offering (“IPO”), the portion of our realized capital gains that accrued prior to March 31, 2014, is subject to an Incentive Fee rate of 15% and the portion of our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203" w:lineRule="exact"/>
        <w:rPr>
          <w:sz w:val="20"/>
          <w:szCs w:val="20"/>
          <w:color w:val="auto"/>
        </w:rPr>
      </w:pPr>
    </w:p>
    <w:p>
      <w:pPr>
        <w:jc w:val="both"/>
        <w:ind w:right="320" w:firstLine="245"/>
        <w:spacing w:after="0" w:line="258" w:lineRule="auto"/>
        <w:rPr>
          <w:sz w:val="20"/>
          <w:szCs w:val="20"/>
          <w:color w:val="auto"/>
        </w:rPr>
      </w:pPr>
      <w:r>
        <w:rPr>
          <w:rFonts w:ascii="Times New Roman" w:cs="Times New Roman" w:eastAsia="Times New Roman" w:hAnsi="Times New Roman"/>
          <w:sz w:val="20"/>
          <w:szCs w:val="20"/>
          <w:color w:val="4C4C4E"/>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88"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4C4C4E"/>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206" w:lineRule="exact"/>
        <w:rPr>
          <w:sz w:val="20"/>
          <w:szCs w:val="20"/>
          <w:color w:val="auto"/>
        </w:rPr>
      </w:pPr>
    </w:p>
    <w:p>
      <w:pPr>
        <w:ind w:right="80" w:firstLine="245"/>
        <w:spacing w:after="0" w:line="277" w:lineRule="auto"/>
        <w:rPr>
          <w:sz w:val="20"/>
          <w:szCs w:val="20"/>
          <w:color w:val="auto"/>
        </w:rPr>
      </w:pPr>
      <w:r>
        <w:rPr>
          <w:rFonts w:ascii="Times New Roman" w:cs="Times New Roman" w:eastAsia="Times New Roman" w:hAnsi="Times New Roman"/>
          <w:sz w:val="20"/>
          <w:szCs w:val="20"/>
          <w:color w:val="4C4C4E"/>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9" w:lineRule="exact"/>
        <w:rPr>
          <w:sz w:val="20"/>
          <w:szCs w:val="20"/>
          <w:color w:val="auto"/>
        </w:rPr>
      </w:pPr>
    </w:p>
    <w:p>
      <w:pPr>
        <w:ind w:right="120" w:firstLine="245"/>
        <w:spacing w:after="0" w:line="247" w:lineRule="auto"/>
        <w:rPr>
          <w:sz w:val="20"/>
          <w:szCs w:val="20"/>
          <w:color w:val="auto"/>
        </w:rPr>
      </w:pPr>
      <w:r>
        <w:rPr>
          <w:rFonts w:ascii="Times New Roman" w:cs="Times New Roman" w:eastAsia="Times New Roman" w:hAnsi="Times New Roman"/>
          <w:sz w:val="20"/>
          <w:szCs w:val="20"/>
          <w:color w:val="4C4C4E"/>
        </w:rPr>
        <w:t>For the years ended December 31, 2025, December 31, 2024 and December 31, 2023, Incentive Fees were $38.4 million, $40.2 million, and $47.0 million, respectively, of which $43.5 million, $45.5 million, and $ 42.6 million, respectively, were realized and payable to the Adviser. For the years ended December 31, 2025, December 31, 2024 and December 31, 2023, $(5.1) million, $(5.4) million, and $ 4.4 million, respectively, of Incentive Fees were accrued related to Capital Gains Fees. As of December 31, 2025, these accrued Incentive Fees are not contractually payable to the Adviser. The Adviser did not waive any Incentive Fees for the years ended December 31, 2025, December 31, 2024 and December 31, 2023.</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Any waived Incentive Fees are not subject to recoupment by the Adviser.</w:t>
      </w:r>
    </w:p>
    <w:p>
      <w:pPr>
        <w:spacing w:after="0" w:line="240" w:lineRule="exact"/>
        <w:rPr>
          <w:sz w:val="20"/>
          <w:szCs w:val="20"/>
          <w:color w:val="auto"/>
        </w:rPr>
      </w:pPr>
    </w:p>
    <w:p>
      <w:pPr>
        <w:ind w:right="180" w:firstLine="245"/>
        <w:spacing w:after="0" w:line="258" w:lineRule="auto"/>
        <w:rPr>
          <w:sz w:val="20"/>
          <w:szCs w:val="20"/>
          <w:color w:val="auto"/>
        </w:rPr>
      </w:pPr>
      <w:r>
        <w:rPr>
          <w:rFonts w:ascii="Times New Roman" w:cs="Times New Roman" w:eastAsia="Times New Roman" w:hAnsi="Times New Roman"/>
          <w:sz w:val="20"/>
          <w:szCs w:val="20"/>
          <w:color w:val="4C4C4E"/>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88"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94" w:lineRule="exact"/>
        <w:rPr>
          <w:sz w:val="20"/>
          <w:szCs w:val="20"/>
          <w:color w:val="auto"/>
        </w:rPr>
      </w:pPr>
    </w:p>
    <w:p>
      <w:pPr>
        <w:ind w:right="60" w:firstLine="245"/>
        <w:spacing w:after="0" w:line="277" w:lineRule="auto"/>
        <w:rPr>
          <w:sz w:val="20"/>
          <w:szCs w:val="20"/>
          <w:color w:val="auto"/>
        </w:rPr>
      </w:pPr>
      <w:r>
        <w:rPr>
          <w:rFonts w:ascii="Times New Roman" w:cs="Times New Roman" w:eastAsia="Times New Roman" w:hAnsi="Times New Roman"/>
          <w:sz w:val="20"/>
          <w:szCs w:val="20"/>
          <w:color w:val="4C4C4E"/>
        </w:rPr>
        <w:t>Our Board monitors the mix and performance of our investments over time and seeks to satisfy itself that the Adviser is acting in our interests and that our fee structure appropriately incentivizes the Adviser to do so.</w:t>
      </w:r>
    </w:p>
    <w:p>
      <w:pPr>
        <w:spacing w:after="0" w:line="169" w:lineRule="exact"/>
        <w:rPr>
          <w:sz w:val="20"/>
          <w:szCs w:val="20"/>
          <w:color w:val="auto"/>
        </w:rPr>
      </w:pPr>
    </w:p>
    <w:p>
      <w:pPr>
        <w:ind w:right="80" w:firstLine="245"/>
        <w:spacing w:after="0" w:line="261" w:lineRule="auto"/>
        <w:rPr>
          <w:sz w:val="20"/>
          <w:szCs w:val="20"/>
          <w:color w:val="auto"/>
        </w:rPr>
      </w:pPr>
      <w:r>
        <w:rPr>
          <w:rFonts w:ascii="Times New Roman" w:cs="Times New Roman" w:eastAsia="Times New Roman" w:hAnsi="Times New Roman"/>
          <w:sz w:val="19"/>
          <w:szCs w:val="19"/>
          <w:color w:val="4C4C4E"/>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9"/>
          <w:szCs w:val="19"/>
          <w:i w:val="1"/>
          <w:iCs w:val="1"/>
          <w:color w:val="4C4C4E"/>
        </w:rPr>
        <w:t>Payment of Our Expenses</w:t>
      </w:r>
      <w:r>
        <w:rPr>
          <w:rFonts w:ascii="Times New Roman" w:cs="Times New Roman" w:eastAsia="Times New Roman" w:hAnsi="Times New Roman"/>
          <w:sz w:val="19"/>
          <w:szCs w:val="19"/>
          <w:color w:val="4C4C4E"/>
        </w:rPr>
        <w:t>” below. In addition, the Adviser is permitted to delegate its duties under the Administration Agreement to affiliates or third parties and we pay or reimburse the Adviser expenses incurred by any such affiliates or third parties for work done on our behalf. For the</w:t>
      </w:r>
    </w:p>
    <w:p>
      <w:pPr>
        <w:sectPr>
          <w:pgSz w:w="11880" w:h="15480" w:orient="portrait"/>
          <w:cols w:equalWidth="0" w:num="1">
            <w:col w:w="10640"/>
          </w:cols>
          <w:pgMar w:left="680" w:top="750" w:right="560" w:bottom="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20</w:t>
      </w:r>
    </w:p>
    <w:p>
      <w:pPr>
        <w:sectPr>
          <w:pgSz w:w="11880" w:h="15480" w:orient="portrait"/>
          <w:cols w:equalWidth="0" w:num="1">
            <w:col w:w="10640"/>
          </w:cols>
          <w:pgMar w:left="680" w:top="750" w:right="560" w:bottom="0" w:gutter="0" w:footer="0" w:header="0"/>
          <w:type w:val="continuous"/>
        </w:sectPr>
      </w:pPr>
    </w:p>
    <w:bookmarkStart w:id="20" w:name="page21"/>
    <w:bookmarkEnd w:id="20"/>
    <w:p>
      <w:pPr>
        <w:ind w:right="180"/>
        <w:spacing w:after="0" w:line="258" w:lineRule="auto"/>
        <w:rPr>
          <w:sz w:val="20"/>
          <w:szCs w:val="20"/>
          <w:color w:val="auto"/>
        </w:rPr>
      </w:pPr>
      <w:r>
        <w:rPr>
          <w:rFonts w:ascii="Times New Roman" w:cs="Times New Roman" w:eastAsia="Times New Roman" w:hAnsi="Times New Roman"/>
          <w:sz w:val="20"/>
          <w:szCs w:val="20"/>
          <w:color w:val="4C4C4E"/>
        </w:rPr>
        <w:t>years ended December 31, 2025, December 31, 2024, and December 31, 2023, we incurred expenses of $3.9 million, $3.9 million, and $3.2 million, respectively, for administrative services payable under the terms of the Administration Agreement, which are included in Other general and administrative expenses.</w:t>
      </w:r>
    </w:p>
    <w:p>
      <w:pPr>
        <w:spacing w:after="0" w:line="188" w:lineRule="exact"/>
        <w:rPr>
          <w:sz w:val="20"/>
          <w:szCs w:val="20"/>
          <w:color w:val="auto"/>
        </w:rPr>
      </w:pPr>
    </w:p>
    <w:p>
      <w:pPr>
        <w:jc w:val="both"/>
        <w:ind w:right="80" w:firstLine="245"/>
        <w:spacing w:after="0" w:line="258" w:lineRule="auto"/>
        <w:rPr>
          <w:sz w:val="20"/>
          <w:szCs w:val="20"/>
          <w:color w:val="auto"/>
        </w:rPr>
      </w:pPr>
      <w:r>
        <w:rPr>
          <w:rFonts w:ascii="Times New Roman" w:cs="Times New Roman" w:eastAsia="Times New Roman" w:hAnsi="Times New Roman"/>
          <w:sz w:val="20"/>
          <w:szCs w:val="20"/>
          <w:color w:val="4C4C4E"/>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8" w:lineRule="exact"/>
        <w:rPr>
          <w:sz w:val="20"/>
          <w:szCs w:val="20"/>
          <w:color w:val="auto"/>
        </w:rPr>
      </w:pPr>
    </w:p>
    <w:p>
      <w:pPr>
        <w:ind w:right="480" w:firstLine="245"/>
        <w:spacing w:after="0" w:line="278" w:lineRule="auto"/>
        <w:rPr>
          <w:sz w:val="20"/>
          <w:szCs w:val="20"/>
          <w:color w:val="auto"/>
        </w:rPr>
      </w:pPr>
      <w:r>
        <w:rPr>
          <w:rFonts w:ascii="Times New Roman" w:cs="Times New Roman" w:eastAsia="Times New Roman" w:hAnsi="Times New Roman"/>
          <w:sz w:val="19"/>
          <w:szCs w:val="19"/>
          <w:color w:val="4C4C4E"/>
        </w:rPr>
        <w:t>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w:t>
      </w:r>
    </w:p>
    <w:p>
      <w:pPr>
        <w:spacing w:after="0" w:line="171" w:lineRule="exact"/>
        <w:rPr>
          <w:sz w:val="20"/>
          <w:szCs w:val="20"/>
          <w:color w:val="auto"/>
        </w:rPr>
      </w:pPr>
    </w:p>
    <w:p>
      <w:pPr>
        <w:ind w:right="80" w:firstLine="245"/>
        <w:spacing w:after="0" w:line="243" w:lineRule="auto"/>
        <w:rPr>
          <w:sz w:val="20"/>
          <w:szCs w:val="20"/>
          <w:color w:val="auto"/>
        </w:rPr>
      </w:pPr>
      <w:r>
        <w:rPr>
          <w:rFonts w:ascii="Times New Roman" w:cs="Times New Roman" w:eastAsia="Times New Roman" w:hAnsi="Times New Roman"/>
          <w:sz w:val="20"/>
          <w:szCs w:val="20"/>
          <w:color w:val="4C4C4E"/>
        </w:rPr>
        <w:t>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203"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4C4C4E"/>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213"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4C4C4E"/>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Payment of Our Expenses</w:t>
      </w:r>
    </w:p>
    <w:p>
      <w:pPr>
        <w:spacing w:after="0" w:line="118" w:lineRule="exact"/>
        <w:rPr>
          <w:sz w:val="20"/>
          <w:szCs w:val="20"/>
          <w:color w:val="auto"/>
        </w:rPr>
      </w:pPr>
    </w:p>
    <w:p>
      <w:pPr>
        <w:ind w:right="200" w:firstLine="245"/>
        <w:spacing w:after="0" w:line="258" w:lineRule="auto"/>
        <w:rPr>
          <w:sz w:val="20"/>
          <w:szCs w:val="20"/>
          <w:color w:val="auto"/>
        </w:rPr>
      </w:pPr>
      <w:r>
        <w:rPr>
          <w:rFonts w:ascii="Times New Roman" w:cs="Times New Roman" w:eastAsia="Times New Roman" w:hAnsi="Times New Roman"/>
          <w:sz w:val="20"/>
          <w:szCs w:val="20"/>
          <w:color w:val="4C4C4E"/>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3" w:lineRule="exact"/>
        <w:rPr>
          <w:sz w:val="20"/>
          <w:szCs w:val="20"/>
          <w:color w:val="auto"/>
        </w:rPr>
      </w:pPr>
    </w:p>
    <w:p>
      <w:pPr>
        <w:ind w:left="500" w:right="500" w:hanging="251"/>
        <w:spacing w:after="0" w:line="276" w:lineRule="auto"/>
        <w:tabs>
          <w:tab w:leader="none" w:pos="500" w:val="left"/>
        </w:tabs>
        <w:numPr>
          <w:ilvl w:val="0"/>
          <w:numId w:val="30"/>
        </w:numPr>
        <w:rPr>
          <w:rFonts w:ascii="Arial" w:cs="Arial" w:eastAsia="Arial" w:hAnsi="Arial"/>
          <w:sz w:val="20"/>
          <w:szCs w:val="20"/>
          <w:color w:val="4C4C4E"/>
        </w:rPr>
      </w:pPr>
      <w:r>
        <w:rPr>
          <w:rFonts w:ascii="Times New Roman" w:cs="Times New Roman" w:eastAsia="Times New Roman" w:hAnsi="Times New Roman"/>
          <w:sz w:val="20"/>
          <w:szCs w:val="20"/>
          <w:color w:val="4C4C4E"/>
        </w:rPr>
        <w:t>calculating individual asset values and our net asset value (including the cost and expenses of any independent valuation firms);</w:t>
      </w:r>
    </w:p>
    <w:p>
      <w:pPr>
        <w:spacing w:after="0" w:line="64" w:lineRule="exact"/>
        <w:rPr>
          <w:rFonts w:ascii="Arial" w:cs="Arial" w:eastAsia="Arial" w:hAnsi="Arial"/>
          <w:sz w:val="20"/>
          <w:szCs w:val="20"/>
          <w:color w:val="4C4C4E"/>
        </w:rPr>
      </w:pPr>
    </w:p>
    <w:p>
      <w:pPr>
        <w:jc w:val="both"/>
        <w:ind w:left="500" w:right="20" w:hanging="251"/>
        <w:spacing w:after="0" w:line="258" w:lineRule="auto"/>
        <w:tabs>
          <w:tab w:leader="none" w:pos="500" w:val="left"/>
        </w:tabs>
        <w:numPr>
          <w:ilvl w:val="0"/>
          <w:numId w:val="30"/>
        </w:numPr>
        <w:rPr>
          <w:rFonts w:ascii="Arial" w:cs="Arial" w:eastAsia="Arial" w:hAnsi="Arial"/>
          <w:sz w:val="20"/>
          <w:szCs w:val="20"/>
          <w:color w:val="4C4C4E"/>
        </w:rPr>
      </w:pPr>
      <w:r>
        <w:rPr>
          <w:rFonts w:ascii="Times New Roman" w:cs="Times New Roman" w:eastAsia="Times New Roman" w:hAnsi="Times New Roman"/>
          <w:sz w:val="20"/>
          <w:szCs w:val="20"/>
          <w:color w:val="4C4C4E"/>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Arial" w:cs="Arial" w:eastAsia="Arial" w:hAnsi="Arial"/>
          <w:sz w:val="20"/>
          <w:szCs w:val="20"/>
          <w:color w:val="4C4C4E"/>
        </w:rPr>
      </w:pPr>
    </w:p>
    <w:p>
      <w:pPr>
        <w:ind w:left="500" w:hanging="251"/>
        <w:spacing w:after="0"/>
        <w:tabs>
          <w:tab w:leader="none" w:pos="500" w:val="left"/>
        </w:tabs>
        <w:numPr>
          <w:ilvl w:val="0"/>
          <w:numId w:val="30"/>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costs of any public offerings of our common stock and other securities, including registration and listing fees;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0"/>
        </w:numPr>
        <w:rPr>
          <w:rFonts w:ascii="Arial" w:cs="Arial" w:eastAsia="Arial" w:hAnsi="Arial"/>
          <w:sz w:val="20"/>
          <w:szCs w:val="20"/>
          <w:color w:val="4C4C4E"/>
        </w:rPr>
      </w:pPr>
      <w:r>
        <w:rPr>
          <w:rFonts w:ascii="Times New Roman" w:cs="Times New Roman" w:eastAsia="Times New Roman" w:hAnsi="Times New Roman"/>
          <w:sz w:val="20"/>
          <w:szCs w:val="20"/>
          <w:color w:val="4C4C4E"/>
        </w:rPr>
        <w:t>the Management Fee and any Incentive Fee;</w:t>
      </w:r>
    </w:p>
    <w:p>
      <w:pPr>
        <w:sectPr>
          <w:pgSz w:w="11880" w:h="15480" w:orient="portrait"/>
          <w:cols w:equalWidth="0" w:num="1">
            <w:col w:w="10640"/>
          </w:cols>
          <w:pgMar w:left="680" w:top="750" w:right="560" w:bottom="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21</w:t>
      </w:r>
    </w:p>
    <w:p>
      <w:pPr>
        <w:sectPr>
          <w:pgSz w:w="11880" w:h="15480" w:orient="portrait"/>
          <w:cols w:equalWidth="0" w:num="1">
            <w:col w:w="10640"/>
          </w:cols>
          <w:pgMar w:left="680" w:top="750" w:right="560" w:bottom="0" w:gutter="0" w:footer="0" w:header="0"/>
          <w:type w:val="continuous"/>
        </w:sectPr>
      </w:pPr>
    </w:p>
    <w:bookmarkStart w:id="21" w:name="page22"/>
    <w:bookmarkEnd w:id="21"/>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certain costs and expenses relating to distributions paid on our shares;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administration fees payable under our Administration Agreement;</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debt service and other costs of borrowings or other financing arrangements;</w:t>
      </w:r>
    </w:p>
    <w:p>
      <w:pPr>
        <w:spacing w:after="0" w:line="133" w:lineRule="exact"/>
        <w:rPr>
          <w:rFonts w:ascii="Arial" w:cs="Arial" w:eastAsia="Arial" w:hAnsi="Arial"/>
          <w:sz w:val="20"/>
          <w:szCs w:val="20"/>
          <w:color w:val="4C4C4E"/>
        </w:rPr>
      </w:pPr>
    </w:p>
    <w:p>
      <w:pPr>
        <w:ind w:left="500" w:hanging="251"/>
        <w:spacing w:after="0" w:line="276" w:lineRule="auto"/>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the Adviser’s allocable share of costs incurred in providing significant managerial assistance to those portfolio companies that request it;</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amounts payable to third parties relating to, or associated with, making or holding investments;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transfer agent and custodial fees;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costs of hedging;</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commissions and other compensation payable to brokers or dealers;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taxes;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Independent Director fees and expenses;</w:t>
      </w:r>
    </w:p>
    <w:p>
      <w:pPr>
        <w:spacing w:after="0" w:line="133" w:lineRule="exact"/>
        <w:rPr>
          <w:rFonts w:ascii="Arial" w:cs="Arial" w:eastAsia="Arial" w:hAnsi="Arial"/>
          <w:sz w:val="20"/>
          <w:szCs w:val="20"/>
          <w:color w:val="4C4C4E"/>
        </w:rPr>
      </w:pPr>
    </w:p>
    <w:p>
      <w:pPr>
        <w:ind w:left="500" w:right="40" w:hanging="251"/>
        <w:spacing w:after="0" w:line="249" w:lineRule="auto"/>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90" w:lineRule="exact"/>
        <w:rPr>
          <w:rFonts w:ascii="Arial" w:cs="Arial" w:eastAsia="Arial" w:hAnsi="Arial"/>
          <w:sz w:val="20"/>
          <w:szCs w:val="20"/>
          <w:color w:val="4C4C4E"/>
        </w:rPr>
      </w:pPr>
    </w:p>
    <w:p>
      <w:pPr>
        <w:ind w:left="500" w:right="40" w:hanging="251"/>
        <w:spacing w:after="0" w:line="258" w:lineRule="auto"/>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1"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our fidelity bond;</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directors and officers/errors and omissions liability insurance, and any other insurance premiums;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indemnification payments;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direct costs and expenses of administration, including audit, accounting, consulting and legal costs; and</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1"/>
        </w:numPr>
        <w:rPr>
          <w:rFonts w:ascii="Arial" w:cs="Arial" w:eastAsia="Arial" w:hAnsi="Arial"/>
          <w:sz w:val="20"/>
          <w:szCs w:val="20"/>
          <w:color w:val="4C4C4E"/>
        </w:rPr>
      </w:pPr>
      <w:r>
        <w:rPr>
          <w:rFonts w:ascii="Times New Roman" w:cs="Times New Roman" w:eastAsia="Times New Roman" w:hAnsi="Times New Roman"/>
          <w:sz w:val="20"/>
          <w:szCs w:val="20"/>
          <w:color w:val="4C4C4E"/>
        </w:rPr>
        <w:t>all other expenses reasonably incurred by us in connection with making investments and administering our business.</w:t>
      </w:r>
    </w:p>
    <w:p>
      <w:pPr>
        <w:spacing w:after="0" w:line="239" w:lineRule="exact"/>
        <w:rPr>
          <w:sz w:val="20"/>
          <w:szCs w:val="20"/>
          <w:color w:val="auto"/>
        </w:rPr>
      </w:pPr>
    </w:p>
    <w:p>
      <w:pPr>
        <w:ind w:right="60" w:firstLine="245"/>
        <w:spacing w:after="0" w:line="247" w:lineRule="auto"/>
        <w:rPr>
          <w:sz w:val="20"/>
          <w:szCs w:val="20"/>
          <w:color w:val="auto"/>
        </w:rPr>
      </w:pPr>
      <w:r>
        <w:rPr>
          <w:rFonts w:ascii="Times New Roman" w:cs="Times New Roman" w:eastAsia="Times New Roman" w:hAnsi="Times New Roman"/>
          <w:sz w:val="20"/>
          <w:szCs w:val="20"/>
          <w:color w:val="4C4C4E"/>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Duration and Termination</w:t>
      </w:r>
    </w:p>
    <w:p>
      <w:pPr>
        <w:spacing w:after="0" w:line="118"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4C4C4E"/>
        </w:rPr>
        <w:t>Unless earlier terminated as described below, both the Investment Advisory Agreement and the Administration Agreement will remain in effect until November 2026,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20"/>
          <w:szCs w:val="20"/>
          <w:i w:val="1"/>
          <w:iCs w:val="1"/>
          <w:color w:val="4C4C4E"/>
        </w:rPr>
        <w:t>ITEM 1A. RISK FACTORS—Risks Related to Our Business and Structure—We are dependent upon management</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personnel of the Adviser, Sixth Street, and their affiliates for our future success</w:t>
      </w:r>
      <w:r>
        <w:rPr>
          <w:rFonts w:ascii="Times New Roman" w:cs="Times New Roman" w:eastAsia="Times New Roman" w:hAnsi="Times New Roman"/>
          <w:sz w:val="20"/>
          <w:szCs w:val="20"/>
          <w:color w:val="4C4C4E"/>
        </w:rPr>
        <w: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Indemnification</w:t>
      </w:r>
    </w:p>
    <w:p>
      <w:pPr>
        <w:spacing w:after="0" w:line="118" w:lineRule="exact"/>
        <w:rPr>
          <w:sz w:val="20"/>
          <w:szCs w:val="20"/>
          <w:color w:val="auto"/>
        </w:rPr>
      </w:pPr>
    </w:p>
    <w:p>
      <w:pPr>
        <w:ind w:right="200" w:firstLine="245"/>
        <w:spacing w:after="0" w:line="258" w:lineRule="auto"/>
        <w:rPr>
          <w:sz w:val="20"/>
          <w:szCs w:val="20"/>
          <w:color w:val="auto"/>
        </w:rPr>
      </w:pPr>
      <w:r>
        <w:rPr>
          <w:rFonts w:ascii="Times New Roman" w:cs="Times New Roman" w:eastAsia="Times New Roman" w:hAnsi="Times New Roman"/>
          <w:sz w:val="20"/>
          <w:szCs w:val="20"/>
          <w:color w:val="4C4C4E"/>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w:t>
      </w:r>
    </w:p>
    <w:p>
      <w:pPr>
        <w:sectPr>
          <w:pgSz w:w="11880" w:h="15480" w:orient="portrait"/>
          <w:cols w:equalWidth="0" w:num="1">
            <w:col w:w="10600"/>
          </w:cols>
          <w:pgMar w:left="680" w:top="764" w:right="600" w:bottom="0" w:gutter="0" w:footer="0" w:header="0"/>
        </w:sectPr>
      </w:pP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C4C4E"/>
        </w:rPr>
        <w:t>22</w:t>
      </w:r>
    </w:p>
    <w:p>
      <w:pPr>
        <w:sectPr>
          <w:pgSz w:w="11880" w:h="15480" w:orient="portrait"/>
          <w:cols w:equalWidth="0" w:num="1">
            <w:col w:w="10600"/>
          </w:cols>
          <w:pgMar w:left="680" w:top="764" w:right="600" w:bottom="0" w:gutter="0" w:footer="0" w:header="0"/>
          <w:type w:val="continuous"/>
        </w:sectPr>
      </w:pPr>
    </w:p>
    <w:bookmarkStart w:id="22" w:name="page23"/>
    <w:bookmarkEnd w:id="22"/>
    <w:p>
      <w:pPr>
        <w:spacing w:after="0" w:line="243" w:lineRule="auto"/>
        <w:rPr>
          <w:sz w:val="20"/>
          <w:szCs w:val="20"/>
          <w:color w:val="auto"/>
        </w:rPr>
      </w:pPr>
      <w:r>
        <w:rPr>
          <w:rFonts w:ascii="Times New Roman" w:cs="Times New Roman" w:eastAsia="Times New Roman" w:hAnsi="Times New Roman"/>
          <w:sz w:val="20"/>
          <w:szCs w:val="20"/>
          <w:color w:val="4C4C4E"/>
        </w:rPr>
        <w:t>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Board Approval of the Investment Advisory Agreement</w:t>
      </w:r>
    </w:p>
    <w:p>
      <w:pPr>
        <w:spacing w:after="0" w:line="118"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2025. In its consideration of the Investment Advisory Agreement at the time of approval and renewal, the Board focused on information it had received relating to, among other things:</w:t>
      </w:r>
    </w:p>
    <w:p>
      <w:pPr>
        <w:spacing w:after="0" w:line="88" w:lineRule="exact"/>
        <w:rPr>
          <w:sz w:val="20"/>
          <w:szCs w:val="20"/>
          <w:color w:val="auto"/>
        </w:rPr>
      </w:pPr>
    </w:p>
    <w:p>
      <w:pPr>
        <w:ind w:left="500" w:hanging="251"/>
        <w:spacing w:after="0"/>
        <w:tabs>
          <w:tab w:leader="none" w:pos="500" w:val="left"/>
        </w:tabs>
        <w:numPr>
          <w:ilvl w:val="0"/>
          <w:numId w:val="32"/>
        </w:numPr>
        <w:rPr>
          <w:rFonts w:ascii="Arial" w:cs="Arial" w:eastAsia="Arial" w:hAnsi="Arial"/>
          <w:sz w:val="20"/>
          <w:szCs w:val="20"/>
          <w:color w:val="4C4C4E"/>
        </w:rPr>
      </w:pPr>
      <w:r>
        <w:rPr>
          <w:rFonts w:ascii="Times New Roman" w:cs="Times New Roman" w:eastAsia="Times New Roman" w:hAnsi="Times New Roman"/>
          <w:sz w:val="20"/>
          <w:szCs w:val="20"/>
          <w:color w:val="4C4C4E"/>
        </w:rPr>
        <w:t>the nature, quality and extent of the advisory and other services to be provided to us by the Adviser;</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2"/>
        </w:numPr>
        <w:rPr>
          <w:rFonts w:ascii="Arial" w:cs="Arial" w:eastAsia="Arial" w:hAnsi="Arial"/>
          <w:sz w:val="20"/>
          <w:szCs w:val="20"/>
          <w:color w:val="4C4C4E"/>
        </w:rPr>
      </w:pPr>
      <w:r>
        <w:rPr>
          <w:rFonts w:ascii="Times New Roman" w:cs="Times New Roman" w:eastAsia="Times New Roman" w:hAnsi="Times New Roman"/>
          <w:sz w:val="20"/>
          <w:szCs w:val="20"/>
          <w:color w:val="4C4C4E"/>
        </w:rPr>
        <w:t>our investment and financial performance on a standalone basis and against a comparative universe of peers;</w:t>
      </w:r>
    </w:p>
    <w:p>
      <w:pPr>
        <w:spacing w:after="0" w:line="133" w:lineRule="exact"/>
        <w:rPr>
          <w:rFonts w:ascii="Arial" w:cs="Arial" w:eastAsia="Arial" w:hAnsi="Arial"/>
          <w:sz w:val="20"/>
          <w:szCs w:val="20"/>
          <w:color w:val="4C4C4E"/>
        </w:rPr>
      </w:pPr>
    </w:p>
    <w:p>
      <w:pPr>
        <w:ind w:left="500" w:right="460" w:hanging="251"/>
        <w:spacing w:after="0" w:line="276" w:lineRule="auto"/>
        <w:tabs>
          <w:tab w:leader="none" w:pos="500" w:val="left"/>
        </w:tabs>
        <w:numPr>
          <w:ilvl w:val="0"/>
          <w:numId w:val="32"/>
        </w:numPr>
        <w:rPr>
          <w:rFonts w:ascii="Arial" w:cs="Arial" w:eastAsia="Arial" w:hAnsi="Arial"/>
          <w:sz w:val="20"/>
          <w:szCs w:val="20"/>
          <w:color w:val="4C4C4E"/>
        </w:rPr>
      </w:pPr>
      <w:r>
        <w:rPr>
          <w:rFonts w:ascii="Times New Roman" w:cs="Times New Roman" w:eastAsia="Times New Roman" w:hAnsi="Times New Roman"/>
          <w:sz w:val="20"/>
          <w:szCs w:val="20"/>
          <w:color w:val="4C4C4E"/>
        </w:rPr>
        <w:t>the extent to which economies of scale would be realized as we grow, and whether the fees payable under the Investment Advisory Agreement reflect these economies of scale for the benefit of our stockholders;</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32"/>
        </w:numPr>
        <w:rPr>
          <w:rFonts w:ascii="Arial" w:cs="Arial" w:eastAsia="Arial" w:hAnsi="Arial"/>
          <w:sz w:val="20"/>
          <w:szCs w:val="20"/>
          <w:color w:val="4C4C4E"/>
        </w:rPr>
      </w:pPr>
      <w:r>
        <w:rPr>
          <w:rFonts w:ascii="Times New Roman" w:cs="Times New Roman" w:eastAsia="Times New Roman" w:hAnsi="Times New Roman"/>
          <w:sz w:val="20"/>
          <w:szCs w:val="20"/>
          <w:color w:val="4C4C4E"/>
        </w:rPr>
        <w:t>comparative data with respect to advisory fees or similar expenses paid by other BDCs with similar investment objectives;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32"/>
        </w:numPr>
        <w:rPr>
          <w:rFonts w:ascii="Arial" w:cs="Arial" w:eastAsia="Arial" w:hAnsi="Arial"/>
          <w:sz w:val="20"/>
          <w:szCs w:val="20"/>
          <w:color w:val="4C4C4E"/>
        </w:rPr>
      </w:pPr>
      <w:r>
        <w:rPr>
          <w:rFonts w:ascii="Times New Roman" w:cs="Times New Roman" w:eastAsia="Times New Roman" w:hAnsi="Times New Roman"/>
          <w:sz w:val="20"/>
          <w:szCs w:val="20"/>
          <w:color w:val="4C4C4E"/>
        </w:rPr>
        <w:t>our expense ratio compared to BDCs with similar investment objectives;</w:t>
      </w:r>
    </w:p>
    <w:p>
      <w:pPr>
        <w:spacing w:after="0" w:line="129" w:lineRule="exact"/>
        <w:rPr>
          <w:rFonts w:ascii="Arial" w:cs="Arial" w:eastAsia="Arial" w:hAnsi="Arial"/>
          <w:sz w:val="20"/>
          <w:szCs w:val="20"/>
          <w:color w:val="4C4C4E"/>
        </w:rPr>
      </w:pPr>
    </w:p>
    <w:p>
      <w:pPr>
        <w:ind w:left="500" w:right="20" w:hanging="251"/>
        <w:spacing w:after="0" w:line="272" w:lineRule="auto"/>
        <w:tabs>
          <w:tab w:leader="none" w:pos="500" w:val="left"/>
        </w:tabs>
        <w:numPr>
          <w:ilvl w:val="0"/>
          <w:numId w:val="32"/>
        </w:numPr>
        <w:rPr>
          <w:rFonts w:ascii="Arial" w:cs="Arial" w:eastAsia="Arial" w:hAnsi="Arial"/>
          <w:sz w:val="20"/>
          <w:szCs w:val="20"/>
          <w:color w:val="4C4C4E"/>
        </w:rPr>
      </w:pPr>
      <w:r>
        <w:rPr>
          <w:rFonts w:ascii="Times New Roman" w:cs="Times New Roman" w:eastAsia="Times New Roman" w:hAnsi="Times New Roman"/>
          <w:sz w:val="20"/>
          <w:szCs w:val="20"/>
          <w:color w:val="4C4C4E"/>
        </w:rPr>
        <w:t>any existing and potential sources of indirect income to the Adviser from its relationships with us and the profitability of those income sources;</w:t>
      </w:r>
    </w:p>
    <w:p>
      <w:pPr>
        <w:spacing w:after="0" w:line="62" w:lineRule="exact"/>
        <w:rPr>
          <w:rFonts w:ascii="Arial" w:cs="Arial" w:eastAsia="Arial" w:hAnsi="Arial"/>
          <w:sz w:val="20"/>
          <w:szCs w:val="20"/>
          <w:color w:val="4C4C4E"/>
        </w:rPr>
      </w:pPr>
    </w:p>
    <w:p>
      <w:pPr>
        <w:ind w:left="500" w:right="280" w:hanging="251"/>
        <w:spacing w:after="0" w:line="272" w:lineRule="auto"/>
        <w:tabs>
          <w:tab w:leader="none" w:pos="500" w:val="left"/>
        </w:tabs>
        <w:numPr>
          <w:ilvl w:val="0"/>
          <w:numId w:val="32"/>
        </w:numPr>
        <w:rPr>
          <w:rFonts w:ascii="Arial" w:cs="Arial" w:eastAsia="Arial" w:hAnsi="Arial"/>
          <w:sz w:val="20"/>
          <w:szCs w:val="20"/>
          <w:color w:val="4C4C4E"/>
        </w:rPr>
      </w:pPr>
      <w:r>
        <w:rPr>
          <w:rFonts w:ascii="Times New Roman" w:cs="Times New Roman" w:eastAsia="Times New Roman" w:hAnsi="Times New Roman"/>
          <w:sz w:val="20"/>
          <w:szCs w:val="20"/>
          <w:color w:val="4C4C4E"/>
        </w:rPr>
        <w:t>information about the services to be performed and the personnel performing those services under the Investment Advisory Agreement;</w:t>
      </w:r>
    </w:p>
    <w:p>
      <w:pPr>
        <w:spacing w:after="0" w:line="62" w:lineRule="exact"/>
        <w:rPr>
          <w:rFonts w:ascii="Arial" w:cs="Arial" w:eastAsia="Arial" w:hAnsi="Arial"/>
          <w:sz w:val="20"/>
          <w:szCs w:val="20"/>
          <w:color w:val="4C4C4E"/>
        </w:rPr>
      </w:pPr>
    </w:p>
    <w:p>
      <w:pPr>
        <w:ind w:left="500" w:hanging="251"/>
        <w:spacing w:after="0"/>
        <w:tabs>
          <w:tab w:leader="none" w:pos="500" w:val="left"/>
        </w:tabs>
        <w:numPr>
          <w:ilvl w:val="0"/>
          <w:numId w:val="32"/>
        </w:numPr>
        <w:rPr>
          <w:rFonts w:ascii="Arial" w:cs="Arial" w:eastAsia="Arial" w:hAnsi="Arial"/>
          <w:sz w:val="20"/>
          <w:szCs w:val="20"/>
          <w:color w:val="4C4C4E"/>
        </w:rPr>
      </w:pPr>
      <w:r>
        <w:rPr>
          <w:rFonts w:ascii="Times New Roman" w:cs="Times New Roman" w:eastAsia="Times New Roman" w:hAnsi="Times New Roman"/>
          <w:sz w:val="20"/>
          <w:szCs w:val="20"/>
          <w:color w:val="4C4C4E"/>
        </w:rPr>
        <w:t>the organizational and functional capabilities and financial condition of the Adviser and its respective affiliates; and</w:t>
      </w:r>
    </w:p>
    <w:p>
      <w:pPr>
        <w:spacing w:after="0" w:line="128" w:lineRule="exact"/>
        <w:rPr>
          <w:rFonts w:ascii="Arial" w:cs="Arial" w:eastAsia="Arial" w:hAnsi="Arial"/>
          <w:sz w:val="20"/>
          <w:szCs w:val="20"/>
          <w:color w:val="4C4C4E"/>
        </w:rPr>
      </w:pPr>
    </w:p>
    <w:p>
      <w:pPr>
        <w:ind w:left="500" w:right="760" w:hanging="251"/>
        <w:spacing w:after="0" w:line="272" w:lineRule="auto"/>
        <w:tabs>
          <w:tab w:leader="none" w:pos="500" w:val="left"/>
        </w:tabs>
        <w:numPr>
          <w:ilvl w:val="0"/>
          <w:numId w:val="32"/>
        </w:numPr>
        <w:rPr>
          <w:rFonts w:ascii="Arial" w:cs="Arial" w:eastAsia="Arial" w:hAnsi="Arial"/>
          <w:sz w:val="20"/>
          <w:szCs w:val="20"/>
          <w:color w:val="4C4C4E"/>
        </w:rPr>
      </w:pPr>
      <w:r>
        <w:rPr>
          <w:rFonts w:ascii="Times New Roman" w:cs="Times New Roman" w:eastAsia="Times New Roman" w:hAnsi="Times New Roman"/>
          <w:sz w:val="20"/>
          <w:szCs w:val="20"/>
          <w:color w:val="4C4C4E"/>
        </w:rPr>
        <w:t>the possibility of obtaining similar services from other third-party service providers or through an internally managed structure.</w:t>
      </w:r>
    </w:p>
    <w:p>
      <w:pPr>
        <w:spacing w:after="0" w:line="168" w:lineRule="exact"/>
        <w:rPr>
          <w:sz w:val="20"/>
          <w:szCs w:val="20"/>
          <w:color w:val="auto"/>
        </w:rPr>
      </w:pPr>
    </w:p>
    <w:p>
      <w:pPr>
        <w:ind w:right="120" w:firstLine="245"/>
        <w:spacing w:after="0" w:line="253" w:lineRule="auto"/>
        <w:rPr>
          <w:sz w:val="20"/>
          <w:szCs w:val="20"/>
          <w:color w:val="auto"/>
        </w:rPr>
      </w:pPr>
      <w:r>
        <w:rPr>
          <w:rFonts w:ascii="Times New Roman" w:cs="Times New Roman" w:eastAsia="Times New Roman" w:hAnsi="Times New Roman"/>
          <w:sz w:val="20"/>
          <w:szCs w:val="20"/>
          <w:color w:val="4C4C4E"/>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88" w:lineRule="exact"/>
        <w:rPr>
          <w:sz w:val="20"/>
          <w:szCs w:val="20"/>
          <w:color w:val="auto"/>
        </w:rPr>
      </w:pPr>
    </w:p>
    <w:p>
      <w:pPr>
        <w:ind w:right="440" w:firstLine="245"/>
        <w:spacing w:after="0" w:line="272" w:lineRule="auto"/>
        <w:rPr>
          <w:sz w:val="20"/>
          <w:szCs w:val="20"/>
          <w:color w:val="auto"/>
        </w:rPr>
      </w:pPr>
      <w:r>
        <w:rPr>
          <w:rFonts w:ascii="Times New Roman" w:cs="Times New Roman" w:eastAsia="Times New Roman" w:hAnsi="Times New Roman"/>
          <w:sz w:val="20"/>
          <w:szCs w:val="20"/>
          <w:color w:val="4C4C4E"/>
        </w:rPr>
        <w:t>Based on the information reviewed and the discussion thereof, the Board, including a majority of the Independent Directors, concluded that the investment advisory fee rates are reasonable in relation to the services to be provided.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Regulation as a Business Development Company</w:t>
      </w:r>
    </w:p>
    <w:p>
      <w:pPr>
        <w:spacing w:after="0" w:line="119" w:lineRule="exact"/>
        <w:rPr>
          <w:sz w:val="20"/>
          <w:szCs w:val="20"/>
          <w:color w:val="auto"/>
        </w:rPr>
      </w:pPr>
    </w:p>
    <w:p>
      <w:pPr>
        <w:ind w:right="100" w:firstLine="245"/>
        <w:spacing w:after="0" w:line="253" w:lineRule="auto"/>
        <w:rPr>
          <w:sz w:val="20"/>
          <w:szCs w:val="20"/>
          <w:color w:val="auto"/>
        </w:rPr>
      </w:pPr>
      <w:r>
        <w:rPr>
          <w:rFonts w:ascii="Times New Roman" w:cs="Times New Roman" w:eastAsia="Times New Roman" w:hAnsi="Times New Roman"/>
          <w:sz w:val="20"/>
          <w:szCs w:val="20"/>
          <w:color w:val="4C4C4E"/>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8" w:lineRule="exact"/>
        <w:rPr>
          <w:sz w:val="20"/>
          <w:szCs w:val="20"/>
          <w:color w:val="auto"/>
        </w:rPr>
      </w:pPr>
    </w:p>
    <w:p>
      <w:pPr>
        <w:ind w:right="60" w:firstLine="245"/>
        <w:spacing w:after="0" w:line="242" w:lineRule="auto"/>
        <w:rPr>
          <w:sz w:val="20"/>
          <w:szCs w:val="20"/>
          <w:color w:val="auto"/>
        </w:rPr>
      </w:pPr>
      <w:r>
        <w:rPr>
          <w:rFonts w:ascii="Times New Roman" w:cs="Times New Roman" w:eastAsia="Times New Roman" w:hAnsi="Times New Roman"/>
          <w:sz w:val="20"/>
          <w:szCs w:val="20"/>
          <w:color w:val="4C4C4E"/>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ectPr>
          <w:pgSz w:w="11880" w:h="15480" w:orient="portrait"/>
          <w:cols w:equalWidth="0" w:num="1">
            <w:col w:w="10640"/>
          </w:cols>
          <w:pgMar w:left="680" w:top="750" w:right="56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23</w:t>
      </w:r>
    </w:p>
    <w:p>
      <w:pPr>
        <w:sectPr>
          <w:pgSz w:w="11880" w:h="15480" w:orient="portrait"/>
          <w:cols w:equalWidth="0" w:num="1">
            <w:col w:w="10640"/>
          </w:cols>
          <w:pgMar w:left="680" w:top="750" w:right="560" w:bottom="0" w:gutter="0" w:footer="0" w:header="0"/>
          <w:type w:val="continuous"/>
        </w:sectPr>
      </w:pPr>
    </w:p>
    <w:bookmarkStart w:id="23" w:name="page24"/>
    <w:bookmarkEnd w:id="23"/>
    <w:p>
      <w:pPr>
        <w:ind w:firstLine="245"/>
        <w:spacing w:after="0" w:line="239" w:lineRule="auto"/>
        <w:rPr>
          <w:sz w:val="20"/>
          <w:szCs w:val="20"/>
          <w:color w:val="auto"/>
        </w:rPr>
      </w:pPr>
      <w:r>
        <w:rPr>
          <w:rFonts w:ascii="Times New Roman" w:cs="Times New Roman" w:eastAsia="Times New Roman" w:hAnsi="Times New Roman"/>
          <w:sz w:val="20"/>
          <w:szCs w:val="20"/>
          <w:color w:val="4C4C4E"/>
        </w:rPr>
        <w:t>As a BDC, we are permitted, under specified conditions, to issue multiple classes of indebtedness and one class of shares senior to our common stock if our asset coverage, as defined in the 1940 Act, is at least equal to 150% immediately after any borrowing or issuance. See “</w:t>
      </w:r>
      <w:r>
        <w:rPr>
          <w:rFonts w:ascii="Times New Roman" w:cs="Times New Roman" w:eastAsia="Times New Roman" w:hAnsi="Times New Roman"/>
          <w:sz w:val="20"/>
          <w:szCs w:val="20"/>
          <w:i w:val="1"/>
          <w:iCs w:val="1"/>
          <w:color w:val="4C4C4E"/>
        </w:rPr>
        <w:t>—Senior Securities</w:t>
      </w:r>
      <w:r>
        <w:rPr>
          <w:rFonts w:ascii="Times New Roman" w:cs="Times New Roman" w:eastAsia="Times New Roman" w:hAnsi="Times New Roman"/>
          <w:sz w:val="20"/>
          <w:szCs w:val="20"/>
          <w:color w:val="4C4C4E"/>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20"/>
          <w:szCs w:val="20"/>
          <w:i w:val="1"/>
          <w:iCs w:val="1"/>
          <w:color w:val="4C4C4E"/>
        </w:rPr>
        <w:t>ITEM 1A. RISK FACTORS—Risks Related to Our Business and Structure—We borrow money, which magnifies</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the potential for gain or loss and increases the risk of investing in us</w:t>
      </w:r>
      <w:r>
        <w:rPr>
          <w:rFonts w:ascii="Times New Roman" w:cs="Times New Roman" w:eastAsia="Times New Roman" w:hAnsi="Times New Roman"/>
          <w:sz w:val="20"/>
          <w:szCs w:val="20"/>
          <w:color w:val="4C4C4E"/>
        </w:rPr>
        <w:t>.” As of December 31, 2025 and December 31, 2024, our asset</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coverage was 191.5% and 182.5% respectively.</w:t>
      </w:r>
    </w:p>
    <w:p>
      <w:pPr>
        <w:spacing w:after="0" w:line="206" w:lineRule="exact"/>
        <w:rPr>
          <w:sz w:val="20"/>
          <w:szCs w:val="20"/>
          <w:color w:val="auto"/>
        </w:rPr>
      </w:pPr>
    </w:p>
    <w:p>
      <w:pPr>
        <w:ind w:right="100" w:firstLine="245"/>
        <w:spacing w:after="0" w:line="244" w:lineRule="auto"/>
        <w:rPr>
          <w:sz w:val="20"/>
          <w:szCs w:val="20"/>
          <w:color w:val="auto"/>
        </w:rPr>
      </w:pPr>
      <w:r>
        <w:rPr>
          <w:rFonts w:ascii="Times New Roman" w:cs="Times New Roman" w:eastAsia="Times New Roman" w:hAnsi="Times New Roman"/>
          <w:sz w:val="20"/>
          <w:szCs w:val="20"/>
          <w:color w:val="4C4C4E"/>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We do not anticipate any substantial change in the nature of our business.</w:t>
      </w:r>
    </w:p>
    <w:p>
      <w:pPr>
        <w:spacing w:after="0" w:line="235" w:lineRule="exact"/>
        <w:rPr>
          <w:sz w:val="20"/>
          <w:szCs w:val="20"/>
          <w:color w:val="auto"/>
        </w:rPr>
      </w:pPr>
    </w:p>
    <w:p>
      <w:pPr>
        <w:ind w:right="20" w:firstLine="245"/>
        <w:spacing w:after="0" w:line="241" w:lineRule="auto"/>
        <w:rPr>
          <w:sz w:val="20"/>
          <w:szCs w:val="20"/>
          <w:color w:val="auto"/>
        </w:rPr>
      </w:pPr>
      <w:r>
        <w:rPr>
          <w:rFonts w:ascii="Times New Roman" w:cs="Times New Roman" w:eastAsia="Times New Roman" w:hAnsi="Times New Roman"/>
          <w:sz w:val="20"/>
          <w:szCs w:val="20"/>
          <w:color w:val="4C4C4E"/>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w:t>
      </w:r>
      <w:r>
        <w:rPr>
          <w:rFonts w:ascii="Times New Roman" w:cs="Times New Roman" w:eastAsia="Times New Roman" w:hAnsi="Times New Roman"/>
          <w:sz w:val="20"/>
          <w:szCs w:val="20"/>
          <w:i w:val="1"/>
          <w:iCs w:val="1"/>
          <w:color w:val="4C4C4E"/>
        </w:rPr>
        <w:t>—Regulated Investment Company Classification</w:t>
      </w:r>
      <w:r>
        <w:rPr>
          <w:rFonts w:ascii="Times New Roman" w:cs="Times New Roman" w:eastAsia="Times New Roman" w:hAnsi="Times New Roman"/>
          <w:sz w:val="20"/>
          <w:szCs w:val="20"/>
          <w:color w:val="4C4C4E"/>
        </w:rPr>
        <w:t>” for more information.</w:t>
      </w:r>
    </w:p>
    <w:p>
      <w:pPr>
        <w:spacing w:after="0" w:line="200" w:lineRule="exact"/>
        <w:rPr>
          <w:sz w:val="20"/>
          <w:szCs w:val="20"/>
          <w:color w:val="auto"/>
        </w:rPr>
      </w:pPr>
    </w:p>
    <w:p>
      <w:pPr>
        <w:ind w:right="100" w:firstLine="245"/>
        <w:spacing w:after="0" w:line="244" w:lineRule="auto"/>
        <w:rPr>
          <w:sz w:val="20"/>
          <w:szCs w:val="20"/>
          <w:color w:val="auto"/>
        </w:rPr>
      </w:pPr>
      <w:r>
        <w:rPr>
          <w:rFonts w:ascii="Times New Roman" w:cs="Times New Roman" w:eastAsia="Times New Roman" w:hAnsi="Times New Roman"/>
          <w:sz w:val="20"/>
          <w:szCs w:val="20"/>
          <w:color w:val="4C4C4E"/>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201" w:lineRule="exact"/>
        <w:rPr>
          <w:sz w:val="20"/>
          <w:szCs w:val="20"/>
          <w:color w:val="auto"/>
        </w:rPr>
      </w:pPr>
    </w:p>
    <w:p>
      <w:pPr>
        <w:ind w:right="100" w:firstLine="245"/>
        <w:spacing w:after="0" w:line="243" w:lineRule="auto"/>
        <w:rPr>
          <w:sz w:val="20"/>
          <w:szCs w:val="20"/>
          <w:color w:val="auto"/>
        </w:rPr>
      </w:pPr>
      <w:r>
        <w:rPr>
          <w:rFonts w:ascii="Times New Roman" w:cs="Times New Roman" w:eastAsia="Times New Roman" w:hAnsi="Times New Roman"/>
          <w:sz w:val="20"/>
          <w:szCs w:val="20"/>
          <w:color w:val="4C4C4E"/>
        </w:rPr>
        <w:t>We are generally not able to issue and sell our common stock at a price below net asset value per share. See “</w:t>
      </w:r>
      <w:r>
        <w:rPr>
          <w:rFonts w:ascii="Times New Roman" w:cs="Times New Roman" w:eastAsia="Times New Roman" w:hAnsi="Times New Roman"/>
          <w:sz w:val="20"/>
          <w:szCs w:val="20"/>
          <w:i w:val="1"/>
          <w:iCs w:val="1"/>
          <w:color w:val="4C4C4E"/>
        </w:rPr>
        <w:t>ITEM 1A. RISK</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FACTORS—Risks Related to Our Business and Structure—Regulations governing our operation as a BDC affect our ability to, and the way in which we, raise additional capital.</w:t>
      </w:r>
      <w:r>
        <w:rPr>
          <w:rFonts w:ascii="Times New Roman" w:cs="Times New Roman" w:eastAsia="Times New Roman" w:hAnsi="Times New Roman"/>
          <w:sz w:val="20"/>
          <w:szCs w:val="20"/>
          <w:color w:val="4C4C4E"/>
        </w:rPr>
        <w:t>” We may, however, elect to issue and sell our common stock, or warrants, options or</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June 20, 2025, we are currently permitted to sell or otherwise issue shares of our common stock at a price below our then-current net asset value per share, subject to the approval of our Board and certain other conditions. Such stockholder approval expires on June 20, 2026.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We are subject to periodic examination by the SEC for compliance with the 1940 Act.</w:t>
      </w: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Compliance with regulations has not had a material effect on our capital expenditure, earnings or competitive position.</w:t>
      </w:r>
    </w:p>
    <w:p>
      <w:pPr>
        <w:spacing w:after="0" w:line="240" w:lineRule="exact"/>
        <w:rPr>
          <w:sz w:val="20"/>
          <w:szCs w:val="20"/>
          <w:color w:val="auto"/>
        </w:rPr>
      </w:pPr>
    </w:p>
    <w:p>
      <w:pPr>
        <w:ind w:right="80" w:firstLine="245"/>
        <w:spacing w:after="0" w:line="277" w:lineRule="auto"/>
        <w:rPr>
          <w:sz w:val="20"/>
          <w:szCs w:val="20"/>
          <w:color w:val="auto"/>
        </w:rPr>
      </w:pPr>
      <w:r>
        <w:rPr>
          <w:rFonts w:ascii="Times New Roman" w:cs="Times New Roman" w:eastAsia="Times New Roman" w:hAnsi="Times New Roman"/>
          <w:sz w:val="20"/>
          <w:szCs w:val="20"/>
          <w:color w:val="4C4C4E"/>
        </w:rPr>
        <w:t>As a BDC, we are subject to certain risks and uncertainties. See “</w:t>
      </w:r>
      <w:r>
        <w:rPr>
          <w:rFonts w:ascii="Times New Roman" w:cs="Times New Roman" w:eastAsia="Times New Roman" w:hAnsi="Times New Roman"/>
          <w:sz w:val="20"/>
          <w:szCs w:val="20"/>
          <w:i w:val="1"/>
          <w:iCs w:val="1"/>
          <w:color w:val="4C4C4E"/>
        </w:rPr>
        <w:t>ITEM 1A. RISK FACTORS—Risks Related to Our Business and</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Structure.</w:t>
      </w:r>
      <w:r>
        <w:rPr>
          <w:rFonts w:ascii="Times New Roman" w:cs="Times New Roman" w:eastAsia="Times New Roman" w:hAnsi="Times New Roman"/>
          <w:sz w:val="20"/>
          <w:szCs w:val="20"/>
          <w:color w:val="4C4C4E"/>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Transactions with our Affiliates</w:t>
      </w:r>
    </w:p>
    <w:p>
      <w:pPr>
        <w:spacing w:after="0" w:line="118"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4C4C4E"/>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ectPr>
          <w:pgSz w:w="11880" w:h="15480" w:orient="portrait"/>
          <w:cols w:equalWidth="0" w:num="1">
            <w:col w:w="10660"/>
          </w:cols>
          <w:pgMar w:left="680" w:top="746" w:right="540" w:bottom="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24</w:t>
      </w:r>
    </w:p>
    <w:p>
      <w:pPr>
        <w:sectPr>
          <w:pgSz w:w="11880" w:h="15480" w:orient="portrait"/>
          <w:cols w:equalWidth="0" w:num="1">
            <w:col w:w="10660"/>
          </w:cols>
          <w:pgMar w:left="680" w:top="746" w:right="540" w:bottom="0" w:gutter="0" w:footer="0" w:header="0"/>
          <w:type w:val="continuous"/>
        </w:sectPr>
      </w:pPr>
    </w:p>
    <w:bookmarkStart w:id="24" w:name="page25"/>
    <w:bookmarkEnd w:id="24"/>
    <w:p>
      <w:pPr>
        <w:ind w:right="20" w:firstLine="245"/>
        <w:spacing w:after="0" w:line="258" w:lineRule="auto"/>
        <w:rPr>
          <w:sz w:val="20"/>
          <w:szCs w:val="20"/>
          <w:color w:val="auto"/>
        </w:rPr>
      </w:pPr>
      <w:r>
        <w:rPr>
          <w:rFonts w:ascii="Times New Roman" w:cs="Times New Roman" w:eastAsia="Times New Roman" w:hAnsi="Times New Roman"/>
          <w:sz w:val="20"/>
          <w:szCs w:val="20"/>
          <w:color w:val="4C4C4E"/>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88"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4C4C4E"/>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Qualifying Assets</w:t>
      </w:r>
    </w:p>
    <w:p>
      <w:pPr>
        <w:spacing w:after="0" w:line="108"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20"/>
          <w:szCs w:val="20"/>
          <w:color w:val="4C4C4E"/>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2" w:lineRule="exact"/>
        <w:rPr>
          <w:sz w:val="20"/>
          <w:szCs w:val="20"/>
          <w:color w:val="auto"/>
        </w:rPr>
      </w:pPr>
    </w:p>
    <w:p>
      <w:pPr>
        <w:ind w:left="500" w:right="40" w:hanging="251"/>
        <w:spacing w:after="0" w:line="242" w:lineRule="auto"/>
        <w:tabs>
          <w:tab w:leader="none" w:pos="500" w:val="left"/>
        </w:tabs>
        <w:numPr>
          <w:ilvl w:val="0"/>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7" w:lineRule="exact"/>
        <w:rPr>
          <w:rFonts w:ascii="Arial" w:cs="Arial" w:eastAsia="Arial" w:hAnsi="Arial"/>
          <w:sz w:val="20"/>
          <w:szCs w:val="20"/>
          <w:color w:val="4C4C4E"/>
        </w:rPr>
      </w:pPr>
    </w:p>
    <w:p>
      <w:pPr>
        <w:ind w:left="740" w:hanging="246"/>
        <w:spacing w:after="0"/>
        <w:tabs>
          <w:tab w:leader="none" w:pos="740" w:val="left"/>
        </w:tabs>
        <w:numPr>
          <w:ilvl w:val="1"/>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is organized under the laws of, and has its principal place of business in, the United States;</w:t>
      </w:r>
    </w:p>
    <w:p>
      <w:pPr>
        <w:spacing w:after="0" w:line="123" w:lineRule="exact"/>
        <w:rPr>
          <w:rFonts w:ascii="Arial" w:cs="Arial" w:eastAsia="Arial" w:hAnsi="Arial"/>
          <w:sz w:val="20"/>
          <w:szCs w:val="20"/>
          <w:color w:val="4C4C4E"/>
        </w:rPr>
      </w:pPr>
    </w:p>
    <w:p>
      <w:pPr>
        <w:ind w:left="740" w:right="320" w:hanging="246"/>
        <w:spacing w:after="0" w:line="267" w:lineRule="auto"/>
        <w:tabs>
          <w:tab w:leader="none" w:pos="740" w:val="left"/>
        </w:tabs>
        <w:numPr>
          <w:ilvl w:val="1"/>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is not an investment company (other than a small business investment company wholly owned by us) or a company that would be an investment company but for certain exclusions under the 1940 Act; and</w:t>
      </w:r>
    </w:p>
    <w:p>
      <w:pPr>
        <w:spacing w:after="0" w:line="62" w:lineRule="exact"/>
        <w:rPr>
          <w:rFonts w:ascii="Arial" w:cs="Arial" w:eastAsia="Arial" w:hAnsi="Arial"/>
          <w:sz w:val="20"/>
          <w:szCs w:val="20"/>
          <w:color w:val="4C4C4E"/>
        </w:rPr>
      </w:pPr>
    </w:p>
    <w:p>
      <w:pPr>
        <w:ind w:left="740" w:hanging="246"/>
        <w:spacing w:after="0"/>
        <w:tabs>
          <w:tab w:leader="none" w:pos="740" w:val="left"/>
        </w:tabs>
        <w:numPr>
          <w:ilvl w:val="1"/>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satisfies any of the following:</w:t>
      </w:r>
    </w:p>
    <w:p>
      <w:pPr>
        <w:spacing w:after="0" w:line="123" w:lineRule="exact"/>
        <w:rPr>
          <w:rFonts w:ascii="Arial" w:cs="Arial" w:eastAsia="Arial" w:hAnsi="Arial"/>
          <w:sz w:val="20"/>
          <w:szCs w:val="20"/>
          <w:color w:val="4C4C4E"/>
        </w:rPr>
      </w:pPr>
    </w:p>
    <w:p>
      <w:pPr>
        <w:ind w:left="1220" w:right="560" w:hanging="237"/>
        <w:spacing w:after="0" w:line="267" w:lineRule="auto"/>
        <w:tabs>
          <w:tab w:leader="none" w:pos="1220" w:val="left"/>
        </w:tabs>
        <w:numPr>
          <w:ilvl w:val="2"/>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has an equity market capitalization of less than $250 million or does not have any class of securities listed on a national securities exchange;</w:t>
      </w:r>
    </w:p>
    <w:p>
      <w:pPr>
        <w:spacing w:after="0" w:line="62" w:lineRule="exact"/>
        <w:rPr>
          <w:rFonts w:ascii="Arial" w:cs="Arial" w:eastAsia="Arial" w:hAnsi="Arial"/>
          <w:sz w:val="20"/>
          <w:szCs w:val="20"/>
          <w:color w:val="4C4C4E"/>
        </w:rPr>
      </w:pPr>
    </w:p>
    <w:p>
      <w:pPr>
        <w:jc w:val="both"/>
        <w:ind w:left="1220" w:right="60" w:hanging="237"/>
        <w:spacing w:after="0" w:line="248" w:lineRule="auto"/>
        <w:tabs>
          <w:tab w:leader="none" w:pos="1220" w:val="left"/>
        </w:tabs>
        <w:numPr>
          <w:ilvl w:val="2"/>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1" w:lineRule="exact"/>
        <w:rPr>
          <w:rFonts w:ascii="Arial" w:cs="Arial" w:eastAsia="Arial" w:hAnsi="Arial"/>
          <w:sz w:val="20"/>
          <w:szCs w:val="20"/>
          <w:color w:val="4C4C4E"/>
        </w:rPr>
      </w:pPr>
    </w:p>
    <w:p>
      <w:pPr>
        <w:ind w:left="1220" w:hanging="237"/>
        <w:spacing w:after="0" w:line="267" w:lineRule="auto"/>
        <w:tabs>
          <w:tab w:leader="none" w:pos="1220" w:val="left"/>
        </w:tabs>
        <w:numPr>
          <w:ilvl w:val="2"/>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is a small and solvent company having total assets of not more than $4 million and capital and surplus of not less than $2 million.</w:t>
      </w:r>
    </w:p>
    <w:p>
      <w:pPr>
        <w:spacing w:after="0" w:line="62" w:lineRule="exact"/>
        <w:rPr>
          <w:rFonts w:ascii="Arial" w:cs="Arial" w:eastAsia="Arial" w:hAnsi="Arial"/>
          <w:sz w:val="20"/>
          <w:szCs w:val="20"/>
          <w:color w:val="4C4C4E"/>
        </w:rPr>
      </w:pPr>
    </w:p>
    <w:p>
      <w:pPr>
        <w:ind w:left="500" w:hanging="251"/>
        <w:spacing w:after="0"/>
        <w:tabs>
          <w:tab w:leader="none" w:pos="500" w:val="left"/>
        </w:tabs>
        <w:numPr>
          <w:ilvl w:val="0"/>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Securities of any eligible portfolio company that we control;</w:t>
      </w:r>
    </w:p>
    <w:p>
      <w:pPr>
        <w:spacing w:after="0" w:line="123" w:lineRule="exact"/>
        <w:rPr>
          <w:rFonts w:ascii="Arial" w:cs="Arial" w:eastAsia="Arial" w:hAnsi="Arial"/>
          <w:sz w:val="20"/>
          <w:szCs w:val="20"/>
          <w:color w:val="4C4C4E"/>
        </w:rPr>
      </w:pPr>
    </w:p>
    <w:p>
      <w:pPr>
        <w:ind w:left="500" w:right="100" w:hanging="251"/>
        <w:spacing w:after="0" w:line="242" w:lineRule="auto"/>
        <w:tabs>
          <w:tab w:leader="none" w:pos="500" w:val="left"/>
        </w:tabs>
        <w:numPr>
          <w:ilvl w:val="0"/>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7" w:lineRule="exact"/>
        <w:rPr>
          <w:rFonts w:ascii="Arial" w:cs="Arial" w:eastAsia="Arial" w:hAnsi="Arial"/>
          <w:sz w:val="20"/>
          <w:szCs w:val="20"/>
          <w:color w:val="4C4C4E"/>
        </w:rPr>
      </w:pPr>
    </w:p>
    <w:p>
      <w:pPr>
        <w:ind w:left="500" w:right="200" w:hanging="251"/>
        <w:spacing w:after="0" w:line="267" w:lineRule="auto"/>
        <w:tabs>
          <w:tab w:leader="none" w:pos="500" w:val="left"/>
        </w:tabs>
        <w:numPr>
          <w:ilvl w:val="0"/>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20"/>
          <w:szCs w:val="20"/>
          <w:color w:val="4C4C4E"/>
        </w:rPr>
      </w:pPr>
    </w:p>
    <w:p>
      <w:pPr>
        <w:ind w:left="500" w:right="180" w:hanging="251"/>
        <w:spacing w:after="0" w:line="267" w:lineRule="auto"/>
        <w:tabs>
          <w:tab w:leader="none" w:pos="500" w:val="left"/>
        </w:tabs>
        <w:numPr>
          <w:ilvl w:val="0"/>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20"/>
          <w:szCs w:val="20"/>
          <w:color w:val="4C4C4E"/>
        </w:rPr>
      </w:pPr>
    </w:p>
    <w:p>
      <w:pPr>
        <w:ind w:left="500" w:right="180" w:hanging="251"/>
        <w:spacing w:after="0" w:line="267" w:lineRule="auto"/>
        <w:tabs>
          <w:tab w:leader="none" w:pos="500" w:val="left"/>
        </w:tabs>
        <w:numPr>
          <w:ilvl w:val="0"/>
          <w:numId w:val="33"/>
        </w:numPr>
        <w:rPr>
          <w:rFonts w:ascii="Arial" w:cs="Arial" w:eastAsia="Arial" w:hAnsi="Arial"/>
          <w:sz w:val="20"/>
          <w:szCs w:val="20"/>
          <w:color w:val="4C4C4E"/>
        </w:rPr>
      </w:pPr>
      <w:r>
        <w:rPr>
          <w:rFonts w:ascii="Times New Roman" w:cs="Times New Roman" w:eastAsia="Times New Roman" w:hAnsi="Times New Roman"/>
          <w:sz w:val="20"/>
          <w:szCs w:val="20"/>
          <w:color w:val="4C4C4E"/>
        </w:rPr>
        <w:t>Cash, cash equivalents, U.S. Government securities or high-quality debt securities maturing in one year or less from the time of investment.</w:t>
      </w:r>
    </w:p>
    <w:p>
      <w:pPr>
        <w:spacing w:after="0" w:line="169" w:lineRule="exact"/>
        <w:rPr>
          <w:sz w:val="20"/>
          <w:szCs w:val="20"/>
          <w:color w:val="auto"/>
        </w:rPr>
      </w:pPr>
    </w:p>
    <w:p>
      <w:pPr>
        <w:ind w:right="380" w:firstLine="245"/>
        <w:spacing w:after="0" w:line="248" w:lineRule="auto"/>
        <w:rPr>
          <w:sz w:val="20"/>
          <w:szCs w:val="20"/>
          <w:color w:val="auto"/>
        </w:rPr>
      </w:pPr>
      <w:r>
        <w:rPr>
          <w:rFonts w:ascii="Times New Roman" w:cs="Times New Roman" w:eastAsia="Times New Roman" w:hAnsi="Times New Roman"/>
          <w:sz w:val="20"/>
          <w:szCs w:val="20"/>
          <w:color w:val="4C4C4E"/>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Managerial Assistance to Portfolio Companies</w:t>
      </w:r>
    </w:p>
    <w:p>
      <w:pPr>
        <w:spacing w:after="0" w:line="228" w:lineRule="exact"/>
        <w:rPr>
          <w:sz w:val="20"/>
          <w:szCs w:val="20"/>
          <w:color w:val="auto"/>
        </w:rPr>
      </w:pPr>
    </w:p>
    <w:p>
      <w:pPr>
        <w:ind w:right="180" w:firstLine="295"/>
        <w:spacing w:after="0" w:line="252" w:lineRule="auto"/>
        <w:rPr>
          <w:sz w:val="20"/>
          <w:szCs w:val="20"/>
          <w:color w:val="auto"/>
        </w:rPr>
      </w:pPr>
      <w:r>
        <w:rPr>
          <w:rFonts w:ascii="Times New Roman" w:cs="Times New Roman" w:eastAsia="Times New Roman" w:hAnsi="Times New Roman"/>
          <w:sz w:val="19"/>
          <w:szCs w:val="19"/>
          <w:color w:val="4C4C4E"/>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w:t>
      </w:r>
    </w:p>
    <w:p>
      <w:pPr>
        <w:sectPr>
          <w:pgSz w:w="11880" w:h="15480" w:orient="portrait"/>
          <w:cols w:equalWidth="0" w:num="1">
            <w:col w:w="10660"/>
          </w:cols>
          <w:pgMar w:left="680" w:top="750" w:right="540"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25</w:t>
      </w:r>
    </w:p>
    <w:p>
      <w:pPr>
        <w:sectPr>
          <w:pgSz w:w="11880" w:h="15480" w:orient="portrait"/>
          <w:cols w:equalWidth="0" w:num="1">
            <w:col w:w="10660"/>
          </w:cols>
          <w:pgMar w:left="680" w:top="750" w:right="540" w:bottom="0" w:gutter="0" w:footer="0" w:header="0"/>
          <w:type w:val="continuous"/>
        </w:sectPr>
      </w:pPr>
    </w:p>
    <w:bookmarkStart w:id="25" w:name="page26"/>
    <w:bookmarkEnd w:id="25"/>
    <w:p>
      <w:pPr>
        <w:ind w:right="660"/>
        <w:spacing w:after="0" w:line="267" w:lineRule="auto"/>
        <w:rPr>
          <w:sz w:val="20"/>
          <w:szCs w:val="20"/>
          <w:color w:val="auto"/>
        </w:rPr>
      </w:pPr>
      <w:r>
        <w:rPr>
          <w:rFonts w:ascii="Times New Roman" w:cs="Times New Roman" w:eastAsia="Times New Roman" w:hAnsi="Times New Roman"/>
          <w:sz w:val="20"/>
          <w:szCs w:val="20"/>
          <w:color w:val="4C4C4E"/>
        </w:rPr>
        <w:t>its directors, officers or employees, offers to provide, and, if accepted, does in fact provide, significant guidance and counsel concerning the management, operations or business objectives and policies of a portfolio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Senior Securities</w:t>
      </w:r>
    </w:p>
    <w:p>
      <w:pPr>
        <w:spacing w:after="0" w:line="228" w:lineRule="exact"/>
        <w:rPr>
          <w:sz w:val="20"/>
          <w:szCs w:val="20"/>
          <w:color w:val="auto"/>
        </w:rPr>
      </w:pPr>
    </w:p>
    <w:p>
      <w:pPr>
        <w:ind w:right="240" w:firstLine="245"/>
        <w:spacing w:after="0" w:line="248" w:lineRule="auto"/>
        <w:rPr>
          <w:sz w:val="20"/>
          <w:szCs w:val="20"/>
          <w:color w:val="auto"/>
        </w:rPr>
      </w:pPr>
      <w:r>
        <w:rPr>
          <w:rFonts w:ascii="Times New Roman" w:cs="Times New Roman" w:eastAsia="Times New Roman" w:hAnsi="Times New Roman"/>
          <w:sz w:val="20"/>
          <w:szCs w:val="20"/>
          <w:color w:val="4C4C4E"/>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150%.</w:t>
      </w:r>
    </w:p>
    <w:p>
      <w:pPr>
        <w:spacing w:after="0" w:line="196" w:lineRule="exact"/>
        <w:rPr>
          <w:sz w:val="20"/>
          <w:szCs w:val="20"/>
          <w:color w:val="auto"/>
        </w:rPr>
      </w:pPr>
    </w:p>
    <w:p>
      <w:pPr>
        <w:ind w:right="260" w:firstLine="245"/>
        <w:spacing w:after="0" w:line="247" w:lineRule="auto"/>
        <w:rPr>
          <w:sz w:val="20"/>
          <w:szCs w:val="20"/>
          <w:color w:val="auto"/>
        </w:rPr>
      </w:pPr>
      <w:r>
        <w:rPr>
          <w:rFonts w:ascii="Times New Roman" w:cs="Times New Roman" w:eastAsia="Times New Roman" w:hAnsi="Times New Roman"/>
          <w:sz w:val="20"/>
          <w:szCs w:val="20"/>
          <w:color w:val="4C4C4E"/>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200" w:lineRule="exact"/>
        <w:rPr>
          <w:sz w:val="20"/>
          <w:szCs w:val="20"/>
          <w:color w:val="auto"/>
        </w:rPr>
      </w:pPr>
    </w:p>
    <w:p>
      <w:pPr>
        <w:ind w:right="340" w:firstLine="245"/>
        <w:spacing w:after="0" w:line="277" w:lineRule="auto"/>
        <w:rPr>
          <w:sz w:val="20"/>
          <w:szCs w:val="20"/>
          <w:color w:val="auto"/>
        </w:rPr>
      </w:pPr>
      <w:r>
        <w:rPr>
          <w:rFonts w:ascii="Times New Roman" w:cs="Times New Roman" w:eastAsia="Times New Roman" w:hAnsi="Times New Roman"/>
          <w:sz w:val="20"/>
          <w:szCs w:val="20"/>
          <w:color w:val="4C4C4E"/>
        </w:rPr>
        <w:t>The 1940 Act imposes limitations on a BDC’s issuance of preferred stock, which is considered a “senior security” and thus is subject to the 150% asset coverage requirement described above.</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As of December 31, 2025 and December 31, 2024, our asset coverage was 191.5% and 182.5% respectively.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Code of Ethics</w:t>
      </w:r>
    </w:p>
    <w:p>
      <w:pPr>
        <w:spacing w:after="0" w:line="118"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20"/>
          <w:szCs w:val="20"/>
          <w:color w:val="4C4C4E"/>
        </w:rPr>
        <w:t>As required by the Advisers Act and the 1940 Act, we and the Adviser have adopted codes of ethics which apply to, among others, our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Compliance Policies and Procedures</w:t>
      </w:r>
    </w:p>
    <w:p>
      <w:pPr>
        <w:spacing w:after="0" w:line="118" w:lineRule="exact"/>
        <w:rPr>
          <w:sz w:val="20"/>
          <w:szCs w:val="20"/>
          <w:color w:val="auto"/>
        </w:rPr>
      </w:pPr>
    </w:p>
    <w:p>
      <w:pPr>
        <w:ind w:right="260" w:firstLine="245"/>
        <w:spacing w:after="0" w:line="252" w:lineRule="auto"/>
        <w:rPr>
          <w:sz w:val="20"/>
          <w:szCs w:val="20"/>
          <w:color w:val="auto"/>
        </w:rPr>
      </w:pPr>
      <w:r>
        <w:rPr>
          <w:rFonts w:ascii="Times New Roman" w:cs="Times New Roman" w:eastAsia="Times New Roman" w:hAnsi="Times New Roman"/>
          <w:sz w:val="20"/>
          <w:szCs w:val="20"/>
          <w:color w:val="4C4C4E"/>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Proxy Voting Policies and Procedures</w:t>
      </w:r>
    </w:p>
    <w:p>
      <w:pPr>
        <w:spacing w:after="0" w:line="118"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88" w:lineRule="exact"/>
        <w:rPr>
          <w:sz w:val="20"/>
          <w:szCs w:val="20"/>
          <w:color w:val="auto"/>
        </w:rPr>
      </w:pPr>
    </w:p>
    <w:p>
      <w:pPr>
        <w:ind w:right="200" w:firstLine="245"/>
        <w:spacing w:after="0" w:line="252" w:lineRule="auto"/>
        <w:rPr>
          <w:sz w:val="20"/>
          <w:szCs w:val="20"/>
          <w:color w:val="auto"/>
        </w:rPr>
      </w:pPr>
      <w:r>
        <w:rPr>
          <w:rFonts w:ascii="Times New Roman" w:cs="Times New Roman" w:eastAsia="Times New Roman" w:hAnsi="Times New Roman"/>
          <w:sz w:val="20"/>
          <w:szCs w:val="20"/>
          <w:color w:val="4C4C4E"/>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94"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4C4C4E"/>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w:t>
      </w:r>
    </w:p>
    <w:p>
      <w:pPr>
        <w:sectPr>
          <w:pgSz w:w="11880" w:h="15480" w:orient="portrait"/>
          <w:cols w:equalWidth="0" w:num="1">
            <w:col w:w="10620"/>
          </w:cols>
          <w:pgMar w:left="680" w:top="742" w:right="580" w:bottom="0" w:gutter="0" w:footer="0" w:header="0"/>
        </w:sect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C4C4E"/>
        </w:rPr>
        <w:t>26</w:t>
      </w:r>
    </w:p>
    <w:p>
      <w:pPr>
        <w:sectPr>
          <w:pgSz w:w="11880" w:h="15480" w:orient="portrait"/>
          <w:cols w:equalWidth="0" w:num="1">
            <w:col w:w="10620"/>
          </w:cols>
          <w:pgMar w:left="680" w:top="742" w:right="580" w:bottom="0" w:gutter="0" w:footer="0" w:header="0"/>
          <w:type w:val="continuous"/>
        </w:sectPr>
      </w:pPr>
    </w:p>
    <w:bookmarkStart w:id="26" w:name="page27"/>
    <w:bookmarkEnd w:id="26"/>
    <w:p>
      <w:pPr>
        <w:ind w:right="500"/>
        <w:spacing w:after="0" w:line="277" w:lineRule="auto"/>
        <w:rPr>
          <w:sz w:val="20"/>
          <w:szCs w:val="20"/>
          <w:color w:val="auto"/>
        </w:rPr>
      </w:pPr>
      <w:r>
        <w:rPr>
          <w:rFonts w:ascii="Times New Roman" w:cs="Times New Roman" w:eastAsia="Times New Roman" w:hAnsi="Times New Roman"/>
          <w:sz w:val="20"/>
          <w:szCs w:val="20"/>
          <w:color w:val="4C4C4E"/>
        </w:rPr>
        <w:t>stockholders or if the circumstances make such an abstention or withholding otherwise advisable and in the best interest of the relevant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Privacy Principles</w:t>
      </w:r>
    </w:p>
    <w:p>
      <w:pPr>
        <w:spacing w:after="0" w:line="118"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4C4C4E"/>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8"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4C4C4E"/>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202" w:lineRule="exact"/>
        <w:rPr>
          <w:sz w:val="20"/>
          <w:szCs w:val="20"/>
          <w:color w:val="auto"/>
        </w:rPr>
      </w:pPr>
    </w:p>
    <w:p>
      <w:pPr>
        <w:ind w:right="140" w:firstLine="245"/>
        <w:spacing w:after="0" w:line="249" w:lineRule="auto"/>
        <w:rPr>
          <w:sz w:val="20"/>
          <w:szCs w:val="20"/>
          <w:color w:val="auto"/>
        </w:rPr>
      </w:pPr>
      <w:r>
        <w:rPr>
          <w:rFonts w:ascii="Times New Roman" w:cs="Times New Roman" w:eastAsia="Times New Roman" w:hAnsi="Times New Roman"/>
          <w:sz w:val="20"/>
          <w:szCs w:val="20"/>
          <w:color w:val="4C4C4E"/>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Reporting Obligations</w:t>
      </w:r>
    </w:p>
    <w:p>
      <w:pPr>
        <w:spacing w:after="0" w:line="118" w:lineRule="exact"/>
        <w:rPr>
          <w:sz w:val="20"/>
          <w:szCs w:val="20"/>
          <w:color w:val="auto"/>
        </w:rPr>
      </w:pPr>
    </w:p>
    <w:p>
      <w:pPr>
        <w:ind w:right="280" w:firstLine="245"/>
        <w:spacing w:after="0" w:line="258" w:lineRule="auto"/>
        <w:rPr>
          <w:sz w:val="20"/>
          <w:szCs w:val="20"/>
          <w:color w:val="auto"/>
        </w:rPr>
      </w:pPr>
      <w:r>
        <w:rPr>
          <w:rFonts w:ascii="Times New Roman" w:cs="Times New Roman" w:eastAsia="Times New Roman" w:hAnsi="Times New Roman"/>
          <w:sz w:val="20"/>
          <w:szCs w:val="20"/>
          <w:color w:val="4C4C4E"/>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8"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4C4C4E"/>
        </w:rPr>
        <w:t>We make available on our website (www.sixthstreetspecialtylending.com) our proxy statements, our annual reports on Form 10-K, quarterly reports on Form 10-Q and our current reports on Form 8-K that we file with the SEC. Information contained on our website is not incorporated into this Annual Report and you should not consider such information to be part of this Annual Report.</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SEC also maintains a website (www.sec.gov) that contains this information.</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Regulated Investment Company Classification</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As a BDC, we have elected to be treated as a RIC for U.S. federal income tax purposes.</w:t>
      </w: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To maintain our status as a RIC, we must, among other things:</w:t>
      </w:r>
    </w:p>
    <w:p>
      <w:pPr>
        <w:spacing w:after="0" w:line="134" w:lineRule="exact"/>
        <w:rPr>
          <w:sz w:val="20"/>
          <w:szCs w:val="20"/>
          <w:color w:val="auto"/>
        </w:rPr>
      </w:pPr>
    </w:p>
    <w:p>
      <w:pPr>
        <w:ind w:left="500" w:hanging="251"/>
        <w:spacing w:after="0"/>
        <w:tabs>
          <w:tab w:leader="none" w:pos="500" w:val="left"/>
        </w:tabs>
        <w:numPr>
          <w:ilvl w:val="0"/>
          <w:numId w:val="34"/>
        </w:numPr>
        <w:rPr>
          <w:rFonts w:ascii="Arial" w:cs="Arial" w:eastAsia="Arial" w:hAnsi="Arial"/>
          <w:sz w:val="20"/>
          <w:szCs w:val="20"/>
          <w:color w:val="4C4C4E"/>
        </w:rPr>
      </w:pPr>
      <w:r>
        <w:rPr>
          <w:rFonts w:ascii="Times New Roman" w:cs="Times New Roman" w:eastAsia="Times New Roman" w:hAnsi="Times New Roman"/>
          <w:sz w:val="20"/>
          <w:szCs w:val="20"/>
          <w:color w:val="4C4C4E"/>
        </w:rPr>
        <w:t>maintain our election under the 1940 Act to be treated as a BDC;</w:t>
      </w:r>
    </w:p>
    <w:p>
      <w:pPr>
        <w:spacing w:after="0" w:line="133" w:lineRule="exact"/>
        <w:rPr>
          <w:rFonts w:ascii="Arial" w:cs="Arial" w:eastAsia="Arial" w:hAnsi="Arial"/>
          <w:sz w:val="20"/>
          <w:szCs w:val="20"/>
          <w:color w:val="4C4C4E"/>
        </w:rPr>
      </w:pPr>
    </w:p>
    <w:p>
      <w:pPr>
        <w:ind w:left="500" w:right="140" w:hanging="251"/>
        <w:spacing w:after="0" w:line="276" w:lineRule="auto"/>
        <w:tabs>
          <w:tab w:leader="none" w:pos="500" w:val="left"/>
        </w:tabs>
        <w:numPr>
          <w:ilvl w:val="0"/>
          <w:numId w:val="34"/>
        </w:numPr>
        <w:rPr>
          <w:rFonts w:ascii="Arial" w:cs="Arial" w:eastAsia="Arial" w:hAnsi="Arial"/>
          <w:sz w:val="20"/>
          <w:szCs w:val="20"/>
          <w:color w:val="4C4C4E"/>
        </w:rPr>
      </w:pPr>
      <w:r>
        <w:rPr>
          <w:rFonts w:ascii="Times New Roman" w:cs="Times New Roman" w:eastAsia="Times New Roman" w:hAnsi="Times New Roman"/>
          <w:sz w:val="20"/>
          <w:szCs w:val="20"/>
          <w:color w:val="4C4C4E"/>
        </w:rPr>
        <w:t>derive in each taxable year at least 90% of our gross income from dividends, interest, gains from the sale or other disposition of stock or securities and other specified categories of investment income; and</w:t>
      </w:r>
    </w:p>
    <w:p>
      <w:pPr>
        <w:spacing w:after="0" w:line="64" w:lineRule="exact"/>
        <w:rPr>
          <w:rFonts w:ascii="Arial" w:cs="Arial" w:eastAsia="Arial" w:hAnsi="Arial"/>
          <w:sz w:val="20"/>
          <w:szCs w:val="20"/>
          <w:color w:val="4C4C4E"/>
        </w:rPr>
      </w:pPr>
    </w:p>
    <w:p>
      <w:pPr>
        <w:ind w:left="500" w:right="180" w:hanging="251"/>
        <w:spacing w:after="0" w:line="276" w:lineRule="auto"/>
        <w:tabs>
          <w:tab w:leader="none" w:pos="500" w:val="left"/>
        </w:tabs>
        <w:numPr>
          <w:ilvl w:val="0"/>
          <w:numId w:val="34"/>
        </w:numPr>
        <w:rPr>
          <w:rFonts w:ascii="Arial" w:cs="Arial" w:eastAsia="Arial" w:hAnsi="Arial"/>
          <w:sz w:val="20"/>
          <w:szCs w:val="20"/>
          <w:color w:val="4C4C4E"/>
        </w:rPr>
      </w:pPr>
      <w:r>
        <w:rPr>
          <w:rFonts w:ascii="Times New Roman" w:cs="Times New Roman" w:eastAsia="Times New Roman" w:hAnsi="Times New Roman"/>
          <w:sz w:val="20"/>
          <w:szCs w:val="20"/>
          <w:color w:val="4C4C4E"/>
        </w:rPr>
        <w:t>maintain diversified holdings so that, subject to certain exceptions and cure periods, at the end of each quarter of our taxable year:</w:t>
      </w:r>
    </w:p>
    <w:p>
      <w:pPr>
        <w:spacing w:after="0" w:line="64" w:lineRule="exact"/>
        <w:rPr>
          <w:rFonts w:ascii="Arial" w:cs="Arial" w:eastAsia="Arial" w:hAnsi="Arial"/>
          <w:sz w:val="20"/>
          <w:szCs w:val="20"/>
          <w:color w:val="4C4C4E"/>
        </w:rPr>
      </w:pPr>
    </w:p>
    <w:p>
      <w:pPr>
        <w:ind w:left="740" w:right="260" w:hanging="246"/>
        <w:spacing w:after="0" w:line="252" w:lineRule="auto"/>
        <w:tabs>
          <w:tab w:leader="none" w:pos="740" w:val="left"/>
        </w:tabs>
        <w:numPr>
          <w:ilvl w:val="1"/>
          <w:numId w:val="34"/>
        </w:numPr>
        <w:rPr>
          <w:rFonts w:ascii="Arial" w:cs="Arial" w:eastAsia="Arial" w:hAnsi="Arial"/>
          <w:sz w:val="20"/>
          <w:szCs w:val="20"/>
          <w:color w:val="4C4C4E"/>
        </w:rPr>
      </w:pPr>
      <w:r>
        <w:rPr>
          <w:rFonts w:ascii="Times New Roman" w:cs="Times New Roman" w:eastAsia="Times New Roman" w:hAnsi="Times New Roman"/>
          <w:sz w:val="20"/>
          <w:szCs w:val="20"/>
          <w:color w:val="4C4C4E"/>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7" w:lineRule="exact"/>
        <w:rPr>
          <w:rFonts w:ascii="Arial" w:cs="Arial" w:eastAsia="Arial" w:hAnsi="Arial"/>
          <w:sz w:val="20"/>
          <w:szCs w:val="20"/>
          <w:color w:val="4C4C4E"/>
        </w:rPr>
      </w:pPr>
    </w:p>
    <w:p>
      <w:pPr>
        <w:ind w:left="740" w:hanging="246"/>
        <w:spacing w:after="0" w:line="252" w:lineRule="auto"/>
        <w:tabs>
          <w:tab w:leader="none" w:pos="740" w:val="left"/>
        </w:tabs>
        <w:numPr>
          <w:ilvl w:val="1"/>
          <w:numId w:val="34"/>
        </w:numPr>
        <w:rPr>
          <w:rFonts w:ascii="Arial" w:cs="Arial" w:eastAsia="Arial" w:hAnsi="Arial"/>
          <w:sz w:val="20"/>
          <w:szCs w:val="20"/>
          <w:color w:val="4C4C4E"/>
        </w:rPr>
      </w:pPr>
      <w:r>
        <w:rPr>
          <w:rFonts w:ascii="Times New Roman" w:cs="Times New Roman" w:eastAsia="Times New Roman" w:hAnsi="Times New Roman"/>
          <w:sz w:val="20"/>
          <w:szCs w:val="20"/>
          <w:color w:val="4C4C4E"/>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ectPr>
          <w:pgSz w:w="11880" w:h="15480" w:orient="portrait"/>
          <w:cols w:equalWidth="0" w:num="1">
            <w:col w:w="10620"/>
          </w:cols>
          <w:pgMar w:left="680" w:top="750" w:right="580" w:bottom="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C4C4E"/>
        </w:rPr>
        <w:t>27</w:t>
      </w:r>
    </w:p>
    <w:p>
      <w:pPr>
        <w:sectPr>
          <w:pgSz w:w="11880" w:h="15480" w:orient="portrait"/>
          <w:cols w:equalWidth="0" w:num="1">
            <w:col w:w="10620"/>
          </w:cols>
          <w:pgMar w:left="680" w:top="750" w:right="580" w:bottom="0" w:gutter="0" w:footer="0" w:header="0"/>
          <w:type w:val="continuous"/>
        </w:sectPr>
      </w:pPr>
    </w:p>
    <w:bookmarkStart w:id="27" w:name="page28"/>
    <w:bookmarkEnd w:id="27"/>
    <w:p>
      <w:pPr>
        <w:ind w:right="120" w:firstLine="245"/>
        <w:spacing w:after="0" w:line="246" w:lineRule="auto"/>
        <w:rPr>
          <w:sz w:val="20"/>
          <w:szCs w:val="20"/>
          <w:color w:val="auto"/>
        </w:rPr>
      </w:pPr>
      <w:r>
        <w:rPr>
          <w:rFonts w:ascii="Times New Roman" w:cs="Times New Roman" w:eastAsia="Times New Roman" w:hAnsi="Times New Roman"/>
          <w:sz w:val="20"/>
          <w:szCs w:val="20"/>
          <w:color w:val="4C4C4E"/>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4"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20"/>
          <w:szCs w:val="20"/>
          <w:color w:val="4C4C4E"/>
        </w:rPr>
      </w:pPr>
      <w:r>
        <w:rPr>
          <w:rFonts w:ascii="Times New Roman" w:cs="Times New Roman" w:eastAsia="Times New Roman" w:hAnsi="Times New Roman"/>
          <w:sz w:val="20"/>
          <w:szCs w:val="20"/>
          <w:color w:val="4C4C4E"/>
        </w:rPr>
        <w:t>98% of our net ordinary income, excluding certain ordinary gains and losses, recognized during a calendar year;</w:t>
      </w:r>
    </w:p>
    <w:p>
      <w:pPr>
        <w:spacing w:after="0" w:line="133" w:lineRule="exact"/>
        <w:rPr>
          <w:rFonts w:ascii="Arial" w:cs="Arial" w:eastAsia="Arial" w:hAnsi="Arial"/>
          <w:sz w:val="20"/>
          <w:szCs w:val="20"/>
          <w:color w:val="4C4C4E"/>
        </w:rPr>
      </w:pPr>
    </w:p>
    <w:p>
      <w:pPr>
        <w:ind w:left="740" w:right="540" w:hanging="246"/>
        <w:spacing w:after="0" w:line="276" w:lineRule="auto"/>
        <w:tabs>
          <w:tab w:leader="none" w:pos="740" w:val="left"/>
        </w:tabs>
        <w:numPr>
          <w:ilvl w:val="0"/>
          <w:numId w:val="35"/>
        </w:numPr>
        <w:rPr>
          <w:rFonts w:ascii="Arial" w:cs="Arial" w:eastAsia="Arial" w:hAnsi="Arial"/>
          <w:sz w:val="20"/>
          <w:szCs w:val="20"/>
          <w:color w:val="4C4C4E"/>
        </w:rPr>
      </w:pPr>
      <w:r>
        <w:rPr>
          <w:rFonts w:ascii="Times New Roman" w:cs="Times New Roman" w:eastAsia="Times New Roman" w:hAnsi="Times New Roman"/>
          <w:sz w:val="20"/>
          <w:szCs w:val="20"/>
          <w:color w:val="4C4C4E"/>
        </w:rPr>
        <w:t>98.2% of our capital gain net income, adjusted for certain ordinary gains and losses, recognized for the twelve-month period ending on October 31 of such calendar year; and</w:t>
      </w:r>
    </w:p>
    <w:p>
      <w:pPr>
        <w:spacing w:after="0" w:line="64" w:lineRule="exact"/>
        <w:rPr>
          <w:rFonts w:ascii="Arial" w:cs="Arial" w:eastAsia="Arial" w:hAnsi="Arial"/>
          <w:sz w:val="20"/>
          <w:szCs w:val="20"/>
          <w:color w:val="4C4C4E"/>
        </w:rPr>
      </w:pPr>
    </w:p>
    <w:p>
      <w:pPr>
        <w:ind w:left="740" w:hanging="246"/>
        <w:spacing w:after="0"/>
        <w:tabs>
          <w:tab w:leader="none" w:pos="740" w:val="left"/>
        </w:tabs>
        <w:numPr>
          <w:ilvl w:val="0"/>
          <w:numId w:val="35"/>
        </w:numPr>
        <w:rPr>
          <w:rFonts w:ascii="Arial" w:cs="Arial" w:eastAsia="Arial" w:hAnsi="Arial"/>
          <w:sz w:val="20"/>
          <w:szCs w:val="20"/>
          <w:color w:val="4C4C4E"/>
        </w:rPr>
      </w:pPr>
      <w:r>
        <w:rPr>
          <w:rFonts w:ascii="Times New Roman" w:cs="Times New Roman" w:eastAsia="Times New Roman" w:hAnsi="Times New Roman"/>
          <w:sz w:val="20"/>
          <w:szCs w:val="20"/>
          <w:color w:val="4C4C4E"/>
        </w:rPr>
        <w:t>100% of any income or gains recognized, but not distributed, in preceding years.</w:t>
      </w:r>
    </w:p>
    <w:p>
      <w:pPr>
        <w:spacing w:after="0" w:line="239"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4C4C4E"/>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94"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20"/>
          <w:szCs w:val="20"/>
          <w:i w:val="1"/>
          <w:iCs w:val="1"/>
          <w:color w:val="4C4C4E"/>
        </w:rPr>
        <w:t>Dividend Policy</w:t>
      </w:r>
      <w:r>
        <w:rPr>
          <w:rFonts w:ascii="Times New Roman" w:cs="Times New Roman" w:eastAsia="Times New Roman" w:hAnsi="Times New Roman"/>
          <w:sz w:val="20"/>
          <w:szCs w:val="20"/>
          <w:color w:val="4C4C4E"/>
        </w:rPr>
        <w:t>” and “—</w:t>
      </w:r>
      <w:r>
        <w:rPr>
          <w:rFonts w:ascii="Times New Roman" w:cs="Times New Roman" w:eastAsia="Times New Roman" w:hAnsi="Times New Roman"/>
          <w:sz w:val="20"/>
          <w:szCs w:val="20"/>
          <w:i w:val="1"/>
          <w:iCs w:val="1"/>
          <w:color w:val="4C4C4E"/>
        </w:rPr>
        <w:t>Dividend Reinvestment Plan</w:t>
      </w:r>
      <w:r>
        <w:rPr>
          <w:rFonts w:ascii="Times New Roman" w:cs="Times New Roman" w:eastAsia="Times New Roman" w:hAnsi="Times New Roman"/>
          <w:sz w:val="20"/>
          <w:szCs w:val="20"/>
          <w:color w:val="4C4C4E"/>
        </w:rPr>
        <w:t>” for a description of our dividend policy and obligations. One or more of the considerations described below, however, could result in the deferral of dividend distributions until the end of the fiscal year:</w:t>
      </w:r>
    </w:p>
    <w:p>
      <w:pPr>
        <w:spacing w:after="0" w:line="88" w:lineRule="exact"/>
        <w:rPr>
          <w:sz w:val="20"/>
          <w:szCs w:val="20"/>
          <w:color w:val="auto"/>
        </w:rPr>
      </w:pPr>
    </w:p>
    <w:p>
      <w:pPr>
        <w:ind w:left="500" w:hanging="251"/>
        <w:spacing w:after="0" w:line="252" w:lineRule="auto"/>
        <w:tabs>
          <w:tab w:leader="none" w:pos="500" w:val="left"/>
        </w:tabs>
        <w:numPr>
          <w:ilvl w:val="0"/>
          <w:numId w:val="36"/>
        </w:numPr>
        <w:rPr>
          <w:rFonts w:ascii="Arial" w:cs="Arial" w:eastAsia="Arial" w:hAnsi="Arial"/>
          <w:sz w:val="20"/>
          <w:szCs w:val="20"/>
          <w:color w:val="4C4C4E"/>
        </w:rPr>
      </w:pPr>
      <w:r>
        <w:rPr>
          <w:rFonts w:ascii="Times New Roman" w:cs="Times New Roman" w:eastAsia="Times New Roman" w:hAnsi="Times New Roman"/>
          <w:sz w:val="20"/>
          <w:szCs w:val="20"/>
          <w:color w:val="4C4C4E"/>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87" w:lineRule="exact"/>
        <w:rPr>
          <w:rFonts w:ascii="Arial" w:cs="Arial" w:eastAsia="Arial" w:hAnsi="Arial"/>
          <w:sz w:val="20"/>
          <w:szCs w:val="20"/>
          <w:color w:val="4C4C4E"/>
        </w:rPr>
      </w:pPr>
    </w:p>
    <w:p>
      <w:pPr>
        <w:ind w:left="500" w:right="160" w:hanging="251"/>
        <w:spacing w:after="0" w:line="304" w:lineRule="auto"/>
        <w:tabs>
          <w:tab w:leader="none" w:pos="500" w:val="left"/>
        </w:tabs>
        <w:numPr>
          <w:ilvl w:val="0"/>
          <w:numId w:val="36"/>
        </w:numPr>
        <w:rPr>
          <w:rFonts w:ascii="Arial" w:cs="Arial" w:eastAsia="Arial" w:hAnsi="Arial"/>
          <w:sz w:val="19"/>
          <w:szCs w:val="19"/>
          <w:color w:val="4C4C4E"/>
        </w:rPr>
      </w:pPr>
      <w:r>
        <w:rPr>
          <w:rFonts w:ascii="Times New Roman" w:cs="Times New Roman" w:eastAsia="Times New Roman" w:hAnsi="Times New Roman"/>
          <w:sz w:val="19"/>
          <w:szCs w:val="19"/>
          <w:color w:val="4C4C4E"/>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45" w:lineRule="exact"/>
        <w:rPr>
          <w:sz w:val="20"/>
          <w:szCs w:val="20"/>
          <w:color w:val="auto"/>
        </w:rPr>
      </w:pPr>
    </w:p>
    <w:p>
      <w:pPr>
        <w:ind w:right="220" w:firstLine="245"/>
        <w:spacing w:after="0" w:line="247" w:lineRule="auto"/>
        <w:rPr>
          <w:sz w:val="20"/>
          <w:szCs w:val="20"/>
          <w:color w:val="auto"/>
        </w:rPr>
      </w:pPr>
      <w:r>
        <w:rPr>
          <w:rFonts w:ascii="Times New Roman" w:cs="Times New Roman" w:eastAsia="Times New Roman" w:hAnsi="Times New Roman"/>
          <w:sz w:val="20"/>
          <w:szCs w:val="20"/>
          <w:color w:val="4C4C4E"/>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96" w:lineRule="exact"/>
        <w:rPr>
          <w:sz w:val="20"/>
          <w:szCs w:val="20"/>
          <w:color w:val="auto"/>
        </w:rPr>
      </w:pPr>
    </w:p>
    <w:p>
      <w:pPr>
        <w:ind w:right="60" w:firstLine="245"/>
        <w:spacing w:after="0" w:line="239" w:lineRule="auto"/>
        <w:rPr>
          <w:sz w:val="20"/>
          <w:szCs w:val="20"/>
          <w:color w:val="auto"/>
        </w:rPr>
      </w:pPr>
      <w:r>
        <w:rPr>
          <w:rFonts w:ascii="Times New Roman" w:cs="Times New Roman" w:eastAsia="Times New Roman" w:hAnsi="Times New Roman"/>
          <w:sz w:val="20"/>
          <w:szCs w:val="20"/>
          <w:color w:val="4C4C4E"/>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206" w:lineRule="exact"/>
        <w:rPr>
          <w:sz w:val="20"/>
          <w:szCs w:val="20"/>
          <w:color w:val="auto"/>
        </w:rPr>
      </w:pPr>
    </w:p>
    <w:p>
      <w:pPr>
        <w:ind w:right="260" w:firstLine="245"/>
        <w:spacing w:after="0" w:line="253" w:lineRule="auto"/>
        <w:rPr>
          <w:sz w:val="20"/>
          <w:szCs w:val="20"/>
          <w:color w:val="auto"/>
        </w:rPr>
      </w:pPr>
      <w:r>
        <w:rPr>
          <w:rFonts w:ascii="Times New Roman" w:cs="Times New Roman" w:eastAsia="Times New Roman" w:hAnsi="Times New Roman"/>
          <w:sz w:val="20"/>
          <w:szCs w:val="20"/>
          <w:color w:val="4C4C4E"/>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ectPr>
          <w:pgSz w:w="11880" w:h="15480" w:orient="portrait"/>
          <w:cols w:equalWidth="0" w:num="1">
            <w:col w:w="10660"/>
          </w:cols>
          <w:pgMar w:left="68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28</w:t>
      </w:r>
    </w:p>
    <w:p>
      <w:pPr>
        <w:sectPr>
          <w:pgSz w:w="11880" w:h="15480" w:orient="portrait"/>
          <w:cols w:equalWidth="0" w:num="1">
            <w:col w:w="10660"/>
          </w:cols>
          <w:pgMar w:left="680" w:top="750" w:right="54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4C4C4E"/>
        </w:rPr>
        <w:t>ITEM 1A. RISK FACTORS</w:t>
      </w:r>
    </w:p>
    <w:p>
      <w:pPr>
        <w:spacing w:after="0" w:line="119" w:lineRule="exact"/>
        <w:rPr>
          <w:sz w:val="20"/>
          <w:szCs w:val="20"/>
          <w:color w:val="auto"/>
        </w:rPr>
      </w:pPr>
    </w:p>
    <w:p>
      <w:pPr>
        <w:ind w:right="40" w:firstLine="245"/>
        <w:spacing w:after="0" w:line="242" w:lineRule="auto"/>
        <w:rPr>
          <w:sz w:val="20"/>
          <w:szCs w:val="20"/>
          <w:color w:val="auto"/>
        </w:rPr>
      </w:pPr>
      <w:r>
        <w:rPr>
          <w:rFonts w:ascii="Times New Roman" w:cs="Times New Roman" w:eastAsia="Times New Roman" w:hAnsi="Times New Roman"/>
          <w:sz w:val="20"/>
          <w:szCs w:val="20"/>
          <w:color w:val="4C4C4E"/>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Risks Related to Our Business and Structure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are dependent upon management personnel of the Adviser, Sixth Street and their affiliates for our future success.</w:t>
      </w:r>
    </w:p>
    <w:p>
      <w:pPr>
        <w:spacing w:after="0" w:line="120" w:lineRule="exact"/>
        <w:rPr>
          <w:sz w:val="20"/>
          <w:szCs w:val="20"/>
          <w:color w:val="auto"/>
        </w:rPr>
      </w:pPr>
    </w:p>
    <w:p>
      <w:pPr>
        <w:ind w:right="140" w:firstLine="245"/>
        <w:spacing w:after="0" w:line="247" w:lineRule="auto"/>
        <w:rPr>
          <w:sz w:val="20"/>
          <w:szCs w:val="20"/>
          <w:color w:val="auto"/>
        </w:rPr>
      </w:pPr>
      <w:r>
        <w:rPr>
          <w:rFonts w:ascii="Times New Roman" w:cs="Times New Roman" w:eastAsia="Times New Roman" w:hAnsi="Times New Roman"/>
          <w:sz w:val="20"/>
          <w:szCs w:val="20"/>
          <w:color w:val="4C4C4E"/>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200" w:lineRule="exact"/>
        <w:rPr>
          <w:sz w:val="20"/>
          <w:szCs w:val="20"/>
          <w:color w:val="auto"/>
        </w:rPr>
      </w:pPr>
    </w:p>
    <w:p>
      <w:pPr>
        <w:ind w:right="100" w:firstLine="245"/>
        <w:spacing w:after="0" w:line="252" w:lineRule="auto"/>
        <w:rPr>
          <w:sz w:val="20"/>
          <w:szCs w:val="20"/>
          <w:color w:val="auto"/>
        </w:rPr>
      </w:pPr>
      <w:r>
        <w:rPr>
          <w:rFonts w:ascii="Times New Roman" w:cs="Times New Roman" w:eastAsia="Times New Roman" w:hAnsi="Times New Roman"/>
          <w:sz w:val="20"/>
          <w:szCs w:val="20"/>
          <w:color w:val="4C4C4E"/>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Regulations governing our operation as a BDC affect our ability to, and the way in which we, raise additional capital.</w:t>
      </w:r>
    </w:p>
    <w:p>
      <w:pPr>
        <w:spacing w:after="0" w:line="120"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20"/>
          <w:szCs w:val="20"/>
          <w:color w:val="4C4C4E"/>
        </w:rPr>
        <w:t>The 1940 Act imposes numerous constraints on the operations of BDCs. See “</w:t>
      </w:r>
      <w:r>
        <w:rPr>
          <w:rFonts w:ascii="Times New Roman" w:cs="Times New Roman" w:eastAsia="Times New Roman" w:hAnsi="Times New Roman"/>
          <w:sz w:val="20"/>
          <w:szCs w:val="20"/>
          <w:i w:val="1"/>
          <w:iCs w:val="1"/>
          <w:color w:val="4C4C4E"/>
        </w:rPr>
        <w:t>ITEM 1. BUSINESS—Regulation as a Business</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Development Company</w:t>
      </w:r>
      <w:r>
        <w:rPr>
          <w:rFonts w:ascii="Times New Roman" w:cs="Times New Roman" w:eastAsia="Times New Roman" w:hAnsi="Times New Roman"/>
          <w:sz w:val="20"/>
          <w:szCs w:val="20"/>
          <w:color w:val="4C4C4E"/>
        </w:rPr>
        <w:t>” for a discussion of BDC limitations. For example, BDCs are required to invest at least 70% of their total</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97" w:lineRule="exact"/>
        <w:rPr>
          <w:sz w:val="20"/>
          <w:szCs w:val="20"/>
          <w:color w:val="auto"/>
        </w:rPr>
      </w:pPr>
    </w:p>
    <w:p>
      <w:pPr>
        <w:jc w:val="both"/>
        <w:ind w:right="300" w:firstLine="245"/>
        <w:spacing w:after="0" w:line="258" w:lineRule="auto"/>
        <w:rPr>
          <w:sz w:val="20"/>
          <w:szCs w:val="20"/>
          <w:color w:val="auto"/>
        </w:rPr>
      </w:pPr>
      <w:r>
        <w:rPr>
          <w:rFonts w:ascii="Times New Roman" w:cs="Times New Roman" w:eastAsia="Times New Roman" w:hAnsi="Times New Roman"/>
          <w:sz w:val="20"/>
          <w:szCs w:val="20"/>
          <w:color w:val="4C4C4E"/>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8" w:lineRule="exact"/>
        <w:rPr>
          <w:sz w:val="20"/>
          <w:szCs w:val="20"/>
          <w:color w:val="auto"/>
        </w:rPr>
      </w:pPr>
    </w:p>
    <w:p>
      <w:pPr>
        <w:ind w:right="40" w:firstLine="245"/>
        <w:spacing w:after="0" w:line="249" w:lineRule="auto"/>
        <w:rPr>
          <w:sz w:val="20"/>
          <w:szCs w:val="20"/>
          <w:color w:val="auto"/>
        </w:rPr>
      </w:pPr>
      <w:r>
        <w:rPr>
          <w:rFonts w:ascii="Times New Roman" w:cs="Times New Roman" w:eastAsia="Times New Roman" w:hAnsi="Times New Roman"/>
          <w:sz w:val="20"/>
          <w:szCs w:val="20"/>
          <w:color w:val="4C4C4E"/>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97" w:lineRule="exact"/>
        <w:rPr>
          <w:sz w:val="20"/>
          <w:szCs w:val="20"/>
          <w:color w:val="auto"/>
        </w:rPr>
      </w:pPr>
    </w:p>
    <w:p>
      <w:pPr>
        <w:ind w:right="100" w:firstLine="245"/>
        <w:spacing w:after="0" w:line="244" w:lineRule="auto"/>
        <w:rPr>
          <w:sz w:val="20"/>
          <w:szCs w:val="20"/>
          <w:color w:val="auto"/>
        </w:rPr>
      </w:pPr>
      <w:r>
        <w:rPr>
          <w:rFonts w:ascii="Times New Roman" w:cs="Times New Roman" w:eastAsia="Times New Roman" w:hAnsi="Times New Roman"/>
          <w:sz w:val="20"/>
          <w:szCs w:val="20"/>
          <w:color w:val="4C4C4E"/>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206"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w:t>
      </w:r>
    </w:p>
    <w:p>
      <w:pPr>
        <w:sectPr>
          <w:pgSz w:w="11880" w:h="15480" w:orient="portrait"/>
          <w:cols w:equalWidth="0" w:num="1">
            <w:col w:w="10660"/>
          </w:cols>
          <w:pgMar w:left="680" w:top="742" w:right="54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29</w:t>
      </w:r>
    </w:p>
    <w:p>
      <w:pPr>
        <w:sectPr>
          <w:pgSz w:w="11880" w:h="15480" w:orient="portrait"/>
          <w:cols w:equalWidth="0" w:num="1">
            <w:col w:w="10660"/>
          </w:cols>
          <w:pgMar w:left="680" w:top="742" w:right="540" w:bottom="0" w:gutter="0" w:footer="0" w:header="0"/>
          <w:type w:val="continuous"/>
        </w:sectPr>
      </w:pPr>
    </w:p>
    <w:bookmarkStart w:id="29" w:name="page30"/>
    <w:bookmarkEnd w:id="29"/>
    <w:p>
      <w:pPr>
        <w:ind w:right="520"/>
        <w:spacing w:after="0" w:line="277" w:lineRule="auto"/>
        <w:rPr>
          <w:sz w:val="20"/>
          <w:szCs w:val="20"/>
          <w:color w:val="auto"/>
        </w:rPr>
      </w:pPr>
      <w:r>
        <w:rPr>
          <w:rFonts w:ascii="Times New Roman" w:cs="Times New Roman" w:eastAsia="Times New Roman" w:hAnsi="Times New Roman"/>
          <w:sz w:val="20"/>
          <w:szCs w:val="20"/>
          <w:color w:val="4C4C4E"/>
        </w:rPr>
        <w:t>common stock and the rights of holders of shares of preferred stock to receive dividends would be senior to those of holders of shares of our common stock.</w:t>
      </w:r>
    </w:p>
    <w:p>
      <w:pPr>
        <w:spacing w:after="0" w:line="169"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4C4C4E"/>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June 20, 2025, we are currently permitted to sell or otherwise issue shares of our common stock at a price below our then-current net asset value per share, subject to the approval of our Board and certain other conditions. Such stockholder approval expires on June 20, 2026.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208" w:lineRule="exact"/>
        <w:rPr>
          <w:sz w:val="20"/>
          <w:szCs w:val="20"/>
          <w:color w:val="auto"/>
        </w:rPr>
      </w:pPr>
    </w:p>
    <w:p>
      <w:pPr>
        <w:ind w:right="60" w:firstLine="245"/>
        <w:spacing w:after="0" w:line="243" w:lineRule="auto"/>
        <w:rPr>
          <w:sz w:val="20"/>
          <w:szCs w:val="20"/>
          <w:color w:val="auto"/>
        </w:rPr>
      </w:pPr>
      <w:r>
        <w:rPr>
          <w:rFonts w:ascii="Times New Roman" w:cs="Times New Roman" w:eastAsia="Times New Roman" w:hAnsi="Times New Roman"/>
          <w:sz w:val="20"/>
          <w:szCs w:val="20"/>
          <w:color w:val="4C4C4E"/>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20"/>
          <w:szCs w:val="20"/>
          <w:i w:val="1"/>
          <w:iCs w:val="1"/>
          <w:color w:val="4C4C4E"/>
        </w:rPr>
        <w:t>—Risks Related to Our Portfolio Company</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Investments</w:t>
      </w:r>
      <w:r>
        <w:rPr>
          <w:rFonts w:ascii="Times New Roman" w:cs="Times New Roman" w:eastAsia="Times New Roman" w:hAnsi="Times New Roman"/>
          <w:sz w:val="20"/>
          <w:szCs w:val="20"/>
          <w:b w:val="1"/>
          <w:bCs w:val="1"/>
          <w:color w:val="4C4C4E"/>
        </w:rPr>
        <w:t>—</w:t>
      </w:r>
      <w:r>
        <w:rPr>
          <w:rFonts w:ascii="Times New Roman" w:cs="Times New Roman" w:eastAsia="Times New Roman" w:hAnsi="Times New Roman"/>
          <w:sz w:val="20"/>
          <w:szCs w:val="20"/>
          <w:i w:val="1"/>
          <w:iCs w:val="1"/>
          <w:color w:val="4C4C4E"/>
        </w:rPr>
        <w:t>We may securitize certain of our investments, which may subject us to certain structured financing risks</w:t>
      </w:r>
      <w:r>
        <w:rPr>
          <w:rFonts w:ascii="Times New Roman" w:cs="Times New Roman" w:eastAsia="Times New Roman" w:hAnsi="Times New Roman"/>
          <w:sz w:val="20"/>
          <w:szCs w:val="20"/>
          <w:color w:val="4C4C4E"/>
        </w:rPr>
        <w: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borrow money, which magnifies the potential for gain or loss and increases the risk of investing in us.</w:t>
      </w:r>
    </w:p>
    <w:p>
      <w:pPr>
        <w:spacing w:after="0" w:line="120" w:lineRule="exact"/>
        <w:rPr>
          <w:sz w:val="20"/>
          <w:szCs w:val="20"/>
          <w:color w:val="auto"/>
        </w:rPr>
      </w:pPr>
    </w:p>
    <w:p>
      <w:pPr>
        <w:ind w:right="40" w:firstLine="245"/>
        <w:spacing w:after="0" w:line="243" w:lineRule="auto"/>
        <w:rPr>
          <w:sz w:val="20"/>
          <w:szCs w:val="20"/>
          <w:color w:val="auto"/>
        </w:rPr>
      </w:pPr>
      <w:r>
        <w:rPr>
          <w:rFonts w:ascii="Times New Roman" w:cs="Times New Roman" w:eastAsia="Times New Roman" w:hAnsi="Times New Roman"/>
          <w:sz w:val="20"/>
          <w:szCs w:val="20"/>
          <w:color w:val="4C4C4E"/>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20"/>
          <w:szCs w:val="20"/>
          <w:i w:val="1"/>
          <w:iCs w:val="1"/>
          <w:color w:val="4C4C4E"/>
        </w:rPr>
        <w:t>—Risks Related to Our Business and Structure—Even in the event the value of your investment</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declines, the Management Fee and, in certain circumstances, the Incentive Fee will still be payable to the Adviser</w:t>
      </w:r>
      <w:r>
        <w:rPr>
          <w:rFonts w:ascii="Times New Roman" w:cs="Times New Roman" w:eastAsia="Times New Roman" w:hAnsi="Times New Roman"/>
          <w:sz w:val="20"/>
          <w:szCs w:val="20"/>
          <w:color w:val="4C4C4E"/>
        </w:rPr>
        <w:t>.” The amount of</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leverage that we employ will depend on our Adviser’s and our Board’s assessment of market and other factors at the time of any proposed borrowing. We cannot assure you that we will be able to obtain credit at all or on terms acceptable to us.</w:t>
      </w:r>
    </w:p>
    <w:p>
      <w:pPr>
        <w:spacing w:after="0" w:line="206"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4C4C4E"/>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ectPr>
          <w:pgSz w:w="11880" w:h="15480" w:orient="portrait"/>
          <w:cols w:equalWidth="0" w:num="1">
            <w:col w:w="10660"/>
          </w:cols>
          <w:pgMar w:left="680" w:top="750" w:right="54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30</w:t>
      </w:r>
    </w:p>
    <w:p>
      <w:pPr>
        <w:sectPr>
          <w:pgSz w:w="11880" w:h="15480" w:orient="portrait"/>
          <w:cols w:equalWidth="0" w:num="1">
            <w:col w:w="10660"/>
          </w:cols>
          <w:pgMar w:left="680" w:top="750" w:right="540" w:bottom="0" w:gutter="0" w:footer="0" w:header="0"/>
          <w:type w:val="continuous"/>
        </w:sectPr>
      </w:pPr>
    </w:p>
    <w:bookmarkStart w:id="30" w:name="page31"/>
    <w:bookmarkEnd w:id="30"/>
    <w:p>
      <w:pPr>
        <w:ind w:right="40" w:firstLine="245"/>
        <w:spacing w:after="0" w:line="258" w:lineRule="auto"/>
        <w:rPr>
          <w:sz w:val="20"/>
          <w:szCs w:val="20"/>
          <w:color w:val="auto"/>
        </w:rPr>
      </w:pPr>
      <w:r>
        <w:rPr>
          <w:rFonts w:ascii="Times New Roman" w:cs="Times New Roman" w:eastAsia="Times New Roman" w:hAnsi="Times New Roman"/>
          <w:sz w:val="20"/>
          <w:szCs w:val="20"/>
          <w:color w:val="4C4C4E"/>
        </w:rPr>
        <w:t>As of December 31, 2025, we had $1,763.9 million principal amount of outstanding indebtedness, which had an annualized interest cost of 6.2% under the terms of our debt, excluding fees (such as fees on undrawn amounts and amortization of upfront fees) and giving effect to the swap-adjusted interest rates on our 2026 Notes, 2028 Notes, 2029 Notes and 2030 Notes.</w:t>
      </w:r>
    </w:p>
    <w:p>
      <w:pPr>
        <w:spacing w:after="0" w:line="188"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As of December 31, 2025, as adjusted to give effect to the interest rate swaps, the interest rate on the 2026 Notes was three-month SOFR plus 2.17%, the interest rate on the 2028 Notes was three-month SOFR plus 2.99%, the interest rate on the 2029 Notes was three-month SOFR plus 2.44% and the interest rate on the 2030 Notes was three-month SOFR plus 1.53%.</w:t>
      </w:r>
    </w:p>
    <w:p>
      <w:pPr>
        <w:spacing w:after="0" w:line="188"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For us to cover these annualized interest payments on indebtedness, we must achieve annual returns on our investments of at least 3.3%.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6" w:lineRule="exact"/>
        <w:rPr>
          <w:sz w:val="20"/>
          <w:szCs w:val="20"/>
          <w:color w:val="auto"/>
        </w:rPr>
      </w:pPr>
    </w:p>
    <w:p>
      <w:pPr>
        <w:ind w:right="60" w:firstLine="245"/>
        <w:spacing w:after="0" w:line="239" w:lineRule="auto"/>
        <w:rPr>
          <w:sz w:val="20"/>
          <w:szCs w:val="20"/>
          <w:color w:val="auto"/>
        </w:rPr>
      </w:pPr>
      <w:r>
        <w:rPr>
          <w:rFonts w:ascii="Times New Roman" w:cs="Times New Roman" w:eastAsia="Times New Roman" w:hAnsi="Times New Roman"/>
          <w:sz w:val="20"/>
          <w:szCs w:val="20"/>
          <w:color w:val="4C4C4E"/>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C4C4E"/>
        </w:rPr>
        <w:t>Effects of Leverage Based on Actual Amount of Borrowings Incurred by us as of December 31,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4C4C4E"/>
              </w:rPr>
              <w:t>Assumed Return on Our Portfolio</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4"/>
        </w:trPr>
        <w:tc>
          <w:tcPr>
            <w:tcW w:w="4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6"/>
                <w:szCs w:val="16"/>
                <w:b w:val="1"/>
                <w:bCs w:val="1"/>
                <w:color w:val="4C4C4E"/>
                <w:w w:val="95"/>
              </w:rPr>
              <w:t xml:space="preserve">(net of expenses) </w:t>
            </w:r>
            <w:r>
              <w:rPr>
                <w:rFonts w:ascii="Times New Roman" w:cs="Times New Roman" w:eastAsia="Times New Roman" w:hAnsi="Times New Roman"/>
                <w:sz w:val="20"/>
                <w:szCs w:val="20"/>
                <w:b w:val="1"/>
                <w:bCs w:val="1"/>
                <w:color w:val="4C4C4E"/>
                <w:w w:val="95"/>
                <w:vertAlign w:val="superscript"/>
              </w:rPr>
              <w:t>(1)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4840" w:type="dxa"/>
            <w:vAlign w:val="bottom"/>
          </w:tcPr>
          <w:p>
            <w:pPr>
              <w:spacing w:after="0"/>
              <w:rPr>
                <w:sz w:val="17"/>
                <w:szCs w:val="17"/>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4C4C4E"/>
              </w:rPr>
              <w:t>-10%</w:t>
            </w:r>
          </w:p>
        </w:tc>
        <w:tc>
          <w:tcPr>
            <w:tcW w:w="118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4C4C4E"/>
              </w:rPr>
              <w:t>-5%</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4C4C4E"/>
              </w:rPr>
              <w:t>0%</w:t>
            </w:r>
          </w:p>
        </w:tc>
        <w:tc>
          <w:tcPr>
            <w:tcW w:w="120" w:type="dxa"/>
            <w:vAlign w:val="bottom"/>
          </w:tcPr>
          <w:p>
            <w:pPr>
              <w:spacing w:after="0"/>
              <w:rPr>
                <w:sz w:val="17"/>
                <w:szCs w:val="17"/>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4C4C4E"/>
              </w:rPr>
              <w:t>5%</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4C4C4E"/>
              </w:rPr>
              <w:t>10%</w:t>
            </w:r>
          </w:p>
        </w:tc>
      </w:tr>
      <w:tr>
        <w:trPr>
          <w:trHeight w:val="230"/>
        </w:trPr>
        <w:tc>
          <w:tcPr>
            <w:tcW w:w="4840" w:type="dxa"/>
            <w:vAlign w:val="bottom"/>
            <w:tcBorders>
              <w:top w:val="single" w:sz="8" w:color="D5EDF5"/>
            </w:tcBorders>
            <w:shd w:val="clear" w:color="auto" w:fill="D5EDF5"/>
          </w:tcPr>
          <w:p>
            <w:pPr>
              <w:spacing w:after="0" w:line="230" w:lineRule="exact"/>
              <w:rPr>
                <w:sz w:val="20"/>
                <w:szCs w:val="20"/>
                <w:color w:val="auto"/>
              </w:rPr>
            </w:pPr>
            <w:r>
              <w:rPr>
                <w:rFonts w:ascii="Times New Roman" w:cs="Times New Roman" w:eastAsia="Times New Roman" w:hAnsi="Times New Roman"/>
                <w:sz w:val="20"/>
                <w:szCs w:val="20"/>
                <w:color w:val="4C4C4E"/>
              </w:rPr>
              <w:t xml:space="preserve">Corresponding return to stockholder </w:t>
            </w:r>
            <w:r>
              <w:rPr>
                <w:rFonts w:ascii="Times New Roman" w:cs="Times New Roman" w:eastAsia="Times New Roman" w:hAnsi="Times New Roman"/>
                <w:sz w:val="26"/>
                <w:szCs w:val="26"/>
                <w:color w:val="4C4C4E"/>
                <w:vertAlign w:val="superscript"/>
              </w:rPr>
              <w:t>(2)</w:t>
            </w:r>
          </w:p>
        </w:tc>
        <w:tc>
          <w:tcPr>
            <w:tcW w:w="1080" w:type="dxa"/>
            <w:vAlign w:val="bottom"/>
            <w:tcBorders>
              <w:top w:val="single" w:sz="8" w:color="4C4C4E"/>
            </w:tcBorders>
            <w:shd w:val="clear" w:color="auto" w:fill="D5EDF5"/>
          </w:tcPr>
          <w:p>
            <w:pPr>
              <w:jc w:val="right"/>
              <w:ind w:right="130"/>
              <w:spacing w:after="0"/>
              <w:rPr>
                <w:sz w:val="20"/>
                <w:szCs w:val="20"/>
                <w:color w:val="auto"/>
              </w:rPr>
            </w:pPr>
            <w:r>
              <w:rPr>
                <w:rFonts w:ascii="Times New Roman" w:cs="Times New Roman" w:eastAsia="Times New Roman" w:hAnsi="Times New Roman"/>
                <w:sz w:val="20"/>
                <w:szCs w:val="20"/>
                <w:color w:val="4C4C4E"/>
              </w:rPr>
              <w:t>(28.1%)</w:t>
            </w:r>
          </w:p>
        </w:tc>
        <w:tc>
          <w:tcPr>
            <w:tcW w:w="100" w:type="dxa"/>
            <w:vAlign w:val="bottom"/>
            <w:tcBorders>
              <w:top w:val="single" w:sz="8" w:color="D5EDF5"/>
            </w:tcBorders>
            <w:shd w:val="clear" w:color="auto" w:fill="D5EDF5"/>
          </w:tcPr>
          <w:p>
            <w:pPr>
              <w:spacing w:after="0"/>
              <w:rPr>
                <w:sz w:val="20"/>
                <w:szCs w:val="20"/>
                <w:color w:val="auto"/>
              </w:rPr>
            </w:pPr>
          </w:p>
        </w:tc>
        <w:tc>
          <w:tcPr>
            <w:tcW w:w="1080" w:type="dxa"/>
            <w:vAlign w:val="bottom"/>
            <w:tcBorders>
              <w:top w:val="single" w:sz="8" w:color="4C4C4E"/>
            </w:tcBorders>
            <w:shd w:val="clear" w:color="auto" w:fill="D5EDF5"/>
          </w:tcPr>
          <w:p>
            <w:pPr>
              <w:jc w:val="right"/>
              <w:ind w:right="130"/>
              <w:spacing w:after="0"/>
              <w:rPr>
                <w:sz w:val="20"/>
                <w:szCs w:val="20"/>
                <w:color w:val="auto"/>
              </w:rPr>
            </w:pPr>
            <w:r>
              <w:rPr>
                <w:rFonts w:ascii="Times New Roman" w:cs="Times New Roman" w:eastAsia="Times New Roman" w:hAnsi="Times New Roman"/>
                <w:sz w:val="20"/>
                <w:szCs w:val="20"/>
                <w:color w:val="4C4C4E"/>
              </w:rPr>
              <w:t>(17.5%)</w:t>
            </w:r>
          </w:p>
        </w:tc>
        <w:tc>
          <w:tcPr>
            <w:tcW w:w="100" w:type="dxa"/>
            <w:vAlign w:val="bottom"/>
            <w:tcBorders>
              <w:top w:val="single" w:sz="8" w:color="D5EDF5"/>
            </w:tcBorders>
            <w:shd w:val="clear" w:color="auto" w:fill="D5EDF5"/>
          </w:tcPr>
          <w:p>
            <w:pPr>
              <w:spacing w:after="0"/>
              <w:rPr>
                <w:sz w:val="20"/>
                <w:szCs w:val="20"/>
                <w:color w:val="auto"/>
              </w:rPr>
            </w:pPr>
          </w:p>
        </w:tc>
        <w:tc>
          <w:tcPr>
            <w:tcW w:w="1080" w:type="dxa"/>
            <w:vAlign w:val="bottom"/>
            <w:tcBorders>
              <w:top w:val="single" w:sz="8" w:color="4C4C4E"/>
            </w:tcBorders>
            <w:shd w:val="clear" w:color="auto" w:fill="D5EDF5"/>
          </w:tcPr>
          <w:p>
            <w:pPr>
              <w:jc w:val="right"/>
              <w:ind w:right="160"/>
              <w:spacing w:after="0"/>
              <w:rPr>
                <w:sz w:val="20"/>
                <w:szCs w:val="20"/>
                <w:color w:val="auto"/>
              </w:rPr>
            </w:pPr>
            <w:r>
              <w:rPr>
                <w:rFonts w:ascii="Times New Roman" w:cs="Times New Roman" w:eastAsia="Times New Roman" w:hAnsi="Times New Roman"/>
                <w:sz w:val="20"/>
                <w:szCs w:val="20"/>
                <w:color w:val="4C4C4E"/>
              </w:rPr>
              <w:t>(6.8%)</w:t>
            </w:r>
          </w:p>
        </w:tc>
        <w:tc>
          <w:tcPr>
            <w:tcW w:w="120" w:type="dxa"/>
            <w:vAlign w:val="bottom"/>
            <w:tcBorders>
              <w:top w:val="single" w:sz="8" w:color="D5EDF5"/>
            </w:tcBorders>
            <w:shd w:val="clear" w:color="auto" w:fill="D5EDF5"/>
          </w:tcPr>
          <w:p>
            <w:pPr>
              <w:spacing w:after="0"/>
              <w:rPr>
                <w:sz w:val="20"/>
                <w:szCs w:val="20"/>
                <w:color w:val="auto"/>
              </w:rPr>
            </w:pPr>
          </w:p>
        </w:tc>
        <w:tc>
          <w:tcPr>
            <w:tcW w:w="1080" w:type="dxa"/>
            <w:vAlign w:val="bottom"/>
            <w:tcBorders>
              <w:top w:val="single" w:sz="8" w:color="4C4C4E"/>
            </w:tcBorders>
            <w:shd w:val="clear" w:color="auto" w:fill="D5EDF5"/>
          </w:tcPr>
          <w:p>
            <w:pPr>
              <w:jc w:val="right"/>
              <w:ind w:right="250"/>
              <w:spacing w:after="0"/>
              <w:rPr>
                <w:sz w:val="20"/>
                <w:szCs w:val="20"/>
                <w:color w:val="auto"/>
              </w:rPr>
            </w:pPr>
            <w:r>
              <w:rPr>
                <w:rFonts w:ascii="Times New Roman" w:cs="Times New Roman" w:eastAsia="Times New Roman" w:hAnsi="Times New Roman"/>
                <w:sz w:val="20"/>
                <w:szCs w:val="20"/>
                <w:color w:val="4C4C4E"/>
              </w:rPr>
              <w:t>3.8%</w:t>
            </w:r>
          </w:p>
        </w:tc>
        <w:tc>
          <w:tcPr>
            <w:tcW w:w="100" w:type="dxa"/>
            <w:vAlign w:val="bottom"/>
            <w:tcBorders>
              <w:top w:val="single" w:sz="8" w:color="D5EDF5"/>
            </w:tcBorders>
            <w:shd w:val="clear" w:color="auto" w:fill="D5EDF5"/>
          </w:tcPr>
          <w:p>
            <w:pPr>
              <w:spacing w:after="0"/>
              <w:rPr>
                <w:sz w:val="20"/>
                <w:szCs w:val="20"/>
                <w:color w:val="auto"/>
              </w:rPr>
            </w:pPr>
          </w:p>
        </w:tc>
        <w:tc>
          <w:tcPr>
            <w:tcW w:w="1080" w:type="dxa"/>
            <w:vAlign w:val="bottom"/>
            <w:tcBorders>
              <w:top w:val="single" w:sz="8" w:color="4C4C4E"/>
            </w:tcBorders>
            <w:shd w:val="clear" w:color="auto" w:fill="D5EDF5"/>
          </w:tcPr>
          <w:p>
            <w:pPr>
              <w:jc w:val="right"/>
              <w:ind w:right="180"/>
              <w:spacing w:after="0"/>
              <w:rPr>
                <w:sz w:val="20"/>
                <w:szCs w:val="20"/>
                <w:color w:val="auto"/>
              </w:rPr>
            </w:pPr>
            <w:r>
              <w:rPr>
                <w:rFonts w:ascii="Times New Roman" w:cs="Times New Roman" w:eastAsia="Times New Roman" w:hAnsi="Times New Roman"/>
                <w:sz w:val="20"/>
                <w:szCs w:val="20"/>
                <w:color w:val="4C4C4E"/>
              </w:rPr>
              <w:t>14.4%</w:t>
            </w:r>
          </w:p>
        </w:tc>
      </w:tr>
    </w:tbl>
    <w:p>
      <w:pPr>
        <w:spacing w:after="0" w:line="210" w:lineRule="exact"/>
        <w:rPr>
          <w:sz w:val="20"/>
          <w:szCs w:val="20"/>
          <w:color w:val="auto"/>
        </w:rPr>
      </w:pPr>
    </w:p>
    <w:p>
      <w:pPr>
        <w:ind w:left="500" w:right="20" w:hanging="496"/>
        <w:spacing w:after="0" w:line="247" w:lineRule="auto"/>
        <w:tabs>
          <w:tab w:leader="none" w:pos="500" w:val="left"/>
        </w:tabs>
        <w:numPr>
          <w:ilvl w:val="0"/>
          <w:numId w:val="3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2025. As a result, it has not been updated to take into account any changes in assets or leverage since December 31, 2025.</w:t>
      </w:r>
    </w:p>
    <w:p>
      <w:pPr>
        <w:spacing w:after="0" w:line="1" w:lineRule="exact"/>
        <w:rPr>
          <w:rFonts w:ascii="Times New Roman" w:cs="Times New Roman" w:eastAsia="Times New Roman" w:hAnsi="Times New Roman"/>
          <w:sz w:val="20"/>
          <w:szCs w:val="20"/>
          <w:color w:val="4C4C4E"/>
        </w:rPr>
      </w:pPr>
    </w:p>
    <w:p>
      <w:pPr>
        <w:ind w:left="500" w:right="80" w:hanging="496"/>
        <w:spacing w:after="0" w:line="241" w:lineRule="auto"/>
        <w:tabs>
          <w:tab w:leader="none" w:pos="500" w:val="left"/>
        </w:tabs>
        <w:numPr>
          <w:ilvl w:val="0"/>
          <w:numId w:val="3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 order to compute the “Corresponding return to stockholder,” the “Assumed Return on Our Portfolio” is multiplied by the total value of our assets at December 31, 2025 to obtain an assumed return to us. From this amount, the interest expense (calculated by multiplying the weighted average annualized stated interest rate of 6.2% by the approximately $1,763.9 million of principal debt outstanding) is subtracted to determine the return available to stockholders. The return available to stockholders is then divided by the total value of our net assets as of December 31, 2025 to determine the “Corresponding return to stockholder.”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Our indebtedness could adversely affect our business, financial condition or results of operations.</w:t>
      </w:r>
    </w:p>
    <w:p>
      <w:pPr>
        <w:spacing w:after="0" w:line="107" w:lineRule="exact"/>
        <w:rPr>
          <w:sz w:val="20"/>
          <w:szCs w:val="20"/>
          <w:color w:val="auto"/>
        </w:rPr>
      </w:pPr>
    </w:p>
    <w:p>
      <w:pPr>
        <w:ind w:right="60" w:firstLine="245"/>
        <w:spacing w:after="0" w:line="233" w:lineRule="auto"/>
        <w:rPr>
          <w:sz w:val="20"/>
          <w:szCs w:val="20"/>
          <w:color w:val="auto"/>
        </w:rPr>
      </w:pPr>
      <w:r>
        <w:rPr>
          <w:rFonts w:ascii="Times New Roman" w:cs="Times New Roman" w:eastAsia="Times New Roman" w:hAnsi="Times New Roman"/>
          <w:sz w:val="20"/>
          <w:szCs w:val="20"/>
          <w:color w:val="4C4C4E"/>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Legislation allows us to incur additional leverage.</w:t>
      </w:r>
    </w:p>
    <w:p>
      <w:pPr>
        <w:spacing w:after="0" w:line="107" w:lineRule="exact"/>
        <w:rPr>
          <w:sz w:val="20"/>
          <w:szCs w:val="20"/>
          <w:color w:val="auto"/>
        </w:rPr>
      </w:pPr>
    </w:p>
    <w:p>
      <w:pPr>
        <w:ind w:right="140" w:firstLine="245"/>
        <w:spacing w:after="0" w:line="236" w:lineRule="auto"/>
        <w:rPr>
          <w:sz w:val="20"/>
          <w:szCs w:val="20"/>
          <w:color w:val="auto"/>
        </w:rPr>
      </w:pPr>
      <w:r>
        <w:rPr>
          <w:rFonts w:ascii="Times New Roman" w:cs="Times New Roman" w:eastAsia="Times New Roman" w:hAnsi="Times New Roman"/>
          <w:sz w:val="20"/>
          <w:szCs w:val="20"/>
          <w:color w:val="4C4C4E"/>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92" w:lineRule="exact"/>
        <w:rPr>
          <w:sz w:val="20"/>
          <w:szCs w:val="20"/>
          <w:color w:val="auto"/>
        </w:rPr>
      </w:pPr>
    </w:p>
    <w:p>
      <w:pPr>
        <w:ind w:firstLine="245"/>
        <w:spacing w:after="0" w:line="236" w:lineRule="auto"/>
        <w:rPr>
          <w:sz w:val="20"/>
          <w:szCs w:val="20"/>
          <w:color w:val="auto"/>
        </w:rPr>
      </w:pPr>
      <w:r>
        <w:rPr>
          <w:rFonts w:ascii="Times New Roman" w:cs="Times New Roman" w:eastAsia="Times New Roman" w:hAnsi="Times New Roman"/>
          <w:sz w:val="20"/>
          <w:szCs w:val="20"/>
          <w:color w:val="4C4C4E"/>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ectPr>
          <w:pgSz w:w="11880" w:h="15480" w:orient="portrait"/>
          <w:cols w:equalWidth="0" w:num="1">
            <w:col w:w="10660"/>
          </w:cols>
          <w:pgMar w:left="680" w:top="750" w:right="54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31</w:t>
      </w:r>
    </w:p>
    <w:p>
      <w:pPr>
        <w:sectPr>
          <w:pgSz w:w="11880" w:h="15480" w:orient="portrait"/>
          <w:cols w:equalWidth="0" w:num="1">
            <w:col w:w="10660"/>
          </w:cols>
          <w:pgMar w:left="680" w:top="750" w:right="540" w:bottom="0" w:gutter="0" w:footer="0" w:header="0"/>
          <w:type w:val="continuous"/>
        </w:sectPr>
      </w:pPr>
    </w:p>
    <w:bookmarkStart w:id="31" w:name="page32"/>
    <w:bookmarkEnd w:id="31"/>
    <w:p>
      <w:pPr>
        <w:ind w:right="100" w:firstLine="245"/>
        <w:spacing w:after="0" w:line="238" w:lineRule="auto"/>
        <w:rPr>
          <w:sz w:val="20"/>
          <w:szCs w:val="20"/>
          <w:color w:val="auto"/>
        </w:rPr>
      </w:pPr>
      <w:r>
        <w:rPr>
          <w:rFonts w:ascii="Times New Roman" w:cs="Times New Roman" w:eastAsia="Times New Roman" w:hAnsi="Times New Roman"/>
          <w:sz w:val="20"/>
          <w:szCs w:val="20"/>
          <w:color w:val="4C4C4E"/>
        </w:rPr>
        <w:t>As a result, you may face increased investment risk. We may not be able to implement our strategy to utilize additional leverage successfully. See “</w:t>
      </w:r>
      <w:r>
        <w:rPr>
          <w:rFonts w:ascii="Times New Roman" w:cs="Times New Roman" w:eastAsia="Times New Roman" w:hAnsi="Times New Roman"/>
          <w:sz w:val="20"/>
          <w:szCs w:val="20"/>
          <w:b w:val="1"/>
          <w:bCs w:val="1"/>
          <w:color w:val="4C4C4E"/>
        </w:rPr>
        <w:t>—</w:t>
      </w:r>
      <w:r>
        <w:rPr>
          <w:rFonts w:ascii="Times New Roman" w:cs="Times New Roman" w:eastAsia="Times New Roman" w:hAnsi="Times New Roman"/>
          <w:sz w:val="20"/>
          <w:szCs w:val="20"/>
          <w:i w:val="1"/>
          <w:iCs w:val="1"/>
          <w:color w:val="4C4C4E"/>
        </w:rPr>
        <w:t>We operate in a highly competitive market for investment opportunities</w:t>
      </w:r>
      <w:r>
        <w:rPr>
          <w:rFonts w:ascii="Times New Roman" w:cs="Times New Roman" w:eastAsia="Times New Roman" w:hAnsi="Times New Roman"/>
          <w:sz w:val="20"/>
          <w:szCs w:val="20"/>
          <w:color w:val="4C4C4E"/>
        </w:rPr>
        <w:t>.” Any impact on returns or equity or our business associated with additional leverage may not outweigh the additional risk. See “</w:t>
      </w:r>
      <w:r>
        <w:rPr>
          <w:rFonts w:ascii="Times New Roman" w:cs="Times New Roman" w:eastAsia="Times New Roman" w:hAnsi="Times New Roman"/>
          <w:sz w:val="20"/>
          <w:szCs w:val="20"/>
          <w:b w:val="1"/>
          <w:bCs w:val="1"/>
          <w:color w:val="4C4C4E"/>
        </w:rPr>
        <w:t>—</w:t>
      </w:r>
      <w:r>
        <w:rPr>
          <w:rFonts w:ascii="Times New Roman" w:cs="Times New Roman" w:eastAsia="Times New Roman" w:hAnsi="Times New Roman"/>
          <w:sz w:val="20"/>
          <w:szCs w:val="20"/>
          <w:i w:val="1"/>
          <w:iCs w:val="1"/>
          <w:color w:val="4C4C4E"/>
        </w:rPr>
        <w:t>We borrow money, which magnifies</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the potential for gain or loss and increases the risk of investing in us.</w:t>
      </w:r>
      <w:r>
        <w:rPr>
          <w:rFonts w:ascii="Times New Roman" w:cs="Times New Roman" w:eastAsia="Times New Roman" w:hAnsi="Times New Roman"/>
          <w:sz w:val="20"/>
          <w:szCs w:val="20"/>
          <w:color w:val="4C4C4E"/>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may default under our future credit facilities.</w:t>
      </w:r>
    </w:p>
    <w:p>
      <w:pPr>
        <w:spacing w:after="0" w:line="107" w:lineRule="exact"/>
        <w:rPr>
          <w:sz w:val="20"/>
          <w:szCs w:val="20"/>
          <w:color w:val="auto"/>
        </w:rPr>
      </w:pPr>
    </w:p>
    <w:p>
      <w:pPr>
        <w:ind w:right="80" w:firstLine="245"/>
        <w:spacing w:after="0" w:line="233" w:lineRule="auto"/>
        <w:rPr>
          <w:sz w:val="20"/>
          <w:szCs w:val="20"/>
          <w:color w:val="auto"/>
        </w:rPr>
      </w:pPr>
      <w:r>
        <w:rPr>
          <w:rFonts w:ascii="Times New Roman" w:cs="Times New Roman" w:eastAsia="Times New Roman" w:hAnsi="Times New Roman"/>
          <w:sz w:val="20"/>
          <w:szCs w:val="20"/>
          <w:color w:val="4C4C4E"/>
        </w:rPr>
        <w:t>In the event we default under a credit facility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credit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Provisions in a credit facility may limit our investment discretion.</w:t>
      </w:r>
    </w:p>
    <w:p>
      <w:pPr>
        <w:spacing w:after="0" w:line="107" w:lineRule="exact"/>
        <w:rPr>
          <w:sz w:val="20"/>
          <w:szCs w:val="20"/>
          <w:color w:val="auto"/>
        </w:rPr>
      </w:pPr>
    </w:p>
    <w:p>
      <w:pPr>
        <w:ind w:firstLine="245"/>
        <w:spacing w:after="0" w:line="231" w:lineRule="auto"/>
        <w:rPr>
          <w:sz w:val="20"/>
          <w:szCs w:val="20"/>
          <w:color w:val="auto"/>
        </w:rPr>
      </w:pPr>
      <w:r>
        <w:rPr>
          <w:rFonts w:ascii="Times New Roman" w:cs="Times New Roman" w:eastAsia="Times New Roman" w:hAnsi="Times New Roman"/>
          <w:sz w:val="20"/>
          <w:szCs w:val="20"/>
          <w:color w:val="4C4C4E"/>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72" w:lineRule="exact"/>
        <w:rPr>
          <w:sz w:val="20"/>
          <w:szCs w:val="20"/>
          <w:color w:val="auto"/>
        </w:rPr>
      </w:pPr>
    </w:p>
    <w:p>
      <w:pPr>
        <w:ind w:right="100" w:firstLine="245"/>
        <w:spacing w:after="0" w:line="233" w:lineRule="auto"/>
        <w:rPr>
          <w:sz w:val="20"/>
          <w:szCs w:val="20"/>
          <w:color w:val="auto"/>
        </w:rPr>
      </w:pPr>
      <w:r>
        <w:rPr>
          <w:rFonts w:ascii="Times New Roman" w:cs="Times New Roman" w:eastAsia="Times New Roman" w:hAnsi="Times New Roman"/>
          <w:sz w:val="20"/>
          <w:szCs w:val="20"/>
          <w:color w:val="4C4C4E"/>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 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73" w:lineRule="exact"/>
        <w:rPr>
          <w:sz w:val="20"/>
          <w:szCs w:val="20"/>
          <w:color w:val="auto"/>
        </w:rPr>
      </w:pPr>
    </w:p>
    <w:p>
      <w:pPr>
        <w:ind w:right="20" w:firstLine="245"/>
        <w:spacing w:after="0" w:line="232" w:lineRule="auto"/>
        <w:rPr>
          <w:sz w:val="20"/>
          <w:szCs w:val="20"/>
          <w:color w:val="auto"/>
        </w:rPr>
      </w:pPr>
      <w:r>
        <w:rPr>
          <w:rFonts w:ascii="Times New Roman" w:cs="Times New Roman" w:eastAsia="Times New Roman" w:hAnsi="Times New Roman"/>
          <w:sz w:val="20"/>
          <w:szCs w:val="20"/>
          <w:color w:val="4C4C4E"/>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31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4C4C4E"/>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49" w:lineRule="exact"/>
        <w:rPr>
          <w:sz w:val="20"/>
          <w:szCs w:val="20"/>
          <w:color w:val="auto"/>
        </w:rPr>
      </w:pPr>
    </w:p>
    <w:p>
      <w:pPr>
        <w:ind w:right="20" w:firstLine="245"/>
        <w:spacing w:after="0" w:line="243" w:lineRule="auto"/>
        <w:rPr>
          <w:sz w:val="20"/>
          <w:szCs w:val="20"/>
          <w:color w:val="auto"/>
        </w:rPr>
      </w:pPr>
      <w:r>
        <w:rPr>
          <w:rFonts w:ascii="Times New Roman" w:cs="Times New Roman" w:eastAsia="Times New Roman" w:hAnsi="Times New Roman"/>
          <w:sz w:val="19"/>
          <w:szCs w:val="19"/>
          <w:color w:val="4C4C4E"/>
        </w:rPr>
        <w:t>We may indirectly invest in broadly syndicated first lien senior secured loans, financed with long- term, non-mark-to-market, and predominantly investment grade rated CLO debt through joint ventures, partnerships or other special purpose vehicles (“Investment Vehicles”), including SCP. Investments in structured credit vehicles, including equity and junior debt instruments issued by CLOs, involve risks, including credit risk and market risk. Changes in interest rates and credit quality may cause significant price fluctuations. Additionally, changes in the underlying leveraged corporate loans held by a CLO may cause payments on the instruments that we indirectly hold to be reduced, either temporarily or permanently. Structured credit investments, particularly the subordinated interests in which we intend to invest, may be less liquid than many other types of securities and may be more volatile than the leveraged corporate loans underlying the CLOs we intend to target. Fluctuations in interest rates may also cause payments on the tranches of CLOs that we hold to be reduced, either temporarily or permanently. In addition, if we are to invest in an Investment Vehicle, we may be required to rely on our partners in the Investment Vehicle when making decisions regarding such</w:t>
      </w:r>
    </w:p>
    <w:p>
      <w:pPr>
        <w:sectPr>
          <w:pgSz w:w="11880" w:h="15480" w:orient="portrait"/>
          <w:cols w:equalWidth="0" w:num="1">
            <w:col w:w="10600"/>
          </w:cols>
          <w:pgMar w:left="680" w:top="73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C4C4E"/>
        </w:rPr>
        <w:t>32</w:t>
      </w:r>
    </w:p>
    <w:p>
      <w:pPr>
        <w:sectPr>
          <w:pgSz w:w="11880" w:h="15480" w:orient="portrait"/>
          <w:cols w:equalWidth="0" w:num="1">
            <w:col w:w="10600"/>
          </w:cols>
          <w:pgMar w:left="680" w:top="739" w:right="600" w:bottom="0" w:gutter="0" w:footer="0" w:header="0"/>
          <w:type w:val="continuous"/>
        </w:sectPr>
      </w:pPr>
    </w:p>
    <w:bookmarkStart w:id="32" w:name="page33"/>
    <w:bookmarkEnd w:id="32"/>
    <w:p>
      <w:pPr>
        <w:ind w:right="180"/>
        <w:spacing w:after="0" w:line="263" w:lineRule="auto"/>
        <w:rPr>
          <w:sz w:val="20"/>
          <w:szCs w:val="20"/>
          <w:color w:val="auto"/>
        </w:rPr>
      </w:pPr>
      <w:r>
        <w:rPr>
          <w:rFonts w:ascii="Times New Roman" w:cs="Times New Roman" w:eastAsia="Times New Roman" w:hAnsi="Times New Roman"/>
          <w:sz w:val="20"/>
          <w:szCs w:val="20"/>
          <w:color w:val="4C4C4E"/>
        </w:rPr>
        <w:t>Investment Vehicle’s investments, and accordingly, the value of the investment could be adversely affected if our interests diverge from those of our partners in the Investment Vehicle.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operate in a highly competitive market for investment opportunities.</w:t>
      </w:r>
    </w:p>
    <w:p>
      <w:pPr>
        <w:spacing w:after="0" w:line="107" w:lineRule="exact"/>
        <w:rPr>
          <w:sz w:val="20"/>
          <w:szCs w:val="20"/>
          <w:color w:val="auto"/>
        </w:rPr>
      </w:pPr>
    </w:p>
    <w:p>
      <w:pPr>
        <w:ind w:right="300" w:firstLine="245"/>
        <w:spacing w:after="0" w:line="232" w:lineRule="auto"/>
        <w:rPr>
          <w:sz w:val="20"/>
          <w:szCs w:val="20"/>
          <w:color w:val="auto"/>
        </w:rPr>
      </w:pPr>
      <w:r>
        <w:rPr>
          <w:rFonts w:ascii="Times New Roman" w:cs="Times New Roman" w:eastAsia="Times New Roman" w:hAnsi="Times New Roman"/>
          <w:sz w:val="20"/>
          <w:szCs w:val="20"/>
          <w:color w:val="4C4C4E"/>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97" w:lineRule="exact"/>
        <w:rPr>
          <w:sz w:val="20"/>
          <w:szCs w:val="20"/>
          <w:color w:val="auto"/>
        </w:rPr>
      </w:pPr>
    </w:p>
    <w:p>
      <w:pPr>
        <w:ind w:right="40" w:firstLine="245"/>
        <w:spacing w:after="0" w:line="237" w:lineRule="auto"/>
        <w:rPr>
          <w:sz w:val="20"/>
          <w:szCs w:val="20"/>
          <w:color w:val="auto"/>
        </w:rPr>
      </w:pPr>
      <w:r>
        <w:rPr>
          <w:rFonts w:ascii="Times New Roman" w:cs="Times New Roman" w:eastAsia="Times New Roman" w:hAnsi="Times New Roman"/>
          <w:sz w:val="20"/>
          <w:szCs w:val="20"/>
          <w:color w:val="4C4C4E"/>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32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20"/>
          <w:szCs w:val="20"/>
          <w:b w:val="1"/>
          <w:bCs w:val="1"/>
          <w:i w:val="1"/>
          <w:iCs w:val="1"/>
          <w:color w:val="4C4C4E"/>
        </w:rPr>
        <w:t>If we are unable to source investments, access financing or manage future growth effectively, we may be unable to achieve our investment objective.</w:t>
      </w:r>
    </w:p>
    <w:p>
      <w:pPr>
        <w:spacing w:after="0" w:line="49" w:lineRule="exact"/>
        <w:rPr>
          <w:sz w:val="20"/>
          <w:szCs w:val="20"/>
          <w:color w:val="auto"/>
        </w:rPr>
      </w:pPr>
    </w:p>
    <w:p>
      <w:pPr>
        <w:ind w:firstLine="245"/>
        <w:spacing w:after="0" w:line="235" w:lineRule="auto"/>
        <w:rPr>
          <w:sz w:val="20"/>
          <w:szCs w:val="20"/>
          <w:color w:val="auto"/>
        </w:rPr>
      </w:pPr>
      <w:r>
        <w:rPr>
          <w:rFonts w:ascii="Times New Roman" w:cs="Times New Roman" w:eastAsia="Times New Roman" w:hAnsi="Times New Roman"/>
          <w:sz w:val="20"/>
          <w:szCs w:val="20"/>
          <w:color w:val="4C4C4E"/>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202"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4C4C4E"/>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31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20"/>
          <w:szCs w:val="20"/>
          <w:b w:val="1"/>
          <w:bCs w:val="1"/>
          <w:i w:val="1"/>
          <w:iCs w:val="1"/>
          <w:color w:val="4C4C4E"/>
        </w:rPr>
        <w:t>Even in the event the value of your investment declines, the Management Fee and, in certain circumstances, the Incentive Fee will still be payable to the Adviser.</w:t>
      </w:r>
    </w:p>
    <w:p>
      <w:pPr>
        <w:spacing w:after="0" w:line="49" w:lineRule="exact"/>
        <w:rPr>
          <w:sz w:val="20"/>
          <w:szCs w:val="20"/>
          <w:color w:val="auto"/>
        </w:rPr>
      </w:pPr>
    </w:p>
    <w:p>
      <w:pPr>
        <w:ind w:right="40" w:firstLine="245"/>
        <w:spacing w:after="0" w:line="236" w:lineRule="auto"/>
        <w:rPr>
          <w:sz w:val="20"/>
          <w:szCs w:val="20"/>
          <w:color w:val="auto"/>
        </w:rPr>
      </w:pPr>
      <w:r>
        <w:rPr>
          <w:rFonts w:ascii="Times New Roman" w:cs="Times New Roman" w:eastAsia="Times New Roman" w:hAnsi="Times New Roman"/>
          <w:sz w:val="20"/>
          <w:szCs w:val="20"/>
          <w:color w:val="4C4C4E"/>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200" w:lineRule="exact"/>
        <w:rPr>
          <w:sz w:val="20"/>
          <w:szCs w:val="20"/>
          <w:color w:val="auto"/>
        </w:rPr>
      </w:pPr>
    </w:p>
    <w:p>
      <w:pPr>
        <w:ind w:firstLine="245"/>
        <w:spacing w:after="0" w:line="235" w:lineRule="auto"/>
        <w:rPr>
          <w:sz w:val="20"/>
          <w:szCs w:val="20"/>
          <w:color w:val="auto"/>
        </w:rPr>
      </w:pPr>
      <w:r>
        <w:rPr>
          <w:rFonts w:ascii="Times New Roman" w:cs="Times New Roman" w:eastAsia="Times New Roman" w:hAnsi="Times New Roman"/>
          <w:sz w:val="20"/>
          <w:szCs w:val="20"/>
          <w:color w:val="4C4C4E"/>
        </w:rPr>
        <w:t>The Incentive Fee is calculated as a percentage of pre -Incentive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97" w:lineRule="exact"/>
        <w:rPr>
          <w:sz w:val="20"/>
          <w:szCs w:val="20"/>
          <w:color w:val="auto"/>
        </w:rPr>
      </w:pPr>
    </w:p>
    <w:p>
      <w:pPr>
        <w:jc w:val="both"/>
        <w:ind w:right="140" w:firstLine="245"/>
        <w:spacing w:after="0" w:line="248" w:lineRule="auto"/>
        <w:rPr>
          <w:sz w:val="20"/>
          <w:szCs w:val="20"/>
          <w:color w:val="auto"/>
        </w:rPr>
      </w:pPr>
      <w:r>
        <w:rPr>
          <w:rFonts w:ascii="Times New Roman" w:cs="Times New Roman" w:eastAsia="Times New Roman" w:hAnsi="Times New Roman"/>
          <w:sz w:val="20"/>
          <w:szCs w:val="20"/>
          <w:color w:val="4C4C4E"/>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w:t>
      </w:r>
    </w:p>
    <w:p>
      <w:pPr>
        <w:sectPr>
          <w:pgSz w:w="11880" w:h="15480" w:orient="portrait"/>
          <w:cols w:equalWidth="0" w:num="1">
            <w:col w:w="10640"/>
          </w:cols>
          <w:pgMar w:left="680" w:top="739" w:right="560" w:bottom="0" w:gutter="0" w:footer="0" w:header="0"/>
        </w:sectPr>
      </w:pP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33</w:t>
      </w:r>
    </w:p>
    <w:p>
      <w:pPr>
        <w:sectPr>
          <w:pgSz w:w="11880" w:h="15480" w:orient="portrait"/>
          <w:cols w:equalWidth="0" w:num="1">
            <w:col w:w="10640"/>
          </w:cols>
          <w:pgMar w:left="680" w:top="739" w:right="560" w:bottom="0" w:gutter="0" w:footer="0" w:header="0"/>
          <w:type w:val="continuous"/>
        </w:sectPr>
      </w:pPr>
    </w:p>
    <w:bookmarkStart w:id="33" w:name="page34"/>
    <w:bookmarkEnd w:id="33"/>
    <w:p>
      <w:pPr>
        <w:ind w:right="120"/>
        <w:spacing w:after="0" w:line="267" w:lineRule="auto"/>
        <w:rPr>
          <w:sz w:val="20"/>
          <w:szCs w:val="20"/>
          <w:color w:val="auto"/>
        </w:rPr>
      </w:pPr>
      <w:r>
        <w:rPr>
          <w:rFonts w:ascii="Times New Roman" w:cs="Times New Roman" w:eastAsia="Times New Roman" w:hAnsi="Times New Roman"/>
          <w:sz w:val="20"/>
          <w:szCs w:val="20"/>
          <w:color w:val="4C4C4E"/>
        </w:rPr>
        <w:t>capital losses on the remaining investments in our portfolio during subsequent years. Incentive Fees earned in prior years cannot be clawed back even if we later incur losses.</w:t>
      </w:r>
    </w:p>
    <w:p>
      <w:pPr>
        <w:spacing w:after="0" w:line="177"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4C4C4E"/>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3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To the extent that we do not realize income or choose not to retain after-tax realized net capital gains, we will have a greater need for additional capital to fund our investments and operating expenses.</w:t>
      </w:r>
    </w:p>
    <w:p>
      <w:pPr>
        <w:spacing w:after="0" w:line="49"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4C4C4E"/>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322"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We will be subject to corporate-level U.S. federal income tax if we are unable to maintain our qualification as a RIC under Subchapter M of the Code, including as a result of our failure to satisfy the RIC distribution requirements.</w:t>
      </w:r>
    </w:p>
    <w:p>
      <w:pPr>
        <w:spacing w:after="0" w:line="49"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20"/>
          <w:szCs w:val="20"/>
          <w:color w:val="4C4C4E"/>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91" w:lineRule="exact"/>
        <w:rPr>
          <w:sz w:val="20"/>
          <w:szCs w:val="20"/>
          <w:color w:val="auto"/>
        </w:rPr>
      </w:pPr>
    </w:p>
    <w:p>
      <w:pPr>
        <w:ind w:left="500" w:right="100" w:hanging="251"/>
        <w:spacing w:after="0" w:line="276" w:lineRule="auto"/>
        <w:tabs>
          <w:tab w:leader="none" w:pos="500" w:val="left"/>
        </w:tabs>
        <w:numPr>
          <w:ilvl w:val="0"/>
          <w:numId w:val="38"/>
        </w:numPr>
        <w:rPr>
          <w:rFonts w:ascii="Arial" w:cs="Arial" w:eastAsia="Arial" w:hAnsi="Arial"/>
          <w:sz w:val="20"/>
          <w:szCs w:val="20"/>
          <w:color w:val="4C4C4E"/>
        </w:rPr>
      </w:pPr>
      <w:r>
        <w:rPr>
          <w:rFonts w:ascii="Times New Roman" w:cs="Times New Roman" w:eastAsia="Times New Roman" w:hAnsi="Times New Roman"/>
          <w:sz w:val="20"/>
          <w:szCs w:val="20"/>
          <w:color w:val="4C4C4E"/>
        </w:rPr>
        <w:t>We must distribute (or be treated as distributing) dividends for tax purposes in each taxable year equal to at least 90% of each of:</w:t>
      </w:r>
    </w:p>
    <w:p>
      <w:pPr>
        <w:spacing w:after="0" w:line="64" w:lineRule="exact"/>
        <w:rPr>
          <w:rFonts w:ascii="Arial" w:cs="Arial" w:eastAsia="Arial" w:hAnsi="Arial"/>
          <w:sz w:val="20"/>
          <w:szCs w:val="20"/>
          <w:color w:val="4C4C4E"/>
        </w:rPr>
      </w:pPr>
    </w:p>
    <w:p>
      <w:pPr>
        <w:ind w:left="500" w:right="140" w:hanging="251"/>
        <w:spacing w:after="0" w:line="276" w:lineRule="auto"/>
        <w:tabs>
          <w:tab w:leader="none" w:pos="500" w:val="left"/>
        </w:tabs>
        <w:numPr>
          <w:ilvl w:val="0"/>
          <w:numId w:val="38"/>
        </w:numPr>
        <w:rPr>
          <w:rFonts w:ascii="Arial" w:cs="Arial" w:eastAsia="Arial" w:hAnsi="Arial"/>
          <w:sz w:val="20"/>
          <w:szCs w:val="20"/>
          <w:color w:val="4C4C4E"/>
        </w:rPr>
      </w:pPr>
      <w:r>
        <w:rPr>
          <w:rFonts w:ascii="Times New Roman" w:cs="Times New Roman" w:eastAsia="Times New Roman" w:hAnsi="Times New Roman"/>
          <w:sz w:val="20"/>
          <w:szCs w:val="20"/>
          <w:color w:val="4C4C4E"/>
        </w:rPr>
        <w:t>the sum of our net ordinary income and realized net short-term capital gains in excess of realized net long-term capital losses or, investment company taxable income, if any, for that taxable year; and</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38"/>
        </w:numPr>
        <w:rPr>
          <w:rFonts w:ascii="Arial" w:cs="Arial" w:eastAsia="Arial" w:hAnsi="Arial"/>
          <w:sz w:val="20"/>
          <w:szCs w:val="20"/>
          <w:color w:val="4C4C4E"/>
        </w:rPr>
      </w:pPr>
      <w:r>
        <w:rPr>
          <w:rFonts w:ascii="Times New Roman" w:cs="Times New Roman" w:eastAsia="Times New Roman" w:hAnsi="Times New Roman"/>
          <w:sz w:val="20"/>
          <w:szCs w:val="20"/>
          <w:color w:val="4C4C4E"/>
        </w:rPr>
        <w:t>our net tax-exempt income for that taxable year.</w:t>
      </w:r>
    </w:p>
    <w:p>
      <w:pPr>
        <w:spacing w:after="0" w:line="239" w:lineRule="exact"/>
        <w:rPr>
          <w:sz w:val="20"/>
          <w:szCs w:val="20"/>
          <w:color w:val="auto"/>
        </w:rPr>
      </w:pPr>
    </w:p>
    <w:p>
      <w:pPr>
        <w:ind w:right="260" w:firstLine="245"/>
        <w:spacing w:after="0" w:line="249" w:lineRule="auto"/>
        <w:rPr>
          <w:sz w:val="20"/>
          <w:szCs w:val="20"/>
          <w:color w:val="auto"/>
        </w:rPr>
      </w:pPr>
      <w:r>
        <w:rPr>
          <w:rFonts w:ascii="Times New Roman" w:cs="Times New Roman" w:eastAsia="Times New Roman" w:hAnsi="Times New Roman"/>
          <w:sz w:val="20"/>
          <w:szCs w:val="20"/>
          <w:color w:val="4C4C4E"/>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91" w:lineRule="exact"/>
        <w:rPr>
          <w:sz w:val="20"/>
          <w:szCs w:val="20"/>
          <w:color w:val="auto"/>
        </w:rPr>
      </w:pPr>
    </w:p>
    <w:p>
      <w:pPr>
        <w:ind w:left="500" w:right="20" w:hanging="251"/>
        <w:spacing w:after="0" w:line="276" w:lineRule="auto"/>
        <w:tabs>
          <w:tab w:leader="none" w:pos="500" w:val="left"/>
        </w:tabs>
        <w:numPr>
          <w:ilvl w:val="0"/>
          <w:numId w:val="39"/>
        </w:numPr>
        <w:rPr>
          <w:rFonts w:ascii="Arial" w:cs="Arial" w:eastAsia="Arial" w:hAnsi="Arial"/>
          <w:sz w:val="20"/>
          <w:szCs w:val="20"/>
          <w:color w:val="4C4C4E"/>
        </w:rPr>
      </w:pPr>
      <w:r>
        <w:rPr>
          <w:rFonts w:ascii="Times New Roman" w:cs="Times New Roman" w:eastAsia="Times New Roman" w:hAnsi="Times New Roman"/>
          <w:sz w:val="20"/>
          <w:szCs w:val="20"/>
          <w:color w:val="4C4C4E"/>
        </w:rPr>
        <w:t>We must derive at least 90% of our gross income for each taxable year from dividends, interest, gains from the sale of or other disposition of stock or securities or similar sources.</w:t>
      </w:r>
    </w:p>
    <w:p>
      <w:pPr>
        <w:spacing w:after="0" w:line="64" w:lineRule="exact"/>
        <w:rPr>
          <w:rFonts w:ascii="Arial" w:cs="Arial" w:eastAsia="Arial" w:hAnsi="Arial"/>
          <w:sz w:val="20"/>
          <w:szCs w:val="20"/>
          <w:color w:val="4C4C4E"/>
        </w:rPr>
      </w:pPr>
    </w:p>
    <w:p>
      <w:pPr>
        <w:ind w:left="500" w:right="220" w:hanging="251"/>
        <w:spacing w:after="0" w:line="252" w:lineRule="auto"/>
        <w:tabs>
          <w:tab w:leader="none" w:pos="500" w:val="left"/>
        </w:tabs>
        <w:numPr>
          <w:ilvl w:val="0"/>
          <w:numId w:val="39"/>
        </w:numPr>
        <w:rPr>
          <w:rFonts w:ascii="Arial" w:cs="Arial" w:eastAsia="Arial" w:hAnsi="Arial"/>
          <w:sz w:val="20"/>
          <w:szCs w:val="20"/>
          <w:color w:val="4C4C4E"/>
        </w:rPr>
      </w:pPr>
      <w:r>
        <w:rPr>
          <w:rFonts w:ascii="Times New Roman" w:cs="Times New Roman" w:eastAsia="Times New Roman" w:hAnsi="Times New Roman"/>
          <w:sz w:val="20"/>
          <w:szCs w:val="20"/>
          <w:color w:val="4C4C4E"/>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93" w:lineRule="exact"/>
        <w:rPr>
          <w:sz w:val="20"/>
          <w:szCs w:val="20"/>
          <w:color w:val="auto"/>
        </w:rPr>
      </w:pPr>
    </w:p>
    <w:p>
      <w:pPr>
        <w:ind w:right="300" w:firstLine="245"/>
        <w:spacing w:after="0" w:line="277" w:lineRule="auto"/>
        <w:rPr>
          <w:sz w:val="20"/>
          <w:szCs w:val="20"/>
          <w:color w:val="auto"/>
        </w:rPr>
      </w:pPr>
      <w:r>
        <w:rPr>
          <w:rFonts w:ascii="Times New Roman" w:cs="Times New Roman" w:eastAsia="Times New Roman" w:hAnsi="Times New Roman"/>
          <w:sz w:val="20"/>
          <w:szCs w:val="20"/>
          <w:color w:val="4C4C4E"/>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ectPr>
          <w:pgSz w:w="11880" w:h="15480" w:orient="portrait"/>
          <w:cols w:equalWidth="0" w:num="1">
            <w:col w:w="10640"/>
          </w:cols>
          <w:pgMar w:left="680" w:top="74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34</w:t>
      </w:r>
    </w:p>
    <w:p>
      <w:pPr>
        <w:sectPr>
          <w:pgSz w:w="11880" w:h="15480" w:orient="portrait"/>
          <w:cols w:equalWidth="0" w:num="1">
            <w:col w:w="10640"/>
          </w:cols>
          <w:pgMar w:left="680" w:top="742" w:right="560" w:bottom="0" w:gutter="0" w:footer="0" w:header="0"/>
          <w:type w:val="continuous"/>
        </w:sectPr>
      </w:pPr>
    </w:p>
    <w:bookmarkStart w:id="34" w:name="page35"/>
    <w:bookmarkEnd w:id="34"/>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We can be expected to retain some income and capital gains in excess of what is permissible for excise tax purposes and such amounts will be subject to 4% U.S. federal excise tax.</w:t>
      </w:r>
    </w:p>
    <w:p>
      <w:pPr>
        <w:spacing w:after="0" w:line="49"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4C4C4E"/>
        </w:rPr>
        <w:t>As of December 31, 2025 and December 31, 2024, we elected to retain approximately $114.7 million and $116.2 million of taxable income and capital gains, respectively, in order to provide us with additional liquidity and we recorded an expense of $5.3 million and $3.8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20"/>
          <w:szCs w:val="20"/>
          <w:i w:val="1"/>
          <w:iCs w:val="1"/>
          <w:color w:val="4C4C4E"/>
        </w:rPr>
        <w:t>ITEM 1. BUSINESS—Regulation as a Business Development Company—Regulated Investment</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Company Classification</w:t>
      </w:r>
      <w:r>
        <w:rPr>
          <w:rFonts w:ascii="Times New Roman" w:cs="Times New Roman" w:eastAsia="Times New Roman" w:hAnsi="Times New Roman"/>
          <w:sz w:val="20"/>
          <w:szCs w:val="20"/>
          <w:color w:val="4C4C4E"/>
        </w:rPr>
        <w:t>” for more information.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are exposed to risks associated with changes in interest rates.</w:t>
      </w:r>
    </w:p>
    <w:p>
      <w:pPr>
        <w:spacing w:after="0" w:line="120" w:lineRule="exact"/>
        <w:rPr>
          <w:sz w:val="20"/>
          <w:szCs w:val="20"/>
          <w:color w:val="auto"/>
        </w:rPr>
      </w:pPr>
    </w:p>
    <w:p>
      <w:pPr>
        <w:ind w:right="100" w:firstLine="245"/>
        <w:spacing w:after="0" w:line="245" w:lineRule="auto"/>
        <w:rPr>
          <w:sz w:val="20"/>
          <w:szCs w:val="20"/>
          <w:color w:val="auto"/>
        </w:rPr>
      </w:pPr>
      <w:r>
        <w:rPr>
          <w:rFonts w:ascii="Times New Roman" w:cs="Times New Roman" w:eastAsia="Times New Roman" w:hAnsi="Times New Roman"/>
          <w:sz w:val="20"/>
          <w:szCs w:val="20"/>
          <w:color w:val="4C4C4E"/>
        </w:rPr>
        <w:t>The majority of our debt investments are based on floating rates, such as Euro Interbank Offer Rate (“EURIBOR”), Term Secured Overnight Financing Rate (“SOFR”), Sterling Overnight Index Average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82"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20"/>
          <w:szCs w:val="20"/>
          <w:color w:val="4C4C4E"/>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80" w:lineRule="exact"/>
        <w:rPr>
          <w:sz w:val="20"/>
          <w:szCs w:val="20"/>
          <w:color w:val="auto"/>
        </w:rPr>
      </w:pPr>
    </w:p>
    <w:p>
      <w:pPr>
        <w:ind w:right="20" w:firstLine="245"/>
        <w:spacing w:after="0" w:line="277" w:lineRule="auto"/>
        <w:rPr>
          <w:sz w:val="20"/>
          <w:szCs w:val="20"/>
          <w:color w:val="auto"/>
        </w:rPr>
      </w:pPr>
      <w:r>
        <w:rPr>
          <w:rFonts w:ascii="Times New Roman" w:cs="Times New Roman" w:eastAsia="Times New Roman" w:hAnsi="Times New Roman"/>
          <w:sz w:val="20"/>
          <w:szCs w:val="20"/>
          <w:color w:val="4C4C4E"/>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49" w:lineRule="exact"/>
        <w:rPr>
          <w:sz w:val="20"/>
          <w:szCs w:val="20"/>
          <w:color w:val="auto"/>
        </w:rPr>
      </w:pPr>
    </w:p>
    <w:p>
      <w:pPr>
        <w:ind w:right="620" w:firstLine="245"/>
        <w:spacing w:after="0" w:line="277" w:lineRule="auto"/>
        <w:rPr>
          <w:sz w:val="20"/>
          <w:szCs w:val="20"/>
          <w:color w:val="auto"/>
        </w:rPr>
      </w:pPr>
      <w:r>
        <w:rPr>
          <w:rFonts w:ascii="Times New Roman" w:cs="Times New Roman" w:eastAsia="Times New Roman" w:hAnsi="Times New Roman"/>
          <w:sz w:val="20"/>
          <w:szCs w:val="20"/>
          <w:color w:val="4C4C4E"/>
        </w:rPr>
        <w:t>We may use interest rate risk management techniques in an effort to limit our exposure to interest rate fluctuations. These techniques may include various interest rate hedging activities to the extent permitted by the 1940 Act.</w:t>
      </w:r>
    </w:p>
    <w:p>
      <w:pPr>
        <w:spacing w:after="0" w:line="49" w:lineRule="exact"/>
        <w:rPr>
          <w:sz w:val="20"/>
          <w:szCs w:val="20"/>
          <w:color w:val="auto"/>
        </w:rPr>
      </w:pPr>
    </w:p>
    <w:p>
      <w:pPr>
        <w:ind w:right="340" w:firstLine="245"/>
        <w:spacing w:after="0" w:line="258" w:lineRule="auto"/>
        <w:rPr>
          <w:sz w:val="20"/>
          <w:szCs w:val="20"/>
          <w:color w:val="auto"/>
        </w:rPr>
      </w:pPr>
      <w:r>
        <w:rPr>
          <w:rFonts w:ascii="Times New Roman" w:cs="Times New Roman" w:eastAsia="Times New Roman" w:hAnsi="Times New Roman"/>
          <w:sz w:val="20"/>
          <w:szCs w:val="20"/>
          <w:color w:val="4C4C4E"/>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68" w:lineRule="exact"/>
        <w:rPr>
          <w:sz w:val="20"/>
          <w:szCs w:val="20"/>
          <w:color w:val="auto"/>
        </w:rPr>
      </w:pPr>
    </w:p>
    <w:p>
      <w:pPr>
        <w:ind w:right="140" w:firstLine="245"/>
        <w:spacing w:after="0" w:line="246" w:lineRule="auto"/>
        <w:rPr>
          <w:sz w:val="20"/>
          <w:szCs w:val="20"/>
          <w:color w:val="auto"/>
        </w:rPr>
      </w:pPr>
      <w:r>
        <w:rPr>
          <w:rFonts w:ascii="Times New Roman" w:cs="Times New Roman" w:eastAsia="Times New Roman" w:hAnsi="Times New Roman"/>
          <w:sz w:val="20"/>
          <w:szCs w:val="20"/>
          <w:color w:val="4C4C4E"/>
        </w:rPr>
        <w:t>U.S. dollar borrowings under our Revolving Credit Facility bear interest at a rate derived from SOFR. SOFR is a relatively new reference rate and has a limited history. The future performance of SOFR cannot be predicted based on its limited historical performance. Since the initial publication of SOFR in April 2018, changes in SOFR have, on occasion, been more volatile than changes in other benchmark or market rates. The use of SOFR is relatively new, and there could be unanticipated difficulties or disruptions with the calculation and publication of SOFR. Additionally, any successor rate to SOFR under our revolving credit facility may not have the same characteristics as SOFR. As a result, the amount of interest we may pay on our revolving credit facility is difficult to predict.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Our Adviser and its affiliates, officers and employees may face certain conflicts of interest.</w:t>
      </w:r>
    </w:p>
    <w:p>
      <w:pPr>
        <w:spacing w:after="0" w:line="120"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4C4C4E"/>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200"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4C4C4E"/>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w:t>
      </w:r>
    </w:p>
    <w:p>
      <w:pPr>
        <w:sectPr>
          <w:pgSz w:w="11880" w:h="15480" w:orient="portrait"/>
          <w:cols w:equalWidth="0" w:num="1">
            <w:col w:w="10600"/>
          </w:cols>
          <w:pgMar w:left="680" w:top="750" w:right="600" w:bottom="0" w:gutter="0" w:footer="0" w:header="0"/>
        </w:sect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C4C4E"/>
        </w:rPr>
        <w:t>35</w:t>
      </w:r>
    </w:p>
    <w:p>
      <w:pPr>
        <w:sectPr>
          <w:pgSz w:w="11880" w:h="15480" w:orient="portrait"/>
          <w:cols w:equalWidth="0" w:num="1">
            <w:col w:w="10600"/>
          </w:cols>
          <w:pgMar w:left="680" w:top="750" w:right="600" w:bottom="0" w:gutter="0" w:footer="0" w:header="0"/>
          <w:type w:val="continuous"/>
        </w:sectPr>
      </w:pPr>
    </w:p>
    <w:bookmarkStart w:id="35" w:name="page36"/>
    <w:bookmarkEnd w:id="35"/>
    <w:p>
      <w:pPr>
        <w:ind w:right="100"/>
        <w:spacing w:after="0" w:line="247" w:lineRule="auto"/>
        <w:rPr>
          <w:sz w:val="20"/>
          <w:szCs w:val="20"/>
          <w:color w:val="auto"/>
        </w:rPr>
      </w:pPr>
      <w:r>
        <w:rPr>
          <w:rFonts w:ascii="Times New Roman" w:cs="Times New Roman" w:eastAsia="Times New Roman" w:hAnsi="Times New Roman"/>
          <w:sz w:val="20"/>
          <w:szCs w:val="20"/>
          <w:color w:val="4C4C4E"/>
        </w:rPr>
        <w:t>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Our ability to enter into transactions with our affiliates is restricted.</w:t>
      </w:r>
    </w:p>
    <w:p>
      <w:pPr>
        <w:spacing w:after="0" w:line="240"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4C4C4E"/>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202"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4C4C4E"/>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97"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88"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4C4C4E"/>
        </w:rPr>
        <w:t>The new order provides us with greater flexibility to participate in co-investment transactions with certain proprietary accounts that are majority-owned by our Adviser or its affiliates. We and our affiliates, including investment funds managed by our affiliates, are only permitted to co-invest in accordance with the terms of the exemptive order or in the limited circumstances otherwise currently permitted by regulatory guidance. We cannot assure you when or whether we will apply for any other exemptive relief in the future and whether such orders will be obtained.</w:t>
      </w:r>
    </w:p>
    <w:p>
      <w:pPr>
        <w:spacing w:after="0" w:line="197"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68"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4C4C4E"/>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202" w:lineRule="exact"/>
        <w:rPr>
          <w:sz w:val="20"/>
          <w:szCs w:val="20"/>
          <w:color w:val="auto"/>
        </w:rPr>
      </w:pPr>
    </w:p>
    <w:p>
      <w:pPr>
        <w:ind w:right="340" w:firstLine="245"/>
        <w:spacing w:after="0" w:line="252" w:lineRule="auto"/>
        <w:rPr>
          <w:sz w:val="20"/>
          <w:szCs w:val="20"/>
          <w:color w:val="auto"/>
        </w:rPr>
      </w:pPr>
      <w:r>
        <w:rPr>
          <w:rFonts w:ascii="Times New Roman" w:cs="Times New Roman" w:eastAsia="Times New Roman" w:hAnsi="Times New Roman"/>
          <w:sz w:val="20"/>
          <w:szCs w:val="20"/>
          <w:color w:val="4C4C4E"/>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94"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4C4C4E"/>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ectPr>
          <w:pgSz w:w="11880" w:h="15480" w:orient="portrait"/>
          <w:cols w:equalWidth="0" w:num="1">
            <w:col w:w="10640"/>
          </w:cols>
          <w:pgMar w:left="680" w:top="750" w:right="560" w:bottom="0" w:gutter="0" w:footer="0" w:header="0"/>
        </w:sect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36</w:t>
      </w:r>
    </w:p>
    <w:p>
      <w:pPr>
        <w:sectPr>
          <w:pgSz w:w="11880" w:h="15480" w:orient="portrait"/>
          <w:cols w:equalWidth="0" w:num="1">
            <w:col w:w="10640"/>
          </w:cols>
          <w:pgMar w:left="680" w:top="750" w:right="560" w:bottom="0" w:gutter="0" w:footer="0" w:header="0"/>
          <w:type w:val="continuous"/>
        </w:sectPr>
      </w:pPr>
    </w:p>
    <w:bookmarkStart w:id="36" w:name="page37"/>
    <w:bookmarkEnd w:id="36"/>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8" w:lineRule="exact"/>
        <w:rPr>
          <w:sz w:val="20"/>
          <w:szCs w:val="20"/>
          <w:color w:val="auto"/>
        </w:rPr>
      </w:pPr>
    </w:p>
    <w:p>
      <w:pPr>
        <w:ind w:right="160" w:firstLine="245"/>
        <w:spacing w:after="0" w:line="245" w:lineRule="auto"/>
        <w:rPr>
          <w:sz w:val="20"/>
          <w:szCs w:val="20"/>
          <w:color w:val="auto"/>
        </w:rPr>
      </w:pPr>
      <w:r>
        <w:rPr>
          <w:rFonts w:ascii="Times New Roman" w:cs="Times New Roman" w:eastAsia="Times New Roman" w:hAnsi="Times New Roman"/>
          <w:sz w:val="20"/>
          <w:szCs w:val="20"/>
          <w:color w:val="4C4C4E"/>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202" w:lineRule="exact"/>
        <w:rPr>
          <w:sz w:val="20"/>
          <w:szCs w:val="20"/>
          <w:color w:val="auto"/>
        </w:rPr>
      </w:pPr>
    </w:p>
    <w:p>
      <w:pPr>
        <w:ind w:right="80" w:firstLine="245"/>
        <w:spacing w:after="0" w:line="243" w:lineRule="auto"/>
        <w:rPr>
          <w:sz w:val="20"/>
          <w:szCs w:val="20"/>
          <w:color w:val="auto"/>
        </w:rPr>
      </w:pPr>
      <w:r>
        <w:rPr>
          <w:rFonts w:ascii="Times New Roman" w:cs="Times New Roman" w:eastAsia="Times New Roman" w:hAnsi="Times New Roman"/>
          <w:sz w:val="20"/>
          <w:szCs w:val="20"/>
          <w:color w:val="4C4C4E"/>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188" w:lineRule="exact"/>
        <w:rPr>
          <w:sz w:val="20"/>
          <w:szCs w:val="20"/>
          <w:color w:val="auto"/>
        </w:rPr>
      </w:pPr>
    </w:p>
    <w:p>
      <w:pPr>
        <w:ind w:right="180" w:firstLine="245"/>
        <w:spacing w:after="0" w:line="252" w:lineRule="auto"/>
        <w:rPr>
          <w:sz w:val="20"/>
          <w:szCs w:val="20"/>
          <w:color w:val="auto"/>
        </w:rPr>
      </w:pPr>
      <w:r>
        <w:rPr>
          <w:rFonts w:ascii="Times New Roman" w:cs="Times New Roman" w:eastAsia="Times New Roman" w:hAnsi="Times New Roman"/>
          <w:sz w:val="20"/>
          <w:szCs w:val="20"/>
          <w:color w:val="4C4C4E"/>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Any failure to maintain our status as a BDC would reduce our operating flexibility.</w:t>
      </w:r>
    </w:p>
    <w:p>
      <w:pPr>
        <w:spacing w:after="0" w:line="120"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4C4C4E"/>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incur significant costs as a result of being a publicly traded company.</w:t>
      </w:r>
    </w:p>
    <w:p>
      <w:pPr>
        <w:spacing w:after="0" w:line="120"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4C4C4E"/>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3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8" w:lineRule="exact"/>
        <w:rPr>
          <w:sz w:val="20"/>
          <w:szCs w:val="20"/>
          <w:color w:val="auto"/>
        </w:rPr>
      </w:pPr>
    </w:p>
    <w:p>
      <w:pPr>
        <w:ind w:right="60" w:firstLine="245"/>
        <w:spacing w:after="0" w:line="247" w:lineRule="auto"/>
        <w:rPr>
          <w:sz w:val="20"/>
          <w:szCs w:val="20"/>
          <w:color w:val="auto"/>
        </w:rPr>
      </w:pPr>
      <w:r>
        <w:rPr>
          <w:rFonts w:ascii="Times New Roman" w:cs="Times New Roman" w:eastAsia="Times New Roman" w:hAnsi="Times New Roman"/>
          <w:sz w:val="20"/>
          <w:szCs w:val="20"/>
          <w:color w:val="4C4C4E"/>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 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w:t>
      </w:r>
    </w:p>
    <w:p>
      <w:pPr>
        <w:sectPr>
          <w:pgSz w:w="11880" w:h="15480" w:orient="portrait"/>
          <w:cols w:equalWidth="0" w:num="1">
            <w:col w:w="10660"/>
          </w:cols>
          <w:pgMar w:left="680" w:top="750" w:right="540" w:bottom="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37</w:t>
      </w:r>
    </w:p>
    <w:p>
      <w:pPr>
        <w:sectPr>
          <w:pgSz w:w="11880" w:h="15480" w:orient="portrait"/>
          <w:cols w:equalWidth="0" w:num="1">
            <w:col w:w="10660"/>
          </w:cols>
          <w:pgMar w:left="680" w:top="750" w:right="540" w:bottom="0" w:gutter="0" w:footer="0" w:header="0"/>
          <w:type w:val="continuous"/>
        </w:sectPr>
      </w:pPr>
    </w:p>
    <w:bookmarkStart w:id="37" w:name="page38"/>
    <w:bookmarkEnd w:id="37"/>
    <w:p>
      <w:pPr>
        <w:ind w:right="160"/>
        <w:spacing w:after="0" w:line="252" w:lineRule="auto"/>
        <w:rPr>
          <w:sz w:val="20"/>
          <w:szCs w:val="20"/>
          <w:color w:val="auto"/>
        </w:rPr>
      </w:pPr>
      <w:r>
        <w:rPr>
          <w:rFonts w:ascii="Times New Roman" w:cs="Times New Roman" w:eastAsia="Times New Roman" w:hAnsi="Times New Roman"/>
          <w:sz w:val="20"/>
          <w:szCs w:val="20"/>
          <w:color w:val="4C4C4E"/>
        </w:rPr>
        <w:t>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may experience fluctuations in our quarterly results.</w:t>
      </w:r>
    </w:p>
    <w:p>
      <w:pPr>
        <w:spacing w:after="0" w:line="120"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4C4C4E"/>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31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Provisions of the General Corporation Law of the State of Delaware and our certificate of incorporation and bylaws could deter takeover attempts and have an adverse effect on the price of our common stock.</w:t>
      </w:r>
    </w:p>
    <w:p>
      <w:pPr>
        <w:spacing w:after="0" w:line="49"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4C4C4E"/>
        </w:rPr>
        <w:t>The General Corporation Law of the State of Delaware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Certain investors are limited in their ability to make significant investments in us.</w:t>
      </w:r>
    </w:p>
    <w:p>
      <w:pPr>
        <w:spacing w:after="0" w:line="12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ectPr>
          <w:pgSz w:w="11880" w:h="15480" w:orient="portrait"/>
          <w:cols w:equalWidth="0" w:num="1">
            <w:col w:w="10640"/>
          </w:cols>
          <w:pgMar w:left="68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38</w:t>
      </w:r>
    </w:p>
    <w:p>
      <w:pPr>
        <w:sectPr>
          <w:pgSz w:w="11880" w:h="15480" w:orient="portrait"/>
          <w:cols w:equalWidth="0" w:num="1">
            <w:col w:w="10640"/>
          </w:cols>
          <w:pgMar w:left="680" w:top="750" w:right="56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4C4C4E"/>
        </w:rPr>
        <w:t>The Company may be restricted from initiating transactions as a result of the receipt of material non-public information.</w:t>
      </w:r>
    </w:p>
    <w:p>
      <w:pPr>
        <w:spacing w:after="0" w:line="120"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20"/>
          <w:szCs w:val="20"/>
          <w:color w:val="4C4C4E"/>
        </w:rPr>
        <w:t>Sixth Street funds and investment platforms regularly obtain non-public information regarding various target companies and other investment opportunities. In general, Sixth Street imputes non-public information received by one investment team within Sixth Street to all other investment professionals. As Sixth Street and affiliated professionals may acquire confidential or material nonpublic information (“MNPI”), the Company and/or other affiliated funds may be restricted from initiating transactions in certain securities, including, as a result of the receipt of MNPI by another investment team or professional within Sixth Street.</w:t>
      </w:r>
    </w:p>
    <w:p>
      <w:pPr>
        <w:spacing w:after="0" w:line="77" w:lineRule="exact"/>
        <w:rPr>
          <w:sz w:val="20"/>
          <w:szCs w:val="20"/>
          <w:color w:val="auto"/>
        </w:rPr>
      </w:pPr>
    </w:p>
    <w:p>
      <w:pPr>
        <w:ind w:firstLine="245"/>
        <w:spacing w:after="0" w:line="277" w:lineRule="auto"/>
        <w:rPr>
          <w:sz w:val="20"/>
          <w:szCs w:val="20"/>
          <w:color w:val="auto"/>
        </w:rPr>
      </w:pPr>
      <w:r>
        <w:rPr>
          <w:rFonts w:ascii="Times New Roman" w:cs="Times New Roman" w:eastAsia="Times New Roman" w:hAnsi="Times New Roman"/>
          <w:sz w:val="20"/>
          <w:szCs w:val="20"/>
          <w:color w:val="4C4C4E"/>
        </w:rPr>
        <w:t>Non-public information received by one investment team within Sixth Street is likely to restrict trading on a firm-wide basis. As a result, the Company may, in certain circumstances, decline to receive non-public information regarding a company.</w:t>
      </w:r>
    </w:p>
    <w:p>
      <w:pPr>
        <w:spacing w:after="0" w:line="49" w:lineRule="exact"/>
        <w:rPr>
          <w:sz w:val="20"/>
          <w:szCs w:val="20"/>
          <w:color w:val="auto"/>
        </w:rPr>
      </w:pPr>
    </w:p>
    <w:p>
      <w:pPr>
        <w:ind w:right="100" w:firstLine="245"/>
        <w:spacing w:after="0" w:line="247" w:lineRule="auto"/>
        <w:rPr>
          <w:sz w:val="20"/>
          <w:szCs w:val="20"/>
          <w:color w:val="auto"/>
        </w:rPr>
      </w:pPr>
      <w:r>
        <w:rPr>
          <w:rFonts w:ascii="Times New Roman" w:cs="Times New Roman" w:eastAsia="Times New Roman" w:hAnsi="Times New Roman"/>
          <w:sz w:val="20"/>
          <w:szCs w:val="20"/>
          <w:color w:val="4C4C4E"/>
        </w:rPr>
        <w:t>Further, non-disclosure agreements associated with transactions (including transactions entered into by other affiliated funds) often contain contractual trading restrictions, including standstill and non-circumvent provisions, which could prevent the Company from acquiring or disposing of investments in an issuer, potentially for extended periods. Such agreements could also restrict the Company's ability to share certain information with stockholders relevant to the Company or its portfolio investments. Separately, certain counterparties may disqualify the Company from transacting with such counterparties or their affiliates as a result of the activities of other businesses of Sixth Street and its affiliates.</w:t>
      </w:r>
    </w:p>
    <w:p>
      <w:pPr>
        <w:spacing w:after="0" w:line="3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68" w:lineRule="exact"/>
        <w:rPr>
          <w:sz w:val="20"/>
          <w:szCs w:val="20"/>
          <w:color w:val="auto"/>
        </w:rPr>
      </w:pPr>
    </w:p>
    <w:p>
      <w:pPr>
        <w:ind w:right="20" w:firstLine="245"/>
        <w:spacing w:after="0" w:line="242" w:lineRule="auto"/>
        <w:rPr>
          <w:sz w:val="20"/>
          <w:szCs w:val="20"/>
          <w:color w:val="auto"/>
        </w:rPr>
      </w:pPr>
      <w:r>
        <w:rPr>
          <w:rFonts w:ascii="Times New Roman" w:cs="Times New Roman" w:eastAsia="Times New Roman" w:hAnsi="Times New Roman"/>
          <w:sz w:val="20"/>
          <w:szCs w:val="20"/>
          <w:color w:val="4C4C4E"/>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210" w:lineRule="exact"/>
        <w:rPr>
          <w:sz w:val="20"/>
          <w:szCs w:val="20"/>
          <w:color w:val="auto"/>
        </w:rPr>
      </w:pPr>
    </w:p>
    <w:p>
      <w:pPr>
        <w:ind w:right="20" w:firstLine="245"/>
        <w:spacing w:after="0" w:line="246" w:lineRule="auto"/>
        <w:rPr>
          <w:sz w:val="20"/>
          <w:szCs w:val="20"/>
          <w:color w:val="auto"/>
        </w:rPr>
      </w:pPr>
      <w:r>
        <w:rPr>
          <w:rFonts w:ascii="Times New Roman" w:cs="Times New Roman" w:eastAsia="Times New Roman" w:hAnsi="Times New Roman"/>
          <w:sz w:val="20"/>
          <w:szCs w:val="20"/>
          <w:color w:val="4C4C4E"/>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w:t>
      </w:r>
    </w:p>
    <w:p>
      <w:pPr>
        <w:spacing w:after="0" w:line="200" w:lineRule="exact"/>
        <w:rPr>
          <w:sz w:val="20"/>
          <w:szCs w:val="20"/>
          <w:color w:val="auto"/>
        </w:rPr>
      </w:pPr>
    </w:p>
    <w:p>
      <w:pPr>
        <w:ind w:right="80" w:firstLine="245"/>
        <w:spacing w:after="0" w:line="247" w:lineRule="auto"/>
        <w:rPr>
          <w:sz w:val="20"/>
          <w:szCs w:val="20"/>
          <w:color w:val="auto"/>
        </w:rPr>
      </w:pPr>
      <w:r>
        <w:rPr>
          <w:rFonts w:ascii="Times New Roman" w:cs="Times New Roman" w:eastAsia="Times New Roman" w:hAnsi="Times New Roman"/>
          <w:sz w:val="20"/>
          <w:szCs w:val="20"/>
          <w:color w:val="4C4C4E"/>
        </w:rPr>
        <w:t>Moreover, cybersecurity has become a regulatory and enforcement priority in many jurisdictions around the world, with many jurisdictions having proposed or already enacted laws requiring companies to provide notifications of certain data security breaches. Privacy and information security laws and regulation changes, and compliance with those changes, and also result in cost increases due to system changes and the development of new administrative processes. The costs of monitoring, interpreting and, where applicable, complying with these laws could have a material adverse effect on the business, results of the operations and financial condition of the Company, Sixth Street and of our portfolio companies.</w:t>
      </w:r>
    </w:p>
    <w:p>
      <w:pPr>
        <w:spacing w:after="0" w:line="200" w:lineRule="exact"/>
        <w:rPr>
          <w:sz w:val="20"/>
          <w:szCs w:val="20"/>
          <w:color w:val="auto"/>
        </w:rPr>
      </w:pPr>
    </w:p>
    <w:p>
      <w:pPr>
        <w:ind w:right="140" w:firstLine="245"/>
        <w:spacing w:after="0" w:line="247" w:lineRule="auto"/>
        <w:rPr>
          <w:sz w:val="20"/>
          <w:szCs w:val="20"/>
          <w:color w:val="auto"/>
        </w:rPr>
      </w:pPr>
      <w:r>
        <w:rPr>
          <w:rFonts w:ascii="Times New Roman" w:cs="Times New Roman" w:eastAsia="Times New Roman" w:hAnsi="Times New Roman"/>
          <w:sz w:val="20"/>
          <w:szCs w:val="20"/>
          <w:color w:val="4C4C4E"/>
        </w:rPr>
        <w:t>Additionally, investments of Sixth Street’s funds, including the Company,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ectPr>
          <w:pgSz w:w="11880" w:h="15480" w:orient="portrait"/>
          <w:cols w:equalWidth="0" w:num="1">
            <w:col w:w="10660"/>
          </w:cols>
          <w:pgMar w:left="680" w:top="750" w:right="540" w:bottom="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39</w:t>
      </w:r>
    </w:p>
    <w:p>
      <w:pPr>
        <w:sectPr>
          <w:pgSz w:w="11880" w:h="15480" w:orient="portrait"/>
          <w:cols w:equalWidth="0" w:num="1">
            <w:col w:w="10660"/>
          </w:cols>
          <w:pgMar w:left="680" w:top="750" w:right="540" w:bottom="0" w:gutter="0" w:footer="0" w:header="0"/>
          <w:type w:val="continuous"/>
        </w:sectPr>
      </w:pPr>
    </w:p>
    <w:bookmarkStart w:id="39" w:name="page40"/>
    <w:bookmarkEnd w:id="39"/>
    <w:p>
      <w:pPr>
        <w:ind w:right="40" w:firstLine="245"/>
        <w:spacing w:after="0" w:line="244" w:lineRule="auto"/>
        <w:rPr>
          <w:sz w:val="20"/>
          <w:szCs w:val="20"/>
          <w:color w:val="auto"/>
        </w:rPr>
      </w:pPr>
      <w:r>
        <w:rPr>
          <w:rFonts w:ascii="Times New Roman" w:cs="Times New Roman" w:eastAsia="Times New Roman" w:hAnsi="Times New Roman"/>
          <w:sz w:val="20"/>
          <w:szCs w:val="20"/>
          <w:color w:val="4C4C4E"/>
        </w:rPr>
        <w:t>A cybersecurity breach may cause the Company to lose proprietary information, suffer data corruption or expose information to misuse. Sensitive information which may be breached in the event of a cybersecurity threat includes, without limitation, information regarding the Company’s investment activities and shareholders. Cybersecurity breaches of Sixth Street’s and the Company’s third-party service providers or portfolio investments may also subject the Company to many of the same risks associated with direct cybersecurity breaches. If such events were to materialize, they could, among other things, (i) lead to losses of sensitive information or capabilities essential to Sixth Street’s, the Company’s, and/or the Company’s portfolio company’s operations, (ii) have a material adverse effect on Sixth Street’s, the Company’s and/or the portfolio company’s reputations, financial positions, results of operations or cash flows, (iii) lead to financial losses from remedial actions, loss of business or potential liability, or (iv) lead to the disclosure of Company shareholders’ personal information or other sensitive information.</w:t>
      </w:r>
    </w:p>
    <w:p>
      <w:pPr>
        <w:spacing w:after="0" w:line="206"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20"/>
          <w:szCs w:val="20"/>
          <w:color w:val="4C4C4E"/>
        </w:rPr>
        <w:t>The failure of these systems and/or of disaster recovery plans for any reason could cause significant interruptions in Sixth Street’s, the Company’s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Company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Our Board may change our investment objective, operating policies and strategies without prior notice or stockholder approval.</w:t>
      </w:r>
    </w:p>
    <w:p>
      <w:pPr>
        <w:spacing w:after="0" w:line="12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4C4C4E"/>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Changes in tax laws may adversely affect our business.</w:t>
      </w:r>
    </w:p>
    <w:p>
      <w:pPr>
        <w:spacing w:after="0" w:line="115" w:lineRule="exact"/>
        <w:rPr>
          <w:sz w:val="20"/>
          <w:szCs w:val="20"/>
          <w:color w:val="auto"/>
        </w:rPr>
      </w:pPr>
    </w:p>
    <w:p>
      <w:pPr>
        <w:ind w:right="40" w:firstLine="245"/>
        <w:spacing w:after="0" w:line="242" w:lineRule="auto"/>
        <w:rPr>
          <w:sz w:val="20"/>
          <w:szCs w:val="20"/>
          <w:color w:val="auto"/>
        </w:rPr>
      </w:pPr>
      <w:r>
        <w:rPr>
          <w:rFonts w:ascii="Times New Roman" w:cs="Times New Roman" w:eastAsia="Times New Roman" w:hAnsi="Times New Roman"/>
          <w:sz w:val="20"/>
          <w:szCs w:val="20"/>
          <w:color w:val="4C4C4E"/>
        </w:rPr>
        <w:t>Legislation has been proposed in the past that could result in significant tax increases and various other changes to U.S. tax rules. It is unclear whether any future legislation will be enacted into law or, if enacted, what form it would take, and it is also unclear whether there could be regulatory or administrative action that could affect U.S. tax rules. The impact of any potential tax changes on an investment in the Company is uncertain. Prospective investors should consult their own tax advisors regarding potential changes in tax laws and the impact on their investment in the Company and the impact on the Company and any potential investments.</w:t>
      </w:r>
    </w:p>
    <w:p>
      <w:pPr>
        <w:spacing w:after="0" w:line="32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20"/>
          <w:szCs w:val="20"/>
          <w:b w:val="1"/>
          <w:bCs w:val="1"/>
          <w:i w:val="1"/>
          <w:iCs w:val="1"/>
          <w:color w:val="4C4C4E"/>
        </w:rPr>
        <w:t>We are subject to risks associated with artificial intelligence, including the application of various forms of artificial intelligence such as machine learning technology.</w:t>
      </w:r>
    </w:p>
    <w:p>
      <w:pPr>
        <w:spacing w:after="0" w:line="49" w:lineRule="exact"/>
        <w:rPr>
          <w:sz w:val="20"/>
          <w:szCs w:val="20"/>
          <w:color w:val="auto"/>
        </w:rPr>
      </w:pPr>
    </w:p>
    <w:p>
      <w:pPr>
        <w:ind w:right="140" w:firstLine="245"/>
        <w:spacing w:after="0" w:line="239" w:lineRule="auto"/>
        <w:rPr>
          <w:sz w:val="20"/>
          <w:szCs w:val="20"/>
          <w:color w:val="auto"/>
        </w:rPr>
      </w:pPr>
      <w:r>
        <w:rPr>
          <w:rFonts w:ascii="Times New Roman" w:cs="Times New Roman" w:eastAsia="Times New Roman" w:hAnsi="Times New Roman"/>
          <w:sz w:val="20"/>
          <w:szCs w:val="20"/>
          <w:color w:val="4C4C4E"/>
        </w:rPr>
        <w:t>Recent technological advances in artificial intelligence, including machine learning technology (“Machine Learning Technology”), pose risks to us and our portfolio companies. We and our portfolio companies could be exposed to the risks of Machine Learning Technology if third-party service providers or any counterparties use Machine Learning Technology in their business activities. We and the Adviser are not in a position to control the use of Machine Learning Technology in third-party products or services. Use of Machine Learning Technology could include the input of confidential information in contravention of applicable policies, contractual or other obligations or restrictions, resulting in such confidential information becoming partly accessible by other third-party Machine Learning Technology applications and users. Machine Learning Technology has the potential to result in significant and disruptive changes in companies, sectors or industries, including those in which we invest, and any such changes could create new and unpredictable operational, legal and/or regulatory risks. Machine Learning Technology and its applications continue to develop rapidly, and we cannot predict the risks that may arise from such developments.</w:t>
      </w:r>
    </w:p>
    <w:p>
      <w:pPr>
        <w:spacing w:after="0" w:line="82"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4C4C4E"/>
        </w:rPr>
        <w:t>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a degree of inaccuracy and error and could otherwise be inadequate or flawed, which would be likely to degrade the effectiveness of Machine Learning Technology. To the extent we or our portfolio companies are exposed to the risks of Machine Learning Technology use, any such inaccuracies or errors could adversely impact us or our portfolio companies.</w:t>
      </w:r>
    </w:p>
    <w:p>
      <w:pPr>
        <w:spacing w:after="0" w:line="80" w:lineRule="exact"/>
        <w:rPr>
          <w:sz w:val="20"/>
          <w:szCs w:val="20"/>
          <w:color w:val="auto"/>
        </w:rPr>
      </w:pPr>
    </w:p>
    <w:p>
      <w:pPr>
        <w:ind w:right="360" w:firstLine="245"/>
        <w:spacing w:after="0" w:line="247" w:lineRule="auto"/>
        <w:rPr>
          <w:sz w:val="20"/>
          <w:szCs w:val="20"/>
          <w:color w:val="auto"/>
        </w:rPr>
      </w:pPr>
      <w:r>
        <w:rPr>
          <w:rFonts w:ascii="Times New Roman" w:cs="Times New Roman" w:eastAsia="Times New Roman" w:hAnsi="Times New Roman"/>
          <w:sz w:val="20"/>
          <w:szCs w:val="20"/>
          <w:color w:val="4C4C4E"/>
        </w:rPr>
        <w:t>In the current period of technological and commercial innovation, startup and other companies have found success disrupting traditional approaches to industry or market practices, and the frequency of such disruptions is expected to increase. Such disruptions could negatively impact us and our investments, alter market practices on which our investment strategy depends to create investment returns, significantly disrupt the market in which we operate or subject us to increased competition.</w:t>
      </w:r>
    </w:p>
    <w:p>
      <w:pPr>
        <w:sectPr>
          <w:pgSz w:w="11880" w:h="15480" w:orient="portrait"/>
          <w:cols w:equalWidth="0" w:num="1">
            <w:col w:w="10640"/>
          </w:cols>
          <w:pgMar w:left="680" w:top="750" w:right="560" w:bottom="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40</w:t>
      </w:r>
    </w:p>
    <w:p>
      <w:pPr>
        <w:sectPr>
          <w:pgSz w:w="11880" w:h="15480" w:orient="portrait"/>
          <w:cols w:equalWidth="0" w:num="1">
            <w:col w:w="10640"/>
          </w:cols>
          <w:pgMar w:left="680" w:top="750" w:right="560" w:bottom="0" w:gutter="0" w:footer="0" w:header="0"/>
          <w:type w:val="continuous"/>
        </w:sectPr>
      </w:pPr>
    </w:p>
    <w:bookmarkStart w:id="40" w:name="page41"/>
    <w:bookmarkEnd w:id="40"/>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Failure or alleged failure to comply with applicable data protection and privacy laws and regulations could subject us to ongoing costs and, in some cases, fines and reputational harm.</w:t>
      </w:r>
    </w:p>
    <w:p>
      <w:pPr>
        <w:spacing w:after="0" w:line="49"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4C4C4E"/>
        </w:rPr>
        <w:t>We and the Adviser and its affiliates are subject to numerous laws and regulations in various jurisdictions relating to privacy and the storage, sharing, use, processing, disclosure and protection of information that we and our affiliates hold. The EU’s General Data Protection Regulation, the Cayman Islands Data Protection Act (2021 Revision), and the California Consumer Privacy Act of 2018, as amended, are recent examples of such laws, and we anticipate new privacy and data protection laws and regulations will be passed in other jurisdictions in the future. For example, the SEC has adopted changes to Regulation S-P, which requires, among other things, that registered investment advisers notify affected individuals of a breach involving their personal information when there has been an incident that rises to the level of being a reportable breach. In general, these laws and regulations introduce many new obligations on us and create new rights for parties who have given any of us their personal information, such as investors and others. The scope of data protection and privacy laws and regulations is rapidly evolving, and such laws and regulations are subject to differing interpretations. Any inability or perceived inability to adequately address privacy concerns, or comply with applicable laws and regulations, even if unfounded, could result in regulatory and third-party liability, increased costs, disruption to our operations, and reputational damage. Obligations to which we are subject impose compliance costs and risks of penalties, which could increase as such laws and regulations evolve globally. Moreover, as data protection and privacy laws and regulations continue to develop, it could be more difficult and/or more costly for us to collect, store, use, transmit and process personal information.</w:t>
      </w:r>
    </w:p>
    <w:p>
      <w:pPr>
        <w:spacing w:after="0" w:line="93"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4C4C4E"/>
        </w:rPr>
        <w:t>The costs of monitoring, interpreting and, where applicable, complying with global data protection and privacy laws and regulations could have a material adverse effect on the business, results of the operations and financial condition of us and of our portfolio companies. The continued development of these laws and regulations and their interpretations could increase compliance costs, restrict our ability to offer services in certain locations, require changes to business practices, result in negative publicity or significant costs or penalties associated with litigation and/or regulatory action, all of which could adversely affect our business, financial condition and results of operations, including affecting investment returns.</w:t>
      </w:r>
    </w:p>
    <w:p>
      <w:pPr>
        <w:spacing w:after="0" w:line="74" w:lineRule="exact"/>
        <w:rPr>
          <w:sz w:val="20"/>
          <w:szCs w:val="20"/>
          <w:color w:val="auto"/>
        </w:rPr>
      </w:pPr>
    </w:p>
    <w:p>
      <w:pPr>
        <w:ind w:right="20" w:firstLine="245"/>
        <w:spacing w:after="0" w:line="239" w:lineRule="auto"/>
        <w:rPr>
          <w:sz w:val="20"/>
          <w:szCs w:val="20"/>
          <w:color w:val="auto"/>
        </w:rPr>
      </w:pPr>
      <w:r>
        <w:rPr>
          <w:rFonts w:ascii="Times New Roman" w:cs="Times New Roman" w:eastAsia="Times New Roman" w:hAnsi="Times New Roman"/>
          <w:sz w:val="20"/>
          <w:szCs w:val="20"/>
          <w:color w:val="4C4C4E"/>
        </w:rPr>
        <w:t>While we, the Adviser and its affiliates take reasonable efforts to comply with data protection and privacy laws and regulations, it is possible that we will not be able to accurately anticipate the ways in which regulators and courts will apply or interpret these laws, and there can be no assurance that we will not be subject to regulatory or individual legal action, including fines, in the event of a security incident, alleged non-compliance with applicable data protection and privacy laws or regulations, or other claim that an individual’s privacy rights have been violated. Many regulators have indicated an intention to take more aggressive enforcement actions regarding data privacy matters, and private litigation resulting from such matters is increasing and resulting in large judgments and settlements.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Risks Related to Economic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Inflation may adversely affect our business.</w:t>
      </w:r>
    </w:p>
    <w:p>
      <w:pPr>
        <w:spacing w:after="0" w:line="115" w:lineRule="exact"/>
        <w:rPr>
          <w:sz w:val="20"/>
          <w:szCs w:val="20"/>
          <w:color w:val="auto"/>
        </w:rPr>
      </w:pPr>
    </w:p>
    <w:p>
      <w:pPr>
        <w:ind w:right="100" w:firstLine="245"/>
        <w:spacing w:after="0" w:line="242" w:lineRule="auto"/>
        <w:rPr>
          <w:sz w:val="20"/>
          <w:szCs w:val="20"/>
          <w:color w:val="auto"/>
        </w:rPr>
      </w:pPr>
      <w:r>
        <w:rPr>
          <w:rFonts w:ascii="Times New Roman" w:cs="Times New Roman" w:eastAsia="Times New Roman" w:hAnsi="Times New Roman"/>
          <w:sz w:val="20"/>
          <w:szCs w:val="20"/>
          <w:color w:val="4C4C4E"/>
        </w:rPr>
        <w:t>Inflation and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8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Economic activity has continued to accelerate across sectors and regions. Nevertheless, global supply chain issues have led, and may in the future lead, to a rise in energy prices. Inflation may continue in the near to medium-term, particularly in the U.S., with the possibility that monetary policy continues to tighten in response. Persistent inflationary pressures could affect our portfolio companies’ profit margins.</w:t>
      </w:r>
    </w:p>
    <w:p>
      <w:pPr>
        <w:spacing w:after="0" w:line="314"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20"/>
          <w:szCs w:val="20"/>
          <w:b w:val="1"/>
          <w:bCs w:val="1"/>
          <w:i w:val="1"/>
          <w:iCs w:val="1"/>
          <w:color w:val="4C4C4E"/>
        </w:rPr>
        <w:t>Trade negotiations and related government actions may create global supply chain issues and regulatory uncertainty for our portfolio companies and our investment strategy and adversely affect the profitability of our portfolio companies.</w:t>
      </w:r>
    </w:p>
    <w:p>
      <w:pPr>
        <w:spacing w:after="0" w:line="49" w:lineRule="exact"/>
        <w:rPr>
          <w:sz w:val="20"/>
          <w:szCs w:val="20"/>
          <w:color w:val="auto"/>
        </w:rPr>
      </w:pPr>
    </w:p>
    <w:p>
      <w:pPr>
        <w:ind w:right="40" w:firstLine="245"/>
        <w:spacing w:after="0" w:line="241" w:lineRule="auto"/>
        <w:rPr>
          <w:sz w:val="20"/>
          <w:szCs w:val="20"/>
          <w:color w:val="auto"/>
        </w:rPr>
      </w:pPr>
      <w:r>
        <w:rPr>
          <w:rFonts w:ascii="Times New Roman" w:cs="Times New Roman" w:eastAsia="Times New Roman" w:hAnsi="Times New Roman"/>
          <w:sz w:val="20"/>
          <w:szCs w:val="20"/>
          <w:color w:val="4C4C4E"/>
        </w:rPr>
        <w:t>The U.S. government has indicated its intent to alter its approach to international trade policy and in some cases to renegotiate, or potentially terminate, certain existing bilateral or multi-lateral trade agreements and treaties with foreign countries, and has made proposals and taken actions related thereto. For example, the U.S. government has imposed, and may in the future further increase, tariffs on certain foreign goods, including from China, such as steel and aluminum. Some foreign governments, including China, have instituted retaliatory tariffs on certain U.S. goods. Most recently, the current U.S. presidential administration has imposed or sought to impose significant increases to tariffs on goods imported into the U.S., including from China, Canada and Mexico. Tariffs on imported goods could further increase costs, decrease margins, reduce the competitiveness of products and services offered by</w:t>
      </w:r>
    </w:p>
    <w:p>
      <w:pPr>
        <w:sectPr>
          <w:pgSz w:w="11880" w:h="15480" w:orient="portrait"/>
          <w:cols w:equalWidth="0" w:num="1">
            <w:col w:w="10660"/>
          </w:cols>
          <w:pgMar w:left="68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41</w:t>
      </w:r>
    </w:p>
    <w:p>
      <w:pPr>
        <w:sectPr>
          <w:pgSz w:w="11880" w:h="15480" w:orient="portrait"/>
          <w:cols w:equalWidth="0" w:num="1">
            <w:col w:w="10660"/>
          </w:cols>
          <w:pgMar w:left="680" w:top="750" w:right="540" w:bottom="0" w:gutter="0" w:footer="0" w:header="0"/>
          <w:type w:val="continuous"/>
        </w:sectPr>
      </w:pPr>
    </w:p>
    <w:bookmarkStart w:id="41" w:name="page42"/>
    <w:bookmarkEnd w:id="41"/>
    <w:p>
      <w:pPr>
        <w:ind w:right="180"/>
        <w:spacing w:after="0" w:line="272" w:lineRule="auto"/>
        <w:rPr>
          <w:sz w:val="20"/>
          <w:szCs w:val="20"/>
          <w:color w:val="auto"/>
        </w:rPr>
      </w:pPr>
      <w:r>
        <w:rPr>
          <w:rFonts w:ascii="Times New Roman" w:cs="Times New Roman" w:eastAsia="Times New Roman" w:hAnsi="Times New Roman"/>
          <w:sz w:val="20"/>
          <w:szCs w:val="20"/>
          <w:color w:val="4C4C4E"/>
        </w:rPr>
        <w:t>current and future portfolio companies and adversely affect the revenues and profitability of portfolio companies whose businesses rely on goods imported from such impacted jurisdictions.</w:t>
      </w:r>
    </w:p>
    <w:p>
      <w:pPr>
        <w:spacing w:after="0" w:line="49" w:lineRule="exact"/>
        <w:rPr>
          <w:sz w:val="20"/>
          <w:szCs w:val="20"/>
          <w:color w:val="auto"/>
        </w:rPr>
      </w:pPr>
    </w:p>
    <w:p>
      <w:pPr>
        <w:ind w:firstLine="245"/>
        <w:spacing w:after="0" w:line="239" w:lineRule="auto"/>
        <w:rPr>
          <w:sz w:val="20"/>
          <w:szCs w:val="20"/>
          <w:color w:val="auto"/>
        </w:rPr>
      </w:pPr>
      <w:r>
        <w:rPr>
          <w:rFonts w:ascii="Times New Roman" w:cs="Times New Roman" w:eastAsia="Times New Roman" w:hAnsi="Times New Roman"/>
          <w:sz w:val="20"/>
          <w:szCs w:val="20"/>
          <w:color w:val="4C4C4E"/>
        </w:rPr>
        <w:t>There is uncertainty as to further actions that may be taken under the current U.S. presidential administration with respect to U.S. trade policy.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its portfolio investments. Further governmental actions related to the imposition of tariffs or other trade barriers, or changes to international trade agreements or policies, could further increase costs, decrease margins, reduce the competitiveness of products and services offered by current and future portfolio companies and adversely affect the revenues and profitability of companies whose businesses rely on goods imported from outside of the United States.</w:t>
      </w:r>
    </w:p>
    <w:p>
      <w:pPr>
        <w:spacing w:after="0" w:line="326" w:lineRule="exact"/>
        <w:rPr>
          <w:sz w:val="20"/>
          <w:szCs w:val="20"/>
          <w:color w:val="auto"/>
        </w:rPr>
      </w:pPr>
    </w:p>
    <w:p>
      <w:pPr>
        <w:ind w:right="720"/>
        <w:spacing w:after="0" w:line="272" w:lineRule="auto"/>
        <w:rPr>
          <w:sz w:val="20"/>
          <w:szCs w:val="20"/>
          <w:color w:val="auto"/>
        </w:rPr>
      </w:pPr>
      <w:r>
        <w:rPr>
          <w:rFonts w:ascii="Times New Roman" w:cs="Times New Roman" w:eastAsia="Times New Roman" w:hAnsi="Times New Roman"/>
          <w:sz w:val="20"/>
          <w:szCs w:val="20"/>
          <w:b w:val="1"/>
          <w:bCs w:val="1"/>
          <w:i w:val="1"/>
          <w:iCs w:val="1"/>
          <w:color w:val="4C4C4E"/>
        </w:rPr>
        <w:t>We are currently operating in a period of disruption, volatility and uncertainty in the capital markets and in the economy generally.</w:t>
      </w:r>
    </w:p>
    <w:p>
      <w:pPr>
        <w:spacing w:after="0" w:line="169" w:lineRule="exact"/>
        <w:rPr>
          <w:sz w:val="20"/>
          <w:szCs w:val="20"/>
          <w:color w:val="auto"/>
        </w:rPr>
      </w:pPr>
    </w:p>
    <w:p>
      <w:pPr>
        <w:ind w:right="60" w:firstLine="245"/>
        <w:spacing w:after="0" w:line="239" w:lineRule="auto"/>
        <w:rPr>
          <w:sz w:val="20"/>
          <w:szCs w:val="20"/>
          <w:color w:val="auto"/>
        </w:rPr>
      </w:pPr>
      <w:r>
        <w:rPr>
          <w:rFonts w:ascii="Times New Roman" w:cs="Times New Roman" w:eastAsia="Times New Roman" w:hAnsi="Times New Roman"/>
          <w:sz w:val="20"/>
          <w:szCs w:val="20"/>
          <w:color w:val="4C4C4E"/>
        </w:rPr>
        <w:t>The U.S. capital markets have experienced extreme volatility and disruption in recent years.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and may in the future implement,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206" w:lineRule="exact"/>
        <w:rPr>
          <w:sz w:val="20"/>
          <w:szCs w:val="20"/>
          <w:color w:val="auto"/>
        </w:rPr>
      </w:pPr>
    </w:p>
    <w:p>
      <w:pPr>
        <w:ind w:right="120" w:firstLine="245"/>
        <w:spacing w:after="0" w:line="244" w:lineRule="auto"/>
        <w:rPr>
          <w:sz w:val="20"/>
          <w:szCs w:val="20"/>
          <w:color w:val="auto"/>
        </w:rPr>
      </w:pPr>
      <w:r>
        <w:rPr>
          <w:rFonts w:ascii="Times New Roman" w:cs="Times New Roman" w:eastAsia="Times New Roman" w:hAnsi="Times New Roman"/>
          <w:sz w:val="20"/>
          <w:szCs w:val="20"/>
          <w:color w:val="4C4C4E"/>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317"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20"/>
          <w:szCs w:val="20"/>
          <w:b w:val="1"/>
          <w:bCs w:val="1"/>
          <w:i w:val="1"/>
          <w:iCs w:val="1"/>
          <w:color w:val="4C4C4E"/>
        </w:rPr>
        <w:t>The current state of the economy and financial markets increases the likelihood of adverse effects on our financial position and results of operations.</w:t>
      </w:r>
    </w:p>
    <w:p>
      <w:pPr>
        <w:spacing w:after="0" w:line="49" w:lineRule="exact"/>
        <w:rPr>
          <w:sz w:val="20"/>
          <w:szCs w:val="20"/>
          <w:color w:val="auto"/>
        </w:rPr>
      </w:pPr>
    </w:p>
    <w:p>
      <w:pPr>
        <w:ind w:right="60" w:firstLine="245"/>
        <w:spacing w:after="0" w:line="253" w:lineRule="auto"/>
        <w:rPr>
          <w:sz w:val="20"/>
          <w:szCs w:val="20"/>
          <w:color w:val="auto"/>
        </w:rPr>
      </w:pPr>
      <w:r>
        <w:rPr>
          <w:rFonts w:ascii="Times New Roman" w:cs="Times New Roman" w:eastAsia="Times New Roman" w:hAnsi="Times New Roman"/>
          <w:sz w:val="19"/>
          <w:szCs w:val="19"/>
          <w:color w:val="4C4C4E"/>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provisional application of the EU-UK Trade and Cooperation Agreement and ongoing conflicts between Russia and Ukraine and in the Middle East and related responses, has led to, from time to time,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69" w:lineRule="exact"/>
        <w:rPr>
          <w:sz w:val="20"/>
          <w:szCs w:val="20"/>
          <w:color w:val="auto"/>
        </w:rPr>
      </w:pPr>
    </w:p>
    <w:p>
      <w:pPr>
        <w:ind w:right="120" w:firstLine="245"/>
        <w:spacing w:after="0" w:line="244" w:lineRule="auto"/>
        <w:rPr>
          <w:sz w:val="20"/>
          <w:szCs w:val="20"/>
          <w:color w:val="auto"/>
        </w:rPr>
      </w:pPr>
      <w:r>
        <w:rPr>
          <w:rFonts w:ascii="Times New Roman" w:cs="Times New Roman" w:eastAsia="Times New Roman" w:hAnsi="Times New Roman"/>
          <w:sz w:val="20"/>
          <w:szCs w:val="20"/>
          <w:color w:val="4C4C4E"/>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1" w:lineRule="exact"/>
        <w:rPr>
          <w:sz w:val="20"/>
          <w:szCs w:val="20"/>
          <w:color w:val="auto"/>
        </w:rPr>
      </w:pPr>
    </w:p>
    <w:p>
      <w:pPr>
        <w:ind w:left="500" w:hanging="251"/>
        <w:spacing w:after="0"/>
        <w:tabs>
          <w:tab w:leader="none" w:pos="500" w:val="left"/>
        </w:tabs>
        <w:numPr>
          <w:ilvl w:val="0"/>
          <w:numId w:val="40"/>
        </w:numPr>
        <w:rPr>
          <w:rFonts w:ascii="Arial" w:cs="Arial" w:eastAsia="Arial" w:hAnsi="Arial"/>
          <w:sz w:val="20"/>
          <w:szCs w:val="20"/>
          <w:color w:val="4C4C4E"/>
        </w:rPr>
      </w:pPr>
      <w:r>
        <w:rPr>
          <w:rFonts w:ascii="Times New Roman" w:cs="Times New Roman" w:eastAsia="Times New Roman" w:hAnsi="Times New Roman"/>
          <w:sz w:val="20"/>
          <w:szCs w:val="20"/>
          <w:color w:val="4C4C4E"/>
        </w:rPr>
        <w:t>our receipt of a reduced level of interest income from our portfolio companies;</w:t>
      </w:r>
    </w:p>
    <w:p>
      <w:pPr>
        <w:spacing w:after="0" w:line="128" w:lineRule="exact"/>
        <w:rPr>
          <w:rFonts w:ascii="Arial" w:cs="Arial" w:eastAsia="Arial" w:hAnsi="Arial"/>
          <w:sz w:val="20"/>
          <w:szCs w:val="20"/>
          <w:color w:val="4C4C4E"/>
        </w:rPr>
      </w:pPr>
    </w:p>
    <w:p>
      <w:pPr>
        <w:ind w:left="500" w:hanging="251"/>
        <w:spacing w:after="0"/>
        <w:tabs>
          <w:tab w:leader="none" w:pos="500" w:val="left"/>
        </w:tabs>
        <w:numPr>
          <w:ilvl w:val="0"/>
          <w:numId w:val="40"/>
        </w:numPr>
        <w:rPr>
          <w:rFonts w:ascii="Arial" w:cs="Arial" w:eastAsia="Arial" w:hAnsi="Arial"/>
          <w:sz w:val="20"/>
          <w:szCs w:val="20"/>
          <w:color w:val="4C4C4E"/>
        </w:rPr>
      </w:pPr>
      <w:r>
        <w:rPr>
          <w:rFonts w:ascii="Times New Roman" w:cs="Times New Roman" w:eastAsia="Times New Roman" w:hAnsi="Times New Roman"/>
          <w:sz w:val="20"/>
          <w:szCs w:val="20"/>
          <w:color w:val="4C4C4E"/>
        </w:rPr>
        <w:t>decreases in the value of collateral securing some of our loans and the value of our equity investments; and</w:t>
      </w:r>
    </w:p>
    <w:p>
      <w:pPr>
        <w:spacing w:after="0" w:line="128" w:lineRule="exact"/>
        <w:rPr>
          <w:rFonts w:ascii="Arial" w:cs="Arial" w:eastAsia="Arial" w:hAnsi="Arial"/>
          <w:sz w:val="20"/>
          <w:szCs w:val="20"/>
          <w:color w:val="4C4C4E"/>
        </w:rPr>
      </w:pPr>
    </w:p>
    <w:p>
      <w:pPr>
        <w:ind w:left="500" w:hanging="251"/>
        <w:spacing w:after="0"/>
        <w:tabs>
          <w:tab w:leader="none" w:pos="500" w:val="left"/>
        </w:tabs>
        <w:numPr>
          <w:ilvl w:val="0"/>
          <w:numId w:val="40"/>
        </w:numPr>
        <w:rPr>
          <w:rFonts w:ascii="Arial" w:cs="Arial" w:eastAsia="Arial" w:hAnsi="Arial"/>
          <w:sz w:val="20"/>
          <w:szCs w:val="20"/>
          <w:color w:val="4C4C4E"/>
        </w:rPr>
      </w:pPr>
      <w:r>
        <w:rPr>
          <w:rFonts w:ascii="Times New Roman" w:cs="Times New Roman" w:eastAsia="Times New Roman" w:hAnsi="Times New Roman"/>
          <w:sz w:val="20"/>
          <w:szCs w:val="20"/>
          <w:color w:val="4C4C4E"/>
        </w:rPr>
        <w:t>ultimately, losses or charge-offs related to our investments.</w:t>
      </w:r>
    </w:p>
    <w:p>
      <w:pPr>
        <w:sectPr>
          <w:pgSz w:w="11880" w:h="15480" w:orient="portrait"/>
          <w:cols w:equalWidth="0" w:num="1">
            <w:col w:w="10660"/>
          </w:cols>
          <w:pgMar w:left="68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42</w:t>
      </w:r>
    </w:p>
    <w:p>
      <w:pPr>
        <w:sectPr>
          <w:pgSz w:w="11880" w:h="15480" w:orient="portrait"/>
          <w:cols w:equalWidth="0" w:num="1">
            <w:col w:w="10660"/>
          </w:cols>
          <w:pgMar w:left="680" w:top="746" w:right="540" w:bottom="0" w:gutter="0" w:footer="0" w:header="0"/>
          <w:type w:val="continuous"/>
        </w:sectPr>
      </w:pPr>
    </w:p>
    <w:bookmarkStart w:id="42" w:name="page43"/>
    <w:bookmarkEnd w:id="42"/>
    <w:p>
      <w:pPr>
        <w:ind w:right="160"/>
        <w:spacing w:after="0" w:line="272" w:lineRule="auto"/>
        <w:rPr>
          <w:sz w:val="20"/>
          <w:szCs w:val="20"/>
          <w:color w:val="auto"/>
        </w:rPr>
      </w:pPr>
      <w:r>
        <w:rPr>
          <w:rFonts w:ascii="Times New Roman" w:cs="Times New Roman" w:eastAsia="Times New Roman" w:hAnsi="Times New Roman"/>
          <w:sz w:val="20"/>
          <w:szCs w:val="20"/>
          <w:b w:val="1"/>
          <w:bCs w:val="1"/>
          <w:i w:val="1"/>
          <w:iCs w:val="1"/>
          <w:color w:val="4C4C4E"/>
        </w:rPr>
        <w:t>Uncertainty about financial stability could have a significant adverse effect on our business, results of operations and financial condition.</w:t>
      </w:r>
    </w:p>
    <w:p>
      <w:pPr>
        <w:spacing w:after="0" w:line="49" w:lineRule="exact"/>
        <w:rPr>
          <w:sz w:val="20"/>
          <w:szCs w:val="20"/>
          <w:color w:val="auto"/>
        </w:rPr>
      </w:pPr>
    </w:p>
    <w:p>
      <w:pPr>
        <w:ind w:right="100" w:firstLine="245"/>
        <w:spacing w:after="0" w:line="256" w:lineRule="auto"/>
        <w:rPr>
          <w:sz w:val="20"/>
          <w:szCs w:val="20"/>
          <w:color w:val="auto"/>
        </w:rPr>
      </w:pPr>
      <w:r>
        <w:rPr>
          <w:rFonts w:ascii="Times New Roman" w:cs="Times New Roman" w:eastAsia="Times New Roman" w:hAnsi="Times New Roman"/>
          <w:sz w:val="19"/>
          <w:szCs w:val="19"/>
          <w:color w:val="4C4C4E"/>
        </w:rPr>
        <w:t>Due to federal budget deficit concerns, S&amp;P downgraded the federal government’s credit rating from AAA to AA+ for the first time in history on August 5, 2011. Further, in 2023, Fitch downgraded the federal government’s credit rating from AAA to AA+, and, in 2025, Moody’s downgraded the federal government’s credit rating from Aaa (negative) to Aa1 (stable). Further downgrades or warnings by S&amp;P, Moody’s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85"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4C4C4E"/>
        </w:rPr>
        <w:t>Following a period of heightened inflation, the Federal Reserve raised the target rate four times in 2023, raising the fed funds rate by about three percentage points in a six month period. However, the Federal Reserve lowered the target rate three times in 2024 and three times in 2025. In 2026, it is possible that the Federal Reserve will lower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97" w:lineRule="exact"/>
        <w:rPr>
          <w:sz w:val="20"/>
          <w:szCs w:val="20"/>
          <w:color w:val="auto"/>
        </w:rPr>
      </w:pPr>
    </w:p>
    <w:p>
      <w:pPr>
        <w:ind w:right="40" w:firstLine="245"/>
        <w:spacing w:after="0" w:line="239" w:lineRule="auto"/>
        <w:rPr>
          <w:sz w:val="20"/>
          <w:szCs w:val="20"/>
          <w:color w:val="auto"/>
        </w:rPr>
      </w:pPr>
      <w:r>
        <w:rPr>
          <w:rFonts w:ascii="Times New Roman" w:cs="Times New Roman" w:eastAsia="Times New Roman" w:hAnsi="Times New Roman"/>
          <w:sz w:val="20"/>
          <w:szCs w:val="20"/>
          <w:color w:val="4C4C4E"/>
        </w:rPr>
        <w:t>The election of a new U.S. president for a term that commenced in 2025, coupled with a consolidation of party control of both chambers of Congress, has led to new legislative and regulatory initiatives and the roll-back of certain initiatives of the previous presidential administration, which may impact our business and our clients’ businesses in unpredictable ways. Areas subject to potential change or amendment include the Wall Street Reform and Consumer Protection Act, or the Dodd-Frank Act, and the authority of the Federal Reserve and the Financial Stability Oversight Council. Additionally, under the narrowly divided control of the Congress, the likelihood of a failure to increase the debt ceiling and a default by the federal government is increased. The United States may also increase tariffs and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Economic recessions or downturns could impair our portfolio companies and harm our operating results.</w:t>
      </w:r>
    </w:p>
    <w:p>
      <w:pPr>
        <w:spacing w:after="0" w:line="120" w:lineRule="exact"/>
        <w:rPr>
          <w:sz w:val="20"/>
          <w:szCs w:val="20"/>
          <w:color w:val="auto"/>
        </w:rPr>
      </w:pPr>
    </w:p>
    <w:p>
      <w:pPr>
        <w:ind w:right="20" w:firstLine="245"/>
        <w:spacing w:after="0" w:line="245" w:lineRule="auto"/>
        <w:rPr>
          <w:sz w:val="20"/>
          <w:szCs w:val="20"/>
          <w:color w:val="auto"/>
        </w:rPr>
      </w:pPr>
      <w:r>
        <w:rPr>
          <w:rFonts w:ascii="Times New Roman" w:cs="Times New Roman" w:eastAsia="Times New Roman" w:hAnsi="Times New Roman"/>
          <w:sz w:val="20"/>
          <w:szCs w:val="20"/>
          <w:color w:val="4C4C4E"/>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202" w:lineRule="exact"/>
        <w:rPr>
          <w:sz w:val="20"/>
          <w:szCs w:val="20"/>
          <w:color w:val="auto"/>
        </w:rPr>
      </w:pPr>
    </w:p>
    <w:p>
      <w:pPr>
        <w:ind w:right="120" w:firstLine="245"/>
        <w:spacing w:after="0" w:line="246" w:lineRule="auto"/>
        <w:rPr>
          <w:sz w:val="20"/>
          <w:szCs w:val="20"/>
          <w:color w:val="auto"/>
        </w:rPr>
      </w:pPr>
      <w:r>
        <w:rPr>
          <w:rFonts w:ascii="Times New Roman" w:cs="Times New Roman" w:eastAsia="Times New Roman" w:hAnsi="Times New Roman"/>
          <w:sz w:val="20"/>
          <w:szCs w:val="20"/>
          <w:color w:val="4C4C4E"/>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Risks Related to Our Portfolio Company Investments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Our investments are very risky and highly speculative.</w:t>
      </w:r>
    </w:p>
    <w:p>
      <w:pPr>
        <w:spacing w:after="0" w:line="12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200" w:lineRule="exact"/>
        <w:rPr>
          <w:sz w:val="20"/>
          <w:szCs w:val="20"/>
          <w:color w:val="auto"/>
        </w:rPr>
      </w:pPr>
    </w:p>
    <w:p>
      <w:pPr>
        <w:ind w:right="320" w:firstLine="245"/>
        <w:spacing w:after="0" w:line="258" w:lineRule="auto"/>
        <w:rPr>
          <w:sz w:val="20"/>
          <w:szCs w:val="20"/>
          <w:color w:val="auto"/>
        </w:rPr>
      </w:pPr>
      <w:r>
        <w:rPr>
          <w:rFonts w:ascii="Times New Roman" w:cs="Times New Roman" w:eastAsia="Times New Roman" w:hAnsi="Times New Roman"/>
          <w:sz w:val="20"/>
          <w:szCs w:val="20"/>
          <w:i w:val="1"/>
          <w:iCs w:val="1"/>
          <w:color w:val="4C4C4E"/>
        </w:rPr>
        <w:t>First-Lien Debt</w:t>
      </w:r>
      <w:r>
        <w:rPr>
          <w:rFonts w:ascii="Times New Roman" w:cs="Times New Roman" w:eastAsia="Times New Roman" w:hAnsi="Times New Roman"/>
          <w:sz w:val="20"/>
          <w:szCs w:val="20"/>
          <w:color w:val="4C4C4E"/>
        </w:rPr>
        <w:t>. When we make a first-lien loan, we generally take a security interest in the available assets of the portfolio</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company, including the equity interests of its subsidiaries, which we expect to help mitigate the risk that we will not be repaid. However, there is a risk that the collateral securing our loans may decrease in value over time, may be difficult to sell in a timely</w:t>
      </w:r>
    </w:p>
    <w:p>
      <w:pPr>
        <w:sectPr>
          <w:pgSz w:w="11880" w:h="15480" w:orient="portrait"/>
          <w:cols w:equalWidth="0" w:num="1">
            <w:col w:w="10640"/>
          </w:cols>
          <w:pgMar w:left="680" w:top="746" w:right="560" w:bottom="0" w:gutter="0" w:footer="0" w:header="0"/>
        </w:sectPr>
      </w:pP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43</w:t>
      </w:r>
    </w:p>
    <w:p>
      <w:pPr>
        <w:sectPr>
          <w:pgSz w:w="11880" w:h="15480" w:orient="portrait"/>
          <w:cols w:equalWidth="0" w:num="1">
            <w:col w:w="10640"/>
          </w:cols>
          <w:pgMar w:left="680" w:top="746" w:right="560" w:bottom="0" w:gutter="0" w:footer="0" w:header="0"/>
          <w:type w:val="continuous"/>
        </w:sectPr>
      </w:pPr>
    </w:p>
    <w:bookmarkStart w:id="43" w:name="page44"/>
    <w:bookmarkEnd w:id="43"/>
    <w:p>
      <w:pPr>
        <w:ind w:right="100"/>
        <w:spacing w:after="0" w:line="246" w:lineRule="auto"/>
        <w:rPr>
          <w:sz w:val="20"/>
          <w:szCs w:val="20"/>
          <w:color w:val="auto"/>
        </w:rPr>
      </w:pPr>
      <w:r>
        <w:rPr>
          <w:rFonts w:ascii="Times New Roman" w:cs="Times New Roman" w:eastAsia="Times New Roman" w:hAnsi="Times New Roman"/>
          <w:sz w:val="20"/>
          <w:szCs w:val="20"/>
          <w:color w:val="4C4C4E"/>
        </w:rPr>
        <w:t>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200"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i w:val="1"/>
          <w:iCs w:val="1"/>
          <w:color w:val="4C4C4E"/>
        </w:rPr>
        <w:t>Second-Lien and Mezzanine Debt</w:t>
      </w:r>
      <w:r>
        <w:rPr>
          <w:rFonts w:ascii="Times New Roman" w:cs="Times New Roman" w:eastAsia="Times New Roman" w:hAnsi="Times New Roman"/>
          <w:sz w:val="20"/>
          <w:szCs w:val="20"/>
          <w:color w:val="4C4C4E"/>
        </w:rPr>
        <w:t>. Our investments in second-lien and mezzanine debt generally are subordinated to senior loans</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and will either have junior security interests or be unsecured. As such, other creditors may rank senior to us in the event of insolvency. This may result in greater risk and loss of principal.</w:t>
      </w:r>
    </w:p>
    <w:p>
      <w:pPr>
        <w:spacing w:after="0" w:line="188" w:lineRule="exact"/>
        <w:rPr>
          <w:sz w:val="20"/>
          <w:szCs w:val="20"/>
          <w:color w:val="auto"/>
        </w:rPr>
      </w:pPr>
    </w:p>
    <w:p>
      <w:pPr>
        <w:ind w:right="80" w:firstLine="245"/>
        <w:spacing w:after="0" w:line="247" w:lineRule="auto"/>
        <w:rPr>
          <w:sz w:val="20"/>
          <w:szCs w:val="20"/>
          <w:color w:val="auto"/>
        </w:rPr>
      </w:pPr>
      <w:r>
        <w:rPr>
          <w:rFonts w:ascii="Times New Roman" w:cs="Times New Roman" w:eastAsia="Times New Roman" w:hAnsi="Times New Roman"/>
          <w:sz w:val="20"/>
          <w:szCs w:val="20"/>
          <w:i w:val="1"/>
          <w:iCs w:val="1"/>
          <w:color w:val="4C4C4E"/>
        </w:rPr>
        <w:t xml:space="preserve">Equity and Other Investments. </w:t>
      </w:r>
      <w:r>
        <w:rPr>
          <w:rFonts w:ascii="Times New Roman" w:cs="Times New Roman" w:eastAsia="Times New Roman" w:hAnsi="Times New Roman"/>
          <w:sz w:val="20"/>
          <w:szCs w:val="20"/>
          <w:color w:val="4C4C4E"/>
        </w:rPr>
        <w:t>When we invest in first-lien debt, second-lien debt or mezzanine debt, we may acquire equity</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securities, such as 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4C4C4E"/>
        </w:rPr>
        <w:t xml:space="preserve">Preferred Stock. </w:t>
      </w:r>
      <w:r>
        <w:rPr>
          <w:rFonts w:ascii="Times New Roman" w:cs="Times New Roman" w:eastAsia="Times New Roman" w:hAnsi="Times New Roman"/>
          <w:sz w:val="20"/>
          <w:szCs w:val="20"/>
          <w:color w:val="4C4C4E"/>
        </w:rPr>
        <w:t>To the extent we invest in preferred securities, we may incur particular risks, including:</w:t>
      </w:r>
    </w:p>
    <w:p>
      <w:pPr>
        <w:spacing w:after="0" w:line="134" w:lineRule="exact"/>
        <w:rPr>
          <w:sz w:val="20"/>
          <w:szCs w:val="20"/>
          <w:color w:val="auto"/>
        </w:rPr>
      </w:pPr>
    </w:p>
    <w:p>
      <w:pPr>
        <w:ind w:left="500" w:right="280" w:hanging="251"/>
        <w:spacing w:after="0" w:line="258" w:lineRule="auto"/>
        <w:tabs>
          <w:tab w:leader="none" w:pos="500" w:val="left"/>
        </w:tabs>
        <w:numPr>
          <w:ilvl w:val="0"/>
          <w:numId w:val="41"/>
        </w:numPr>
        <w:rPr>
          <w:rFonts w:ascii="Arial" w:cs="Arial" w:eastAsia="Arial" w:hAnsi="Arial"/>
          <w:sz w:val="20"/>
          <w:szCs w:val="20"/>
          <w:color w:val="4C4C4E"/>
        </w:rPr>
      </w:pPr>
      <w:r>
        <w:rPr>
          <w:rFonts w:ascii="Times New Roman" w:cs="Times New Roman" w:eastAsia="Times New Roman" w:hAnsi="Times New Roman"/>
          <w:sz w:val="20"/>
          <w:szCs w:val="20"/>
          <w:color w:val="4C4C4E"/>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1" w:lineRule="exact"/>
        <w:rPr>
          <w:rFonts w:ascii="Arial" w:cs="Arial" w:eastAsia="Arial" w:hAnsi="Arial"/>
          <w:sz w:val="20"/>
          <w:szCs w:val="20"/>
          <w:color w:val="4C4C4E"/>
        </w:rPr>
      </w:pPr>
    </w:p>
    <w:p>
      <w:pPr>
        <w:ind w:left="500" w:right="140" w:hanging="251"/>
        <w:spacing w:after="0" w:line="258" w:lineRule="auto"/>
        <w:tabs>
          <w:tab w:leader="none" w:pos="500" w:val="left"/>
        </w:tabs>
        <w:numPr>
          <w:ilvl w:val="0"/>
          <w:numId w:val="41"/>
        </w:numPr>
        <w:rPr>
          <w:rFonts w:ascii="Arial" w:cs="Arial" w:eastAsia="Arial" w:hAnsi="Arial"/>
          <w:sz w:val="20"/>
          <w:szCs w:val="20"/>
          <w:color w:val="4C4C4E"/>
        </w:rPr>
      </w:pPr>
      <w:r>
        <w:rPr>
          <w:rFonts w:ascii="Times New Roman" w:cs="Times New Roman" w:eastAsia="Times New Roman" w:hAnsi="Times New Roman"/>
          <w:sz w:val="20"/>
          <w:szCs w:val="20"/>
          <w:color w:val="4C4C4E"/>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81" w:lineRule="exact"/>
        <w:rPr>
          <w:rFonts w:ascii="Arial" w:cs="Arial" w:eastAsia="Arial" w:hAnsi="Arial"/>
          <w:sz w:val="20"/>
          <w:szCs w:val="20"/>
          <w:color w:val="4C4C4E"/>
        </w:rPr>
      </w:pPr>
    </w:p>
    <w:p>
      <w:pPr>
        <w:ind w:left="500" w:hanging="251"/>
        <w:spacing w:after="0" w:line="252" w:lineRule="auto"/>
        <w:tabs>
          <w:tab w:leader="none" w:pos="500" w:val="left"/>
        </w:tabs>
        <w:numPr>
          <w:ilvl w:val="0"/>
          <w:numId w:val="41"/>
        </w:numPr>
        <w:rPr>
          <w:rFonts w:ascii="Arial" w:cs="Arial" w:eastAsia="Arial" w:hAnsi="Arial"/>
          <w:sz w:val="20"/>
          <w:szCs w:val="20"/>
          <w:color w:val="4C4C4E"/>
        </w:rPr>
      </w:pPr>
      <w:r>
        <w:rPr>
          <w:rFonts w:ascii="Times New Roman" w:cs="Times New Roman" w:eastAsia="Times New Roman" w:hAnsi="Times New Roman"/>
          <w:sz w:val="20"/>
          <w:szCs w:val="20"/>
          <w:color w:val="4C4C4E"/>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 addition, our investments generally involve a number of significant risks, including:</w:t>
      </w:r>
    </w:p>
    <w:p>
      <w:pPr>
        <w:spacing w:after="0" w:line="134" w:lineRule="exact"/>
        <w:rPr>
          <w:sz w:val="20"/>
          <w:szCs w:val="20"/>
          <w:color w:val="auto"/>
        </w:rPr>
      </w:pPr>
    </w:p>
    <w:p>
      <w:pPr>
        <w:ind w:left="500" w:right="140" w:hanging="251"/>
        <w:spacing w:after="0" w:line="258" w:lineRule="auto"/>
        <w:tabs>
          <w:tab w:leader="none" w:pos="500" w:val="left"/>
        </w:tabs>
        <w:numPr>
          <w:ilvl w:val="0"/>
          <w:numId w:val="42"/>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1" w:lineRule="exact"/>
        <w:rPr>
          <w:rFonts w:ascii="Arial" w:cs="Arial" w:eastAsia="Arial" w:hAnsi="Arial"/>
          <w:sz w:val="20"/>
          <w:szCs w:val="20"/>
          <w:color w:val="4C4C4E"/>
        </w:rPr>
      </w:pPr>
    </w:p>
    <w:p>
      <w:pPr>
        <w:ind w:left="500" w:right="80" w:hanging="251"/>
        <w:spacing w:after="0" w:line="258" w:lineRule="auto"/>
        <w:tabs>
          <w:tab w:leader="none" w:pos="500" w:val="left"/>
        </w:tabs>
        <w:numPr>
          <w:ilvl w:val="0"/>
          <w:numId w:val="42"/>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81" w:lineRule="exact"/>
        <w:rPr>
          <w:rFonts w:ascii="Arial" w:cs="Arial" w:eastAsia="Arial" w:hAnsi="Arial"/>
          <w:sz w:val="20"/>
          <w:szCs w:val="20"/>
          <w:color w:val="4C4C4E"/>
        </w:rPr>
      </w:pPr>
    </w:p>
    <w:p>
      <w:pPr>
        <w:ind w:left="500" w:right="520" w:hanging="251"/>
        <w:spacing w:after="0" w:line="258" w:lineRule="auto"/>
        <w:tabs>
          <w:tab w:leader="none" w:pos="500" w:val="left"/>
        </w:tabs>
        <w:numPr>
          <w:ilvl w:val="0"/>
          <w:numId w:val="42"/>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1" w:lineRule="exact"/>
        <w:rPr>
          <w:rFonts w:ascii="Arial" w:cs="Arial" w:eastAsia="Arial" w:hAnsi="Arial"/>
          <w:sz w:val="20"/>
          <w:szCs w:val="20"/>
          <w:color w:val="4C4C4E"/>
        </w:rPr>
      </w:pPr>
    </w:p>
    <w:p>
      <w:pPr>
        <w:ind w:left="500" w:right="20" w:hanging="251"/>
        <w:spacing w:after="0" w:line="258" w:lineRule="auto"/>
        <w:tabs>
          <w:tab w:leader="none" w:pos="500" w:val="left"/>
        </w:tabs>
        <w:numPr>
          <w:ilvl w:val="0"/>
          <w:numId w:val="42"/>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1" w:lineRule="exact"/>
        <w:rPr>
          <w:rFonts w:ascii="Arial" w:cs="Arial" w:eastAsia="Arial" w:hAnsi="Arial"/>
          <w:sz w:val="20"/>
          <w:szCs w:val="20"/>
          <w:color w:val="4C4C4E"/>
        </w:rPr>
      </w:pPr>
    </w:p>
    <w:p>
      <w:pPr>
        <w:ind w:left="500" w:right="320" w:hanging="251"/>
        <w:spacing w:after="0" w:line="304" w:lineRule="auto"/>
        <w:tabs>
          <w:tab w:leader="none" w:pos="500" w:val="left"/>
        </w:tabs>
        <w:numPr>
          <w:ilvl w:val="0"/>
          <w:numId w:val="42"/>
        </w:numPr>
        <w:rPr>
          <w:rFonts w:ascii="Arial" w:cs="Arial" w:eastAsia="Arial" w:hAnsi="Arial"/>
          <w:sz w:val="19"/>
          <w:szCs w:val="19"/>
          <w:color w:val="4C4C4E"/>
        </w:rPr>
      </w:pPr>
      <w:r>
        <w:rPr>
          <w:rFonts w:ascii="Times New Roman" w:cs="Times New Roman" w:eastAsia="Times New Roman" w:hAnsi="Times New Roman"/>
          <w:sz w:val="19"/>
          <w:szCs w:val="19"/>
          <w:color w:val="4C4C4E"/>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39" w:lineRule="exact"/>
        <w:rPr>
          <w:rFonts w:ascii="Arial" w:cs="Arial" w:eastAsia="Arial" w:hAnsi="Arial"/>
          <w:sz w:val="19"/>
          <w:szCs w:val="19"/>
          <w:color w:val="4C4C4E"/>
        </w:rPr>
      </w:pPr>
    </w:p>
    <w:p>
      <w:pPr>
        <w:ind w:left="500" w:right="400" w:hanging="251"/>
        <w:spacing w:after="0" w:line="276" w:lineRule="auto"/>
        <w:tabs>
          <w:tab w:leader="none" w:pos="500" w:val="left"/>
        </w:tabs>
        <w:numPr>
          <w:ilvl w:val="0"/>
          <w:numId w:val="42"/>
        </w:numPr>
        <w:rPr>
          <w:rFonts w:ascii="Arial" w:cs="Arial" w:eastAsia="Arial" w:hAnsi="Arial"/>
          <w:sz w:val="20"/>
          <w:szCs w:val="20"/>
          <w:color w:val="4C4C4E"/>
        </w:rPr>
      </w:pPr>
      <w:r>
        <w:rPr>
          <w:rFonts w:ascii="Times New Roman" w:cs="Times New Roman" w:eastAsia="Times New Roman" w:hAnsi="Times New Roman"/>
          <w:sz w:val="20"/>
          <w:szCs w:val="20"/>
          <w:color w:val="4C4C4E"/>
        </w:rPr>
        <w:t>our executive officers, directors and Adviser may, in the ordinary course of business, be named as defendants in litigation arising from our investments in the portfolio companies;</w:t>
      </w:r>
    </w:p>
    <w:p>
      <w:pPr>
        <w:spacing w:after="0" w:line="64" w:lineRule="exact"/>
        <w:rPr>
          <w:rFonts w:ascii="Arial" w:cs="Arial" w:eastAsia="Arial" w:hAnsi="Arial"/>
          <w:sz w:val="20"/>
          <w:szCs w:val="20"/>
          <w:color w:val="4C4C4E"/>
        </w:rPr>
      </w:pPr>
    </w:p>
    <w:p>
      <w:pPr>
        <w:ind w:left="500" w:right="120" w:hanging="251"/>
        <w:spacing w:after="0" w:line="258" w:lineRule="auto"/>
        <w:tabs>
          <w:tab w:leader="none" w:pos="500" w:val="left"/>
        </w:tabs>
        <w:numPr>
          <w:ilvl w:val="0"/>
          <w:numId w:val="42"/>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81" w:lineRule="exact"/>
        <w:rPr>
          <w:rFonts w:ascii="Arial" w:cs="Arial" w:eastAsia="Arial" w:hAnsi="Arial"/>
          <w:sz w:val="20"/>
          <w:szCs w:val="20"/>
          <w:color w:val="4C4C4E"/>
        </w:rPr>
      </w:pPr>
    </w:p>
    <w:p>
      <w:pPr>
        <w:ind w:left="500" w:right="200" w:hanging="251"/>
        <w:spacing w:after="0" w:line="276" w:lineRule="auto"/>
        <w:tabs>
          <w:tab w:leader="none" w:pos="500" w:val="left"/>
        </w:tabs>
        <w:numPr>
          <w:ilvl w:val="0"/>
          <w:numId w:val="42"/>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companies in which we invest may have difficulty accessing the capital markets to meet future capital needs, which may limit their ability to grow or to repay their outstanding indebtedness upon maturity.</w:t>
      </w:r>
    </w:p>
    <w:p>
      <w:pPr>
        <w:sectPr>
          <w:pgSz w:w="11880" w:h="15480" w:orient="portrait"/>
          <w:cols w:equalWidth="0" w:num="1">
            <w:col w:w="10640"/>
          </w:cols>
          <w:pgMar w:left="680" w:top="750" w:right="560" w:bottom="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44</w:t>
      </w:r>
    </w:p>
    <w:p>
      <w:pPr>
        <w:sectPr>
          <w:pgSz w:w="11880" w:h="15480" w:orient="portrait"/>
          <w:cols w:equalWidth="0" w:num="1">
            <w:col w:w="10640"/>
          </w:cols>
          <w:pgMar w:left="680" w:top="750" w:right="560" w:bottom="0" w:gutter="0" w:footer="0" w:header="0"/>
          <w:type w:val="continuous"/>
        </w:sectPr>
      </w:pPr>
    </w:p>
    <w:bookmarkStart w:id="44" w:name="page45"/>
    <w:bookmarkEnd w:id="44"/>
    <w:p>
      <w:pPr>
        <w:jc w:val="both"/>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8" w:lineRule="exact"/>
        <w:rPr>
          <w:sz w:val="20"/>
          <w:szCs w:val="20"/>
          <w:color w:val="auto"/>
        </w:rPr>
      </w:pPr>
    </w:p>
    <w:p>
      <w:pPr>
        <w:ind w:right="200" w:firstLine="245"/>
        <w:spacing w:after="0" w:line="245" w:lineRule="auto"/>
        <w:rPr>
          <w:sz w:val="20"/>
          <w:szCs w:val="20"/>
          <w:color w:val="auto"/>
        </w:rPr>
      </w:pPr>
      <w:r>
        <w:rPr>
          <w:rFonts w:ascii="Times New Roman" w:cs="Times New Roman" w:eastAsia="Times New Roman" w:hAnsi="Times New Roman"/>
          <w:sz w:val="20"/>
          <w:szCs w:val="20"/>
          <w:color w:val="4C4C4E"/>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202" w:lineRule="exact"/>
        <w:rPr>
          <w:sz w:val="20"/>
          <w:szCs w:val="20"/>
          <w:color w:val="auto"/>
        </w:rPr>
      </w:pPr>
    </w:p>
    <w:p>
      <w:pPr>
        <w:ind w:right="60" w:firstLine="245"/>
        <w:spacing w:after="0" w:line="244" w:lineRule="auto"/>
        <w:rPr>
          <w:sz w:val="20"/>
          <w:szCs w:val="20"/>
          <w:color w:val="auto"/>
        </w:rPr>
      </w:pPr>
      <w:r>
        <w:rPr>
          <w:rFonts w:ascii="Times New Roman" w:cs="Times New Roman" w:eastAsia="Times New Roman" w:hAnsi="Times New Roman"/>
          <w:sz w:val="20"/>
          <w:szCs w:val="20"/>
          <w:color w:val="4C4C4E"/>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206" w:lineRule="exact"/>
        <w:rPr>
          <w:sz w:val="20"/>
          <w:szCs w:val="20"/>
          <w:color w:val="auto"/>
        </w:rPr>
      </w:pPr>
    </w:p>
    <w:p>
      <w:pPr>
        <w:ind w:right="120" w:firstLine="245"/>
        <w:spacing w:after="0" w:line="252" w:lineRule="auto"/>
        <w:rPr>
          <w:sz w:val="20"/>
          <w:szCs w:val="20"/>
          <w:color w:val="auto"/>
        </w:rPr>
      </w:pPr>
      <w:r>
        <w:rPr>
          <w:rFonts w:ascii="Times New Roman" w:cs="Times New Roman" w:eastAsia="Times New Roman" w:hAnsi="Times New Roman"/>
          <w:sz w:val="20"/>
          <w:szCs w:val="20"/>
          <w:color w:val="4C4C4E"/>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The lack of liquidity in our investments may adversely affect our business.</w:t>
      </w:r>
    </w:p>
    <w:p>
      <w:pPr>
        <w:spacing w:after="0" w:line="120"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4C4C4E"/>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3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68"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4C4C4E"/>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may securitize certain of our investments, which may subject us to certain structured financing risks.</w:t>
      </w:r>
    </w:p>
    <w:p>
      <w:pPr>
        <w:spacing w:after="0" w:line="120"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94" w:lineRule="exact"/>
        <w:rPr>
          <w:sz w:val="20"/>
          <w:szCs w:val="20"/>
          <w:color w:val="auto"/>
        </w:rPr>
      </w:pPr>
    </w:p>
    <w:p>
      <w:pPr>
        <w:ind w:right="40" w:firstLine="245"/>
        <w:spacing w:after="0" w:line="277" w:lineRule="auto"/>
        <w:rPr>
          <w:sz w:val="20"/>
          <w:szCs w:val="20"/>
          <w:color w:val="auto"/>
        </w:rPr>
      </w:pPr>
      <w:r>
        <w:rPr>
          <w:rFonts w:ascii="Times New Roman" w:cs="Times New Roman" w:eastAsia="Times New Roman" w:hAnsi="Times New Roman"/>
          <w:sz w:val="20"/>
          <w:szCs w:val="20"/>
          <w:color w:val="4C4C4E"/>
        </w:rPr>
        <w:t>If we were to create a CLO or other securitization vehicle, we would depend on distributions from the vehicle to pay dividends to our stockholders. The ability of a CLO or other securitization vehicle to make distributions will be subject to various limitations,</w:t>
      </w:r>
    </w:p>
    <w:p>
      <w:pPr>
        <w:sectPr>
          <w:pgSz w:w="11880" w:h="15480" w:orient="portrait"/>
          <w:cols w:equalWidth="0" w:num="1">
            <w:col w:w="10640"/>
          </w:cols>
          <w:pgMar w:left="680" w:top="750" w:right="560" w:bottom="0" w:gutter="0" w:footer="0" w:header="0"/>
        </w:sectPr>
      </w:pP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45</w:t>
      </w:r>
    </w:p>
    <w:p>
      <w:pPr>
        <w:sectPr>
          <w:pgSz w:w="11880" w:h="15480" w:orient="portrait"/>
          <w:cols w:equalWidth="0" w:num="1">
            <w:col w:w="10640"/>
          </w:cols>
          <w:pgMar w:left="680" w:top="750" w:right="560" w:bottom="0" w:gutter="0" w:footer="0" w:header="0"/>
          <w:type w:val="continuous"/>
        </w:sectPr>
      </w:pPr>
    </w:p>
    <w:bookmarkStart w:id="45" w:name="page46"/>
    <w:bookmarkEnd w:id="45"/>
    <w:p>
      <w:pPr>
        <w:ind w:right="20"/>
        <w:spacing w:after="0" w:line="245" w:lineRule="auto"/>
        <w:rPr>
          <w:sz w:val="20"/>
          <w:szCs w:val="20"/>
          <w:color w:val="auto"/>
        </w:rPr>
      </w:pPr>
      <w:r>
        <w:rPr>
          <w:rFonts w:ascii="Times New Roman" w:cs="Times New Roman" w:eastAsia="Times New Roman" w:hAnsi="Times New Roman"/>
          <w:sz w:val="20"/>
          <w:szCs w:val="20"/>
          <w:color w:val="4C4C4E"/>
        </w:rPr>
        <w:t>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202" w:lineRule="exact"/>
        <w:rPr>
          <w:sz w:val="20"/>
          <w:szCs w:val="20"/>
          <w:color w:val="auto"/>
        </w:rPr>
      </w:pPr>
    </w:p>
    <w:p>
      <w:pPr>
        <w:ind w:right="100" w:firstLine="245"/>
        <w:spacing w:after="0" w:line="246" w:lineRule="auto"/>
        <w:rPr>
          <w:sz w:val="20"/>
          <w:szCs w:val="20"/>
          <w:color w:val="auto"/>
        </w:rPr>
      </w:pPr>
      <w:r>
        <w:rPr>
          <w:rFonts w:ascii="Times New Roman" w:cs="Times New Roman" w:eastAsia="Times New Roman" w:hAnsi="Times New Roman"/>
          <w:sz w:val="20"/>
          <w:szCs w:val="20"/>
          <w:color w:val="4C4C4E"/>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200" w:lineRule="exact"/>
        <w:rPr>
          <w:sz w:val="20"/>
          <w:szCs w:val="20"/>
          <w:color w:val="auto"/>
        </w:rPr>
      </w:pPr>
    </w:p>
    <w:p>
      <w:pPr>
        <w:jc w:val="both"/>
        <w:ind w:right="140" w:firstLine="245"/>
        <w:spacing w:after="0" w:line="258" w:lineRule="auto"/>
        <w:rPr>
          <w:sz w:val="20"/>
          <w:szCs w:val="20"/>
          <w:color w:val="auto"/>
        </w:rPr>
      </w:pPr>
      <w:r>
        <w:rPr>
          <w:rFonts w:ascii="Times New Roman" w:cs="Times New Roman" w:eastAsia="Times New Roman" w:hAnsi="Times New Roman"/>
          <w:sz w:val="20"/>
          <w:szCs w:val="20"/>
          <w:color w:val="4C4C4E"/>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20"/>
          <w:szCs w:val="20"/>
          <w:i w:val="1"/>
          <w:iCs w:val="1"/>
          <w:color w:val="4C4C4E"/>
        </w:rPr>
        <w:t>ITEM 1. BUSINESS – Regulation as a</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Business Development Company.”</w:t>
      </w:r>
    </w:p>
    <w:p>
      <w:pPr>
        <w:spacing w:after="0" w:line="30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68"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4C4C4E"/>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are exposed to risks associated with changes in interest rates.</w:t>
      </w:r>
    </w:p>
    <w:p>
      <w:pPr>
        <w:spacing w:after="0" w:line="120"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4C4C4E"/>
        </w:rPr>
        <w:t>The majority of our debt investments are based on floating rates, such as SOFR, EURIBOR,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200" w:lineRule="exact"/>
        <w:rPr>
          <w:sz w:val="20"/>
          <w:szCs w:val="20"/>
          <w:color w:val="auto"/>
        </w:rPr>
      </w:pPr>
    </w:p>
    <w:p>
      <w:pPr>
        <w:ind w:right="100" w:firstLine="245"/>
        <w:spacing w:after="0" w:line="244" w:lineRule="auto"/>
        <w:rPr>
          <w:sz w:val="20"/>
          <w:szCs w:val="20"/>
          <w:color w:val="auto"/>
        </w:rPr>
      </w:pPr>
      <w:r>
        <w:rPr>
          <w:rFonts w:ascii="Times New Roman" w:cs="Times New Roman" w:eastAsia="Times New Roman" w:hAnsi="Times New Roman"/>
          <w:sz w:val="20"/>
          <w:szCs w:val="20"/>
          <w:color w:val="4C4C4E"/>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Times New Roman" w:cs="Times New Roman" w:eastAsia="Times New Roman" w:hAnsi="Times New Roman"/>
          <w:sz w:val="20"/>
          <w:szCs w:val="20"/>
          <w:i w:val="1"/>
          <w:iCs w:val="1"/>
          <w:color w:val="4C4C4E"/>
        </w:rPr>
        <w:t>—Risks Related to</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Economic Conditions—Uncertainty about financial stability could have a significant adverse effect on our business, results of operations and financial condition.</w:t>
      </w:r>
      <w:r>
        <w:rPr>
          <w:rFonts w:ascii="Times New Roman" w:cs="Times New Roman" w:eastAsia="Times New Roman" w:hAnsi="Times New Roman"/>
          <w:sz w:val="20"/>
          <w:szCs w:val="20"/>
          <w:color w:val="4C4C4E"/>
        </w:rPr>
        <w:t>”</w:t>
      </w:r>
    </w:p>
    <w:p>
      <w:pPr>
        <w:spacing w:after="0" w:line="206" w:lineRule="exact"/>
        <w:rPr>
          <w:sz w:val="20"/>
          <w:szCs w:val="20"/>
          <w:color w:val="auto"/>
        </w:rPr>
      </w:pPr>
    </w:p>
    <w:p>
      <w:pPr>
        <w:ind w:right="80" w:firstLine="245"/>
        <w:spacing w:after="0" w:line="277" w:lineRule="auto"/>
        <w:rPr>
          <w:sz w:val="20"/>
          <w:szCs w:val="20"/>
          <w:color w:val="auto"/>
        </w:rPr>
      </w:pPr>
      <w:r>
        <w:rPr>
          <w:rFonts w:ascii="Times New Roman" w:cs="Times New Roman" w:eastAsia="Times New Roman" w:hAnsi="Times New Roman"/>
          <w:sz w:val="20"/>
          <w:szCs w:val="20"/>
          <w:color w:val="4C4C4E"/>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9" w:lineRule="exact"/>
        <w:rPr>
          <w:sz w:val="20"/>
          <w:szCs w:val="20"/>
          <w:color w:val="auto"/>
        </w:rPr>
      </w:pPr>
    </w:p>
    <w:p>
      <w:pPr>
        <w:ind w:right="120" w:firstLine="245"/>
        <w:spacing w:after="0" w:line="258" w:lineRule="auto"/>
        <w:rPr>
          <w:sz w:val="20"/>
          <w:szCs w:val="20"/>
          <w:color w:val="auto"/>
        </w:rPr>
      </w:pPr>
      <w:r>
        <w:rPr>
          <w:rFonts w:ascii="Times New Roman" w:cs="Times New Roman" w:eastAsia="Times New Roman" w:hAnsi="Times New Roman"/>
          <w:sz w:val="20"/>
          <w:szCs w:val="20"/>
          <w:color w:val="4C4C4E"/>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20"/>
          <w:szCs w:val="20"/>
          <w:i w:val="1"/>
          <w:iCs w:val="1"/>
          <w:color w:val="4C4C4E"/>
        </w:rPr>
        <w:t>—Risks Related to Our</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Portfolio Company Investments—We expose ourselves to risks when we engage in hedging transactions.</w:t>
      </w:r>
      <w:r>
        <w:rPr>
          <w:rFonts w:ascii="Times New Roman" w:cs="Times New Roman" w:eastAsia="Times New Roman" w:hAnsi="Times New Roman"/>
          <w:sz w:val="20"/>
          <w:szCs w:val="20"/>
          <w:color w:val="4C4C4E"/>
        </w:rPr>
        <w:t>”</w:t>
      </w:r>
    </w:p>
    <w:p>
      <w:pPr>
        <w:sectPr>
          <w:pgSz w:w="11880" w:h="15480" w:orient="portrait"/>
          <w:cols w:equalWidth="0" w:num="1">
            <w:col w:w="10660"/>
          </w:cols>
          <w:pgMar w:left="680" w:top="750" w:right="540" w:bottom="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46</w:t>
      </w:r>
    </w:p>
    <w:p>
      <w:pPr>
        <w:sectPr>
          <w:pgSz w:w="11880" w:h="15480" w:orient="portrait"/>
          <w:cols w:equalWidth="0" w:num="1">
            <w:col w:w="10660"/>
          </w:cols>
          <w:pgMar w:left="680" w:top="750" w:right="5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4C4C4E"/>
        </w:rPr>
        <w:t>We may not be able to realize expected returns on our invested capital.</w:t>
      </w:r>
    </w:p>
    <w:p>
      <w:pPr>
        <w:spacing w:after="0" w:line="120"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20"/>
          <w:szCs w:val="20"/>
          <w:color w:val="4C4C4E"/>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97" w:lineRule="exact"/>
        <w:rPr>
          <w:sz w:val="20"/>
          <w:szCs w:val="20"/>
          <w:color w:val="auto"/>
        </w:rPr>
      </w:pPr>
    </w:p>
    <w:p>
      <w:pPr>
        <w:ind w:right="20" w:firstLine="245"/>
        <w:spacing w:after="0" w:line="270" w:lineRule="auto"/>
        <w:rPr>
          <w:sz w:val="20"/>
          <w:szCs w:val="20"/>
          <w:color w:val="auto"/>
        </w:rPr>
      </w:pPr>
      <w:r>
        <w:rPr>
          <w:rFonts w:ascii="Times New Roman" w:cs="Times New Roman" w:eastAsia="Times New Roman" w:hAnsi="Times New Roman"/>
          <w:sz w:val="19"/>
          <w:szCs w:val="19"/>
          <w:color w:val="4C4C4E"/>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7"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By originating loans to companies that are experiencing significant financial or business difficulties, we may be exposed to distressed lending risks.</w:t>
      </w:r>
    </w:p>
    <w:p>
      <w:pPr>
        <w:spacing w:after="0" w:line="49" w:lineRule="exact"/>
        <w:rPr>
          <w:sz w:val="20"/>
          <w:szCs w:val="20"/>
          <w:color w:val="auto"/>
        </w:rPr>
      </w:pPr>
    </w:p>
    <w:p>
      <w:pPr>
        <w:ind w:right="100" w:firstLine="245"/>
        <w:spacing w:after="0" w:line="245" w:lineRule="auto"/>
        <w:rPr>
          <w:sz w:val="20"/>
          <w:szCs w:val="20"/>
          <w:color w:val="auto"/>
        </w:rPr>
      </w:pPr>
      <w:r>
        <w:rPr>
          <w:rFonts w:ascii="Times New Roman" w:cs="Times New Roman" w:eastAsia="Times New Roman" w:hAnsi="Times New Roman"/>
          <w:sz w:val="20"/>
          <w:szCs w:val="20"/>
          <w:color w:val="4C4C4E"/>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32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Our portfolio companies may incur debt or issue equity securities that rank equally with, or senior to, our investments in those companies.</w:t>
      </w:r>
    </w:p>
    <w:p>
      <w:pPr>
        <w:spacing w:after="0" w:line="49"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4C4C4E"/>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202" w:lineRule="exact"/>
        <w:rPr>
          <w:sz w:val="20"/>
          <w:szCs w:val="20"/>
          <w:color w:val="auto"/>
        </w:rPr>
      </w:pPr>
    </w:p>
    <w:p>
      <w:pPr>
        <w:ind w:right="120" w:firstLine="245"/>
        <w:spacing w:after="0" w:line="246" w:lineRule="auto"/>
        <w:rPr>
          <w:sz w:val="20"/>
          <w:szCs w:val="20"/>
          <w:color w:val="auto"/>
        </w:rPr>
      </w:pPr>
      <w:r>
        <w:rPr>
          <w:rFonts w:ascii="Times New Roman" w:cs="Times New Roman" w:eastAsia="Times New Roman" w:hAnsi="Times New Roman"/>
          <w:sz w:val="20"/>
          <w:szCs w:val="20"/>
          <w:color w:val="4C4C4E"/>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may be exposed to special risks associated with bankruptcy cases.</w:t>
      </w:r>
    </w:p>
    <w:p>
      <w:pPr>
        <w:spacing w:after="0" w:line="120"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4C4C4E"/>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00" w:lineRule="exact"/>
        <w:rPr>
          <w:sz w:val="20"/>
          <w:szCs w:val="20"/>
          <w:color w:val="auto"/>
        </w:rPr>
      </w:pPr>
    </w:p>
    <w:p>
      <w:pPr>
        <w:ind w:right="20" w:firstLine="245"/>
        <w:spacing w:after="0" w:line="258" w:lineRule="auto"/>
        <w:rPr>
          <w:sz w:val="20"/>
          <w:szCs w:val="20"/>
          <w:color w:val="auto"/>
        </w:rPr>
      </w:pPr>
      <w:r>
        <w:rPr>
          <w:rFonts w:ascii="Times New Roman" w:cs="Times New Roman" w:eastAsia="Times New Roman" w:hAnsi="Times New Roman"/>
          <w:sz w:val="20"/>
          <w:szCs w:val="20"/>
          <w:color w:val="4C4C4E"/>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w:t>
      </w:r>
    </w:p>
    <w:p>
      <w:pPr>
        <w:sectPr>
          <w:pgSz w:w="11880" w:h="15480" w:orient="portrait"/>
          <w:cols w:equalWidth="0" w:num="1">
            <w:col w:w="10660"/>
          </w:cols>
          <w:pgMar w:left="680" w:top="750" w:right="540" w:bottom="0" w:gutter="0" w:footer="0" w:header="0"/>
        </w:sectPr>
      </w:pP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47</w:t>
      </w:r>
    </w:p>
    <w:p>
      <w:pPr>
        <w:sectPr>
          <w:pgSz w:w="11880" w:h="15480" w:orient="portrait"/>
          <w:cols w:equalWidth="0" w:num="1">
            <w:col w:w="10660"/>
          </w:cols>
          <w:pgMar w:left="680" w:top="750" w:right="540" w:bottom="0" w:gutter="0" w:footer="0" w:header="0"/>
          <w:type w:val="continuous"/>
        </w:sectPr>
      </w:pPr>
    </w:p>
    <w:bookmarkStart w:id="47" w:name="page48"/>
    <w:bookmarkEnd w:id="47"/>
    <w:p>
      <w:pPr>
        <w:ind w:right="340"/>
        <w:spacing w:after="0" w:line="258" w:lineRule="auto"/>
        <w:rPr>
          <w:sz w:val="20"/>
          <w:szCs w:val="20"/>
          <w:color w:val="auto"/>
        </w:rPr>
      </w:pPr>
      <w:r>
        <w:rPr>
          <w:rFonts w:ascii="Times New Roman" w:cs="Times New Roman" w:eastAsia="Times New Roman" w:hAnsi="Times New Roman"/>
          <w:sz w:val="20"/>
          <w:szCs w:val="20"/>
          <w:color w:val="4C4C4E"/>
        </w:rPr>
        <w:t>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140" w:firstLine="245"/>
        <w:spacing w:after="0" w:line="252" w:lineRule="auto"/>
        <w:rPr>
          <w:sz w:val="20"/>
          <w:szCs w:val="20"/>
          <w:color w:val="auto"/>
        </w:rPr>
      </w:pPr>
      <w:r>
        <w:rPr>
          <w:rFonts w:ascii="Times New Roman" w:cs="Times New Roman" w:eastAsia="Times New Roman" w:hAnsi="Times New Roman"/>
          <w:sz w:val="20"/>
          <w:szCs w:val="20"/>
          <w:color w:val="4C4C4E"/>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Our failure to make follow-on investments in our portfolio companies could impair the value of our investments.</w:t>
      </w:r>
    </w:p>
    <w:p>
      <w:pPr>
        <w:spacing w:after="0" w:line="120" w:lineRule="exact"/>
        <w:rPr>
          <w:sz w:val="20"/>
          <w:szCs w:val="20"/>
          <w:color w:val="auto"/>
        </w:rPr>
      </w:pPr>
    </w:p>
    <w:p>
      <w:pPr>
        <w:ind w:right="660" w:firstLine="245"/>
        <w:spacing w:after="0" w:line="277" w:lineRule="auto"/>
        <w:rPr>
          <w:sz w:val="20"/>
          <w:szCs w:val="20"/>
          <w:color w:val="auto"/>
        </w:rPr>
      </w:pPr>
      <w:r>
        <w:rPr>
          <w:rFonts w:ascii="Times New Roman" w:cs="Times New Roman" w:eastAsia="Times New Roman" w:hAnsi="Times New Roman"/>
          <w:sz w:val="20"/>
          <w:szCs w:val="20"/>
          <w:color w:val="4C4C4E"/>
        </w:rPr>
        <w:t>Following an initial investment in a portfolio company, we may make additional investments in that portfolio company as “follow-on” investments to:</w:t>
      </w:r>
    </w:p>
    <w:p>
      <w:pPr>
        <w:spacing w:after="0" w:line="64" w:lineRule="exact"/>
        <w:rPr>
          <w:sz w:val="20"/>
          <w:szCs w:val="20"/>
          <w:color w:val="auto"/>
        </w:rPr>
      </w:pPr>
    </w:p>
    <w:p>
      <w:pPr>
        <w:ind w:left="500" w:hanging="251"/>
        <w:spacing w:after="0"/>
        <w:tabs>
          <w:tab w:leader="none" w:pos="500" w:val="left"/>
        </w:tabs>
        <w:numPr>
          <w:ilvl w:val="0"/>
          <w:numId w:val="43"/>
        </w:numPr>
        <w:rPr>
          <w:rFonts w:ascii="Arial" w:cs="Arial" w:eastAsia="Arial" w:hAnsi="Arial"/>
          <w:sz w:val="20"/>
          <w:szCs w:val="20"/>
          <w:color w:val="4C4C4E"/>
        </w:rPr>
      </w:pPr>
      <w:r>
        <w:rPr>
          <w:rFonts w:ascii="Times New Roman" w:cs="Times New Roman" w:eastAsia="Times New Roman" w:hAnsi="Times New Roman"/>
          <w:sz w:val="20"/>
          <w:szCs w:val="20"/>
          <w:color w:val="4C4C4E"/>
        </w:rPr>
        <w:t>increase or maintain in whole or in part our equity ownership percentage;</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3"/>
        </w:numPr>
        <w:rPr>
          <w:rFonts w:ascii="Arial" w:cs="Arial" w:eastAsia="Arial" w:hAnsi="Arial"/>
          <w:sz w:val="20"/>
          <w:szCs w:val="20"/>
          <w:color w:val="4C4C4E"/>
        </w:rPr>
      </w:pPr>
      <w:r>
        <w:rPr>
          <w:rFonts w:ascii="Times New Roman" w:cs="Times New Roman" w:eastAsia="Times New Roman" w:hAnsi="Times New Roman"/>
          <w:sz w:val="20"/>
          <w:szCs w:val="20"/>
          <w:color w:val="4C4C4E"/>
        </w:rPr>
        <w:t>exercise warrants, options or convertible securities that were acquired in the original or subsequent financing; or</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3"/>
        </w:numPr>
        <w:rPr>
          <w:rFonts w:ascii="Arial" w:cs="Arial" w:eastAsia="Arial" w:hAnsi="Arial"/>
          <w:sz w:val="20"/>
          <w:szCs w:val="20"/>
          <w:color w:val="4C4C4E"/>
        </w:rPr>
      </w:pPr>
      <w:r>
        <w:rPr>
          <w:rFonts w:ascii="Times New Roman" w:cs="Times New Roman" w:eastAsia="Times New Roman" w:hAnsi="Times New Roman"/>
          <w:sz w:val="20"/>
          <w:szCs w:val="20"/>
          <w:color w:val="4C4C4E"/>
        </w:rPr>
        <w:t>attempt to preserve or enhance the value of our investment.</w:t>
      </w:r>
    </w:p>
    <w:p>
      <w:pPr>
        <w:spacing w:after="0" w:line="239" w:lineRule="exact"/>
        <w:rPr>
          <w:sz w:val="20"/>
          <w:szCs w:val="20"/>
          <w:color w:val="auto"/>
        </w:rPr>
      </w:pPr>
    </w:p>
    <w:p>
      <w:pPr>
        <w:ind w:right="120" w:firstLine="245"/>
        <w:spacing w:after="0" w:line="258" w:lineRule="auto"/>
        <w:rPr>
          <w:sz w:val="20"/>
          <w:szCs w:val="20"/>
          <w:color w:val="auto"/>
        </w:rPr>
      </w:pPr>
      <w:r>
        <w:rPr>
          <w:rFonts w:ascii="Times New Roman" w:cs="Times New Roman" w:eastAsia="Times New Roman" w:hAnsi="Times New Roman"/>
          <w:sz w:val="20"/>
          <w:szCs w:val="20"/>
          <w:color w:val="4C4C4E"/>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8"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4C4C4E"/>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Any acquisitions or strategic investments that we pursue are subject to risks and uncertainties.</w:t>
      </w:r>
    </w:p>
    <w:p>
      <w:pPr>
        <w:spacing w:after="0" w:line="12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200" w:lineRule="exact"/>
        <w:rPr>
          <w:sz w:val="20"/>
          <w:szCs w:val="20"/>
          <w:color w:val="auto"/>
        </w:rPr>
      </w:pPr>
    </w:p>
    <w:p>
      <w:pPr>
        <w:ind w:right="60" w:firstLine="245"/>
        <w:spacing w:after="0" w:line="245" w:lineRule="auto"/>
        <w:rPr>
          <w:sz w:val="20"/>
          <w:szCs w:val="20"/>
          <w:color w:val="auto"/>
        </w:rPr>
      </w:pPr>
      <w:r>
        <w:rPr>
          <w:rFonts w:ascii="Times New Roman" w:cs="Times New Roman" w:eastAsia="Times New Roman" w:hAnsi="Times New Roman"/>
          <w:sz w:val="20"/>
          <w:szCs w:val="20"/>
          <w:color w:val="4C4C4E"/>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202" w:lineRule="exact"/>
        <w:rPr>
          <w:sz w:val="20"/>
          <w:szCs w:val="20"/>
          <w:color w:val="auto"/>
        </w:rPr>
      </w:pPr>
    </w:p>
    <w:p>
      <w:pPr>
        <w:ind w:right="120" w:firstLine="245"/>
        <w:spacing w:after="0" w:line="258" w:lineRule="auto"/>
        <w:rPr>
          <w:sz w:val="20"/>
          <w:szCs w:val="20"/>
          <w:color w:val="auto"/>
        </w:rPr>
      </w:pPr>
      <w:r>
        <w:rPr>
          <w:rFonts w:ascii="Times New Roman" w:cs="Times New Roman" w:eastAsia="Times New Roman" w:hAnsi="Times New Roman"/>
          <w:sz w:val="20"/>
          <w:szCs w:val="20"/>
          <w:color w:val="4C4C4E"/>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ectPr>
          <w:pgSz w:w="11880" w:h="15480" w:orient="portrait"/>
          <w:cols w:equalWidth="0" w:num="1">
            <w:col w:w="10660"/>
          </w:cols>
          <w:pgMar w:left="68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48</w:t>
      </w:r>
    </w:p>
    <w:p>
      <w:pPr>
        <w:sectPr>
          <w:pgSz w:w="11880" w:h="15480" w:orient="portrait"/>
          <w:cols w:equalWidth="0" w:num="1">
            <w:col w:w="10660"/>
          </w:cols>
          <w:pgMar w:left="680" w:top="750" w:right="540" w:bottom="0" w:gutter="0" w:footer="0" w:header="0"/>
          <w:type w:val="continuous"/>
        </w:sectPr>
      </w:pPr>
    </w:p>
    <w:bookmarkStart w:id="48" w:name="page49"/>
    <w:bookmarkEnd w:id="48"/>
    <w:p>
      <w:pPr>
        <w:ind w:right="20"/>
        <w:spacing w:after="0" w:line="267" w:lineRule="auto"/>
        <w:rPr>
          <w:sz w:val="20"/>
          <w:szCs w:val="20"/>
          <w:color w:val="auto"/>
        </w:rPr>
      </w:pPr>
      <w:r>
        <w:rPr>
          <w:rFonts w:ascii="Times New Roman" w:cs="Times New Roman" w:eastAsia="Times New Roman" w:hAnsi="Times New Roman"/>
          <w:sz w:val="20"/>
          <w:szCs w:val="20"/>
          <w:b w:val="1"/>
          <w:bCs w:val="1"/>
          <w:i w:val="1"/>
          <w:iCs w:val="1"/>
          <w:color w:val="4C4C4E"/>
        </w:rPr>
        <w:t>We cannot guarantee that we will be able to obtain various required licenses in U.S. states or in any other jurisdiction where they may be required in the future.</w:t>
      </w:r>
    </w:p>
    <w:p>
      <w:pPr>
        <w:spacing w:after="0" w:line="49" w:lineRule="exact"/>
        <w:rPr>
          <w:sz w:val="20"/>
          <w:szCs w:val="20"/>
          <w:color w:val="auto"/>
        </w:rPr>
      </w:pPr>
    </w:p>
    <w:p>
      <w:pPr>
        <w:ind w:right="20" w:firstLine="245"/>
        <w:spacing w:after="0" w:line="236" w:lineRule="auto"/>
        <w:rPr>
          <w:sz w:val="20"/>
          <w:szCs w:val="20"/>
          <w:color w:val="auto"/>
        </w:rPr>
      </w:pPr>
      <w:r>
        <w:rPr>
          <w:rFonts w:ascii="Times New Roman" w:cs="Times New Roman" w:eastAsia="Times New Roman" w:hAnsi="Times New Roman"/>
          <w:sz w:val="20"/>
          <w:szCs w:val="20"/>
          <w:color w:val="4C4C4E"/>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Our investments in foreign companies may involve significant risks in addition to the risks inherent in U.S. investments.</w:t>
      </w:r>
    </w:p>
    <w:p>
      <w:pPr>
        <w:spacing w:after="0" w:line="110" w:lineRule="exact"/>
        <w:rPr>
          <w:sz w:val="20"/>
          <w:szCs w:val="20"/>
          <w:color w:val="auto"/>
        </w:rPr>
      </w:pPr>
    </w:p>
    <w:p>
      <w:pPr>
        <w:ind w:right="40" w:firstLine="245"/>
        <w:spacing w:after="0" w:line="235" w:lineRule="auto"/>
        <w:rPr>
          <w:sz w:val="20"/>
          <w:szCs w:val="20"/>
          <w:color w:val="auto"/>
        </w:rPr>
      </w:pPr>
      <w:r>
        <w:rPr>
          <w:rFonts w:ascii="Times New Roman" w:cs="Times New Roman" w:eastAsia="Times New Roman" w:hAnsi="Times New Roman"/>
          <w:sz w:val="20"/>
          <w:szCs w:val="20"/>
          <w:color w:val="4C4C4E"/>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Russia’s invasion of Ukraine and conflict in the Middle East, among other current events, could also have negative impacts on the economies of countries in Europe and elsewhere. In addition, interest income derived from loans to foreign companies is not eligible to be distributed to our non-U.S. stockholders free from withholding taxes.</w:t>
      </w:r>
    </w:p>
    <w:p>
      <w:pPr>
        <w:spacing w:after="0" w:line="197" w:lineRule="exact"/>
        <w:rPr>
          <w:sz w:val="20"/>
          <w:szCs w:val="20"/>
          <w:color w:val="auto"/>
        </w:rPr>
      </w:pPr>
    </w:p>
    <w:p>
      <w:pPr>
        <w:ind w:right="60" w:firstLine="245"/>
        <w:spacing w:after="0" w:line="237" w:lineRule="auto"/>
        <w:rPr>
          <w:sz w:val="20"/>
          <w:szCs w:val="20"/>
          <w:color w:val="auto"/>
        </w:rPr>
      </w:pPr>
      <w:r>
        <w:rPr>
          <w:rFonts w:ascii="Times New Roman" w:cs="Times New Roman" w:eastAsia="Times New Roman" w:hAnsi="Times New Roman"/>
          <w:sz w:val="20"/>
          <w:szCs w:val="20"/>
          <w:color w:val="4C4C4E"/>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expose ourselves to risks when we engage in hedging transactions.</w:t>
      </w:r>
    </w:p>
    <w:p>
      <w:pPr>
        <w:spacing w:after="0" w:line="110" w:lineRule="exact"/>
        <w:rPr>
          <w:sz w:val="20"/>
          <w:szCs w:val="20"/>
          <w:color w:val="auto"/>
        </w:rPr>
      </w:pPr>
    </w:p>
    <w:p>
      <w:pPr>
        <w:ind w:right="220" w:firstLine="245"/>
        <w:spacing w:after="0" w:line="237" w:lineRule="auto"/>
        <w:rPr>
          <w:sz w:val="20"/>
          <w:szCs w:val="20"/>
          <w:color w:val="auto"/>
        </w:rPr>
      </w:pPr>
      <w:r>
        <w:rPr>
          <w:rFonts w:ascii="Times New Roman" w:cs="Times New Roman" w:eastAsia="Times New Roman" w:hAnsi="Times New Roman"/>
          <w:sz w:val="20"/>
          <w:szCs w:val="20"/>
          <w:color w:val="4C4C4E"/>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200" w:lineRule="exact"/>
        <w:rPr>
          <w:sz w:val="20"/>
          <w:szCs w:val="20"/>
          <w:color w:val="auto"/>
        </w:rPr>
      </w:pPr>
    </w:p>
    <w:p>
      <w:pPr>
        <w:ind w:right="120" w:firstLine="245"/>
        <w:spacing w:after="0" w:line="236" w:lineRule="auto"/>
        <w:rPr>
          <w:sz w:val="20"/>
          <w:szCs w:val="20"/>
          <w:color w:val="auto"/>
        </w:rPr>
      </w:pPr>
      <w:r>
        <w:rPr>
          <w:rFonts w:ascii="Times New Roman" w:cs="Times New Roman" w:eastAsia="Times New Roman" w:hAnsi="Times New Roman"/>
          <w:sz w:val="20"/>
          <w:szCs w:val="20"/>
          <w:color w:val="4C4C4E"/>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ind w:firstLine="245"/>
        <w:spacing w:after="0" w:line="237" w:lineRule="auto"/>
        <w:rPr>
          <w:sz w:val="20"/>
          <w:szCs w:val="20"/>
          <w:color w:val="auto"/>
        </w:rPr>
      </w:pPr>
      <w:r>
        <w:rPr>
          <w:rFonts w:ascii="Times New Roman" w:cs="Times New Roman" w:eastAsia="Times New Roman" w:hAnsi="Times New Roman"/>
          <w:sz w:val="20"/>
          <w:szCs w:val="20"/>
          <w:color w:val="4C4C4E"/>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200" w:lineRule="exact"/>
        <w:rPr>
          <w:sz w:val="20"/>
          <w:szCs w:val="20"/>
          <w:color w:val="auto"/>
        </w:rPr>
      </w:pPr>
    </w:p>
    <w:p>
      <w:pPr>
        <w:ind w:right="40" w:firstLine="245"/>
        <w:spacing w:after="0" w:line="250" w:lineRule="auto"/>
        <w:rPr>
          <w:sz w:val="20"/>
          <w:szCs w:val="20"/>
          <w:color w:val="auto"/>
        </w:rPr>
      </w:pPr>
      <w:r>
        <w:rPr>
          <w:rFonts w:ascii="Times New Roman" w:cs="Times New Roman" w:eastAsia="Times New Roman" w:hAnsi="Times New Roman"/>
          <w:sz w:val="19"/>
          <w:szCs w:val="19"/>
          <w:color w:val="4C4C4E"/>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2026 Notes, 2028 Notes, 2029 Notes and 2030 Notes, which bear interest at fixed rates, we entered into fixed-to-floating interest rate swaps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w:t>
      </w:r>
    </w:p>
    <w:p>
      <w:pPr>
        <w:sectPr>
          <w:pgSz w:w="11880" w:h="15480" w:orient="portrait"/>
          <w:cols w:equalWidth="0" w:num="1">
            <w:col w:w="10640"/>
          </w:cols>
          <w:pgMar w:left="680" w:top="742" w:right="560" w:bottom="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49</w:t>
      </w:r>
    </w:p>
    <w:p>
      <w:pPr>
        <w:sectPr>
          <w:pgSz w:w="11880" w:h="15480" w:orient="portrait"/>
          <w:cols w:equalWidth="0" w:num="1">
            <w:col w:w="10640"/>
          </w:cols>
          <w:pgMar w:left="680" w:top="742" w:right="560" w:bottom="0" w:gutter="0" w:footer="0" w:header="0"/>
          <w:type w:val="continuous"/>
        </w:sectPr>
      </w:pPr>
    </w:p>
    <w:bookmarkStart w:id="49" w:name="page50"/>
    <w:bookmarkEnd w:id="49"/>
    <w:p>
      <w:pPr>
        <w:ind w:right="220"/>
        <w:spacing w:after="0" w:line="267" w:lineRule="auto"/>
        <w:rPr>
          <w:sz w:val="20"/>
          <w:szCs w:val="20"/>
          <w:color w:val="auto"/>
        </w:rPr>
      </w:pPr>
      <w:r>
        <w:rPr>
          <w:rFonts w:ascii="Times New Roman" w:cs="Times New Roman" w:eastAsia="Times New Roman" w:hAnsi="Times New Roman"/>
          <w:sz w:val="20"/>
          <w:szCs w:val="20"/>
          <w:color w:val="4C4C4E"/>
        </w:rPr>
        <w:t>movements in the portfolio positions being hedged may vary, as may the time period in which the hedge is effective relative to the time period of the related exposure.</w:t>
      </w:r>
    </w:p>
    <w:p>
      <w:pPr>
        <w:spacing w:after="0" w:line="173" w:lineRule="exact"/>
        <w:rPr>
          <w:sz w:val="20"/>
          <w:szCs w:val="20"/>
          <w:color w:val="auto"/>
        </w:rPr>
      </w:pPr>
    </w:p>
    <w:p>
      <w:pPr>
        <w:ind w:right="20" w:firstLine="245"/>
        <w:spacing w:after="0" w:line="238" w:lineRule="auto"/>
        <w:rPr>
          <w:sz w:val="20"/>
          <w:szCs w:val="20"/>
          <w:color w:val="auto"/>
        </w:rPr>
      </w:pPr>
      <w:r>
        <w:rPr>
          <w:rFonts w:ascii="Times New Roman" w:cs="Times New Roman" w:eastAsia="Times New Roman" w:hAnsi="Times New Roman"/>
          <w:sz w:val="20"/>
          <w:szCs w:val="20"/>
          <w:color w:val="4C4C4E"/>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20"/>
          <w:szCs w:val="20"/>
          <w:i w:val="1"/>
          <w:iCs w:val="1"/>
          <w:color w:val="4C4C4E"/>
        </w:rPr>
        <w:t>—Risks Related</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to Our Portfolio Company Investments—The market structure applicable to derivatives imposed by the Dodd-Frank Act may affect our ability to use over-the-counter (“OTC”) derivatives for hedging purposes</w:t>
      </w:r>
      <w:r>
        <w:rPr>
          <w:rFonts w:ascii="Times New Roman" w:cs="Times New Roman" w:eastAsia="Times New Roman" w:hAnsi="Times New Roman"/>
          <w:sz w:val="20"/>
          <w:szCs w:val="20"/>
          <w:color w:val="4C4C4E"/>
        </w:rPr>
        <w:t>.” See also “</w:t>
      </w:r>
      <w:r>
        <w:rPr>
          <w:rFonts w:ascii="Times New Roman" w:cs="Times New Roman" w:eastAsia="Times New Roman" w:hAnsi="Times New Roman"/>
          <w:sz w:val="20"/>
          <w:szCs w:val="20"/>
          <w:i w:val="1"/>
          <w:iCs w:val="1"/>
          <w:color w:val="4C4C4E"/>
        </w:rPr>
        <w:t>—Risks Related to Our Portfolio Company Investments—We are exposed to risks associated with changes in interest rates</w:t>
      </w:r>
      <w:r>
        <w:rPr>
          <w:rFonts w:ascii="Times New Roman" w:cs="Times New Roman" w:eastAsia="Times New Roman" w:hAnsi="Times New Roman"/>
          <w:sz w:val="20"/>
          <w:szCs w:val="20"/>
          <w:color w:val="4C4C4E"/>
        </w:rPr>
        <w:t>” and “</w:t>
      </w:r>
      <w:r>
        <w:rPr>
          <w:rFonts w:ascii="Times New Roman" w:cs="Times New Roman" w:eastAsia="Times New Roman" w:hAnsi="Times New Roman"/>
          <w:sz w:val="20"/>
          <w:szCs w:val="20"/>
          <w:i w:val="1"/>
          <w:iCs w:val="1"/>
          <w:color w:val="4C4C4E"/>
        </w:rPr>
        <w:t>ITEM 7. MANAGEMENT’S DISCUSSION AND ANALYSIS OF FINANCIAL CONDITION AND RESULTS OF OPERATIONS—Results of Operations—Interest Rate and Foreign Currency Hedging</w:t>
      </w:r>
      <w:r>
        <w:rPr>
          <w:rFonts w:ascii="Times New Roman" w:cs="Times New Roman" w:eastAsia="Times New Roman" w:hAnsi="Times New Roman"/>
          <w:sz w:val="20"/>
          <w:szCs w:val="20"/>
          <w:color w:val="4C4C4E"/>
        </w:rPr>
        <w:t>.”</w:t>
      </w:r>
    </w:p>
    <w:p>
      <w:pPr>
        <w:spacing w:after="0" w:line="206" w:lineRule="exact"/>
        <w:rPr>
          <w:sz w:val="20"/>
          <w:szCs w:val="20"/>
          <w:color w:val="auto"/>
        </w:rPr>
      </w:pPr>
    </w:p>
    <w:p>
      <w:pPr>
        <w:ind w:right="140" w:firstLine="245"/>
        <w:spacing w:after="0" w:line="239" w:lineRule="auto"/>
        <w:rPr>
          <w:sz w:val="20"/>
          <w:szCs w:val="20"/>
          <w:color w:val="auto"/>
        </w:rPr>
      </w:pPr>
      <w:r>
        <w:rPr>
          <w:rFonts w:ascii="Times New Roman" w:cs="Times New Roman" w:eastAsia="Times New Roman" w:hAnsi="Times New Roman"/>
          <w:sz w:val="20"/>
          <w:szCs w:val="20"/>
          <w:color w:val="4C4C4E"/>
        </w:rPr>
        <w:t>Finally, Rule 18f -4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326"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20"/>
          <w:szCs w:val="20"/>
          <w:b w:val="1"/>
          <w:bCs w:val="1"/>
          <w:i w:val="1"/>
          <w:iCs w:val="1"/>
          <w:color w:val="4C4C4E"/>
        </w:rPr>
        <w:t>The market structure applicable to derivatives imposed by the Dodd-Frank Act may affect our ability to use over-the-counter (“OTC”) derivatives for hedging purposes.</w:t>
      </w:r>
    </w:p>
    <w:p>
      <w:pPr>
        <w:spacing w:after="0" w:line="49" w:lineRule="exact"/>
        <w:rPr>
          <w:sz w:val="20"/>
          <w:szCs w:val="20"/>
          <w:color w:val="auto"/>
        </w:rPr>
      </w:pPr>
    </w:p>
    <w:p>
      <w:pPr>
        <w:ind w:right="200" w:firstLine="245"/>
        <w:spacing w:after="0" w:line="247" w:lineRule="auto"/>
        <w:rPr>
          <w:sz w:val="20"/>
          <w:szCs w:val="20"/>
          <w:color w:val="auto"/>
        </w:rPr>
      </w:pPr>
      <w:r>
        <w:rPr>
          <w:rFonts w:ascii="Times New Roman" w:cs="Times New Roman" w:eastAsia="Times New Roman" w:hAnsi="Times New Roman"/>
          <w:sz w:val="20"/>
          <w:szCs w:val="20"/>
          <w:color w:val="4C4C4E"/>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19" w:lineRule="exact"/>
        <w:rPr>
          <w:sz w:val="20"/>
          <w:szCs w:val="20"/>
          <w:color w:val="auto"/>
        </w:rPr>
      </w:pPr>
    </w:p>
    <w:p>
      <w:pPr>
        <w:ind w:firstLine="245"/>
        <w:spacing w:after="0" w:line="238" w:lineRule="auto"/>
        <w:rPr>
          <w:sz w:val="20"/>
          <w:szCs w:val="20"/>
          <w:color w:val="auto"/>
        </w:rPr>
      </w:pPr>
      <w:r>
        <w:rPr>
          <w:rFonts w:ascii="Times New Roman" w:cs="Times New Roman" w:eastAsia="Times New Roman" w:hAnsi="Times New Roman"/>
          <w:sz w:val="20"/>
          <w:szCs w:val="20"/>
          <w:color w:val="4C4C4E"/>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2026 Notes, 2028 Notes, 2029 Notes and 2030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203" w:lineRule="exact"/>
        <w:rPr>
          <w:sz w:val="20"/>
          <w:szCs w:val="20"/>
          <w:color w:val="auto"/>
        </w:rPr>
      </w:pPr>
    </w:p>
    <w:p>
      <w:pPr>
        <w:ind w:right="320" w:firstLine="245"/>
        <w:spacing w:after="0"/>
        <w:rPr>
          <w:sz w:val="20"/>
          <w:szCs w:val="20"/>
          <w:color w:val="auto"/>
        </w:rPr>
      </w:pPr>
      <w:r>
        <w:rPr>
          <w:rFonts w:ascii="Times New Roman" w:cs="Times New Roman" w:eastAsia="Times New Roman" w:hAnsi="Times New Roman"/>
          <w:sz w:val="20"/>
          <w:szCs w:val="20"/>
          <w:color w:val="4C4C4E"/>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2548255</wp:posOffset>
                </wp:positionH>
                <wp:positionV relativeFrom="paragraph">
                  <wp:posOffset>-923925</wp:posOffset>
                </wp:positionV>
                <wp:extent cx="3175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6324">
                          <a:solidFill>
                            <a:srgbClr val="4C4C4E"/>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0.65pt,-72.7499pt" to="203.15pt,-72.7499pt" o:allowincell="f" strokecolor="#4C4C4E" strokeweight="0.498pt"/>
            </w:pict>
          </mc:Fallback>
        </mc:AlternateContent>
      </w:r>
    </w:p>
    <w:p>
      <w:pPr>
        <w:sectPr>
          <w:pgSz w:w="11880" w:h="15480" w:orient="portrait"/>
          <w:cols w:equalWidth="0" w:num="1">
            <w:col w:w="10660"/>
          </w:cols>
          <w:pgMar w:left="680" w:top="74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50</w:t>
      </w:r>
    </w:p>
    <w:p>
      <w:pPr>
        <w:sectPr>
          <w:pgSz w:w="11880" w:h="15480" w:orient="portrait"/>
          <w:cols w:equalWidth="0" w:num="1">
            <w:col w:w="10660"/>
          </w:cols>
          <w:pgMar w:left="680" w:top="742" w:right="540" w:bottom="0" w:gutter="0" w:footer="0" w:header="0"/>
          <w:type w:val="continuous"/>
        </w:sectPr>
      </w:pPr>
    </w:p>
    <w:bookmarkStart w:id="50" w:name="page51"/>
    <w:bookmarkEnd w:id="50"/>
    <w:p>
      <w:pPr>
        <w:ind w:right="620"/>
        <w:spacing w:after="0" w:line="272" w:lineRule="auto"/>
        <w:rPr>
          <w:sz w:val="20"/>
          <w:szCs w:val="20"/>
          <w:color w:val="auto"/>
        </w:rPr>
      </w:pPr>
      <w:r>
        <w:rPr>
          <w:rFonts w:ascii="Times New Roman" w:cs="Times New Roman" w:eastAsia="Times New Roman" w:hAnsi="Times New Roman"/>
          <w:sz w:val="20"/>
          <w:szCs w:val="20"/>
          <w:b w:val="1"/>
          <w:bCs w:val="1"/>
          <w:i w:val="1"/>
          <w:iCs w:val="1"/>
          <w:color w:val="4C4C4E"/>
        </w:rPr>
        <w:t>If we cease to be eligible for an exemption from regulation as a commodity pool operator, our compliance expenses could increase substantially.</w:t>
      </w:r>
    </w:p>
    <w:p>
      <w:pPr>
        <w:spacing w:after="0" w:line="49" w:lineRule="exact"/>
        <w:rPr>
          <w:sz w:val="20"/>
          <w:szCs w:val="20"/>
          <w:color w:val="auto"/>
        </w:rPr>
      </w:pPr>
    </w:p>
    <w:p>
      <w:pPr>
        <w:ind w:firstLine="245"/>
        <w:spacing w:after="0" w:line="253" w:lineRule="auto"/>
        <w:rPr>
          <w:sz w:val="20"/>
          <w:szCs w:val="20"/>
          <w:color w:val="auto"/>
        </w:rPr>
      </w:pPr>
      <w:r>
        <w:rPr>
          <w:rFonts w:ascii="Times New Roman" w:cs="Times New Roman" w:eastAsia="Times New Roman" w:hAnsi="Times New Roman"/>
          <w:sz w:val="20"/>
          <w:szCs w:val="20"/>
          <w:color w:val="4C4C4E"/>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82" w:lineRule="exact"/>
        <w:rPr>
          <w:sz w:val="20"/>
          <w:szCs w:val="20"/>
          <w:color w:val="auto"/>
        </w:rPr>
      </w:pPr>
    </w:p>
    <w:p>
      <w:pPr>
        <w:ind w:left="500" w:hanging="251"/>
        <w:spacing w:after="0"/>
        <w:tabs>
          <w:tab w:leader="none" w:pos="500" w:val="left"/>
        </w:tabs>
        <w:numPr>
          <w:ilvl w:val="0"/>
          <w:numId w:val="44"/>
        </w:numPr>
        <w:rPr>
          <w:rFonts w:ascii="Arial" w:cs="Arial" w:eastAsia="Arial" w:hAnsi="Arial"/>
          <w:sz w:val="20"/>
          <w:szCs w:val="20"/>
          <w:color w:val="4C4C4E"/>
        </w:rPr>
      </w:pPr>
      <w:r>
        <w:rPr>
          <w:rFonts w:ascii="Times New Roman" w:cs="Times New Roman" w:eastAsia="Times New Roman" w:hAnsi="Times New Roman"/>
          <w:sz w:val="20"/>
          <w:szCs w:val="20"/>
          <w:color w:val="4C4C4E"/>
        </w:rPr>
        <w:t>continue to be regulated by the SEC as a BDC;</w:t>
      </w:r>
    </w:p>
    <w:p>
      <w:pPr>
        <w:spacing w:after="0" w:line="128" w:lineRule="exact"/>
        <w:rPr>
          <w:rFonts w:ascii="Arial" w:cs="Arial" w:eastAsia="Arial" w:hAnsi="Arial"/>
          <w:sz w:val="20"/>
          <w:szCs w:val="20"/>
          <w:color w:val="4C4C4E"/>
        </w:rPr>
      </w:pPr>
    </w:p>
    <w:p>
      <w:pPr>
        <w:ind w:left="500" w:hanging="251"/>
        <w:spacing w:after="0"/>
        <w:tabs>
          <w:tab w:leader="none" w:pos="500" w:val="left"/>
        </w:tabs>
        <w:numPr>
          <w:ilvl w:val="0"/>
          <w:numId w:val="44"/>
        </w:numPr>
        <w:rPr>
          <w:rFonts w:ascii="Arial" w:cs="Arial" w:eastAsia="Arial" w:hAnsi="Arial"/>
          <w:sz w:val="20"/>
          <w:szCs w:val="20"/>
          <w:color w:val="4C4C4E"/>
        </w:rPr>
      </w:pPr>
      <w:r>
        <w:rPr>
          <w:rFonts w:ascii="Times New Roman" w:cs="Times New Roman" w:eastAsia="Times New Roman" w:hAnsi="Times New Roman"/>
          <w:sz w:val="20"/>
          <w:szCs w:val="20"/>
          <w:color w:val="4C4C4E"/>
        </w:rPr>
        <w:t>confine our trading in CFTC-regulated derivatives within specified thresholds; and</w:t>
      </w:r>
    </w:p>
    <w:p>
      <w:pPr>
        <w:spacing w:after="0" w:line="128" w:lineRule="exact"/>
        <w:rPr>
          <w:rFonts w:ascii="Arial" w:cs="Arial" w:eastAsia="Arial" w:hAnsi="Arial"/>
          <w:sz w:val="20"/>
          <w:szCs w:val="20"/>
          <w:color w:val="4C4C4E"/>
        </w:rPr>
      </w:pPr>
    </w:p>
    <w:p>
      <w:pPr>
        <w:ind w:left="500" w:hanging="251"/>
        <w:spacing w:after="0"/>
        <w:tabs>
          <w:tab w:leader="none" w:pos="500" w:val="left"/>
        </w:tabs>
        <w:numPr>
          <w:ilvl w:val="0"/>
          <w:numId w:val="44"/>
        </w:numPr>
        <w:rPr>
          <w:rFonts w:ascii="Arial" w:cs="Arial" w:eastAsia="Arial" w:hAnsi="Arial"/>
          <w:sz w:val="20"/>
          <w:szCs w:val="20"/>
          <w:color w:val="4C4C4E"/>
        </w:rPr>
      </w:pPr>
      <w:r>
        <w:rPr>
          <w:rFonts w:ascii="Times New Roman" w:cs="Times New Roman" w:eastAsia="Times New Roman" w:hAnsi="Times New Roman"/>
          <w:sz w:val="20"/>
          <w:szCs w:val="20"/>
          <w:color w:val="4C4C4E"/>
        </w:rPr>
        <w:t>are not marketed to the public as a commodity pool or as a vehicle for trading in CFTC-regulated derivatives.</w:t>
      </w:r>
    </w:p>
    <w:p>
      <w:pPr>
        <w:spacing w:after="0" w:line="239" w:lineRule="exact"/>
        <w:rPr>
          <w:sz w:val="20"/>
          <w:szCs w:val="20"/>
          <w:color w:val="auto"/>
        </w:rPr>
      </w:pPr>
    </w:p>
    <w:p>
      <w:pPr>
        <w:ind w:right="260" w:firstLine="245"/>
        <w:spacing w:after="0" w:line="249" w:lineRule="auto"/>
        <w:rPr>
          <w:sz w:val="20"/>
          <w:szCs w:val="20"/>
          <w:color w:val="auto"/>
        </w:rPr>
      </w:pPr>
      <w:r>
        <w:rPr>
          <w:rFonts w:ascii="Times New Roman" w:cs="Times New Roman" w:eastAsia="Times New Roman" w:hAnsi="Times New Roman"/>
          <w:sz w:val="20"/>
          <w:szCs w:val="20"/>
          <w:color w:val="4C4C4E"/>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Our portfolio investments may present special tax issues.</w:t>
      </w:r>
    </w:p>
    <w:p>
      <w:pPr>
        <w:spacing w:after="0" w:line="120" w:lineRule="exact"/>
        <w:rPr>
          <w:sz w:val="20"/>
          <w:szCs w:val="20"/>
          <w:color w:val="auto"/>
        </w:rPr>
      </w:pPr>
    </w:p>
    <w:p>
      <w:pPr>
        <w:ind w:right="40" w:firstLine="245"/>
        <w:spacing w:after="0" w:line="243" w:lineRule="auto"/>
        <w:rPr>
          <w:sz w:val="20"/>
          <w:szCs w:val="20"/>
          <w:color w:val="auto"/>
        </w:rPr>
      </w:pPr>
      <w:r>
        <w:rPr>
          <w:rFonts w:ascii="Times New Roman" w:cs="Times New Roman" w:eastAsia="Times New Roman" w:hAnsi="Times New Roman"/>
          <w:sz w:val="20"/>
          <w:szCs w:val="20"/>
          <w:color w:val="4C4C4E"/>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20"/>
          <w:szCs w:val="20"/>
          <w:i w:val="1"/>
          <w:iCs w:val="1"/>
          <w:color w:val="4C4C4E"/>
        </w:rPr>
        <w:t>ITEM 1. BUSINESS—Regulation as a Business Development</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Company</w:t>
      </w:r>
      <w:r>
        <w:rPr>
          <w:rFonts w:ascii="Times New Roman" w:cs="Times New Roman" w:eastAsia="Times New Roman" w:hAnsi="Times New Roman"/>
          <w:sz w:val="20"/>
          <w:szCs w:val="20"/>
          <w:color w:val="4C4C4E"/>
        </w:rPr>
        <w:t>—</w:t>
      </w:r>
      <w:r>
        <w:rPr>
          <w:rFonts w:ascii="Times New Roman" w:cs="Times New Roman" w:eastAsia="Times New Roman" w:hAnsi="Times New Roman"/>
          <w:sz w:val="20"/>
          <w:szCs w:val="20"/>
          <w:i w:val="1"/>
          <w:iCs w:val="1"/>
          <w:color w:val="4C4C4E"/>
        </w:rPr>
        <w:t>Regulated Investment Company Classification</w:t>
      </w:r>
      <w:r>
        <w:rPr>
          <w:rFonts w:ascii="Times New Roman" w:cs="Times New Roman" w:eastAsia="Times New Roman" w:hAnsi="Times New Roman"/>
          <w:sz w:val="20"/>
          <w:szCs w:val="20"/>
          <w:color w:val="4C4C4E"/>
        </w:rPr>
        <w:t>” for more information.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There are certain risks associated with holding debt obligations that have original issue discount or payment-in-kind interest.</w:t>
      </w:r>
    </w:p>
    <w:p>
      <w:pPr>
        <w:spacing w:after="0" w:line="120" w:lineRule="exact"/>
        <w:rPr>
          <w:sz w:val="20"/>
          <w:szCs w:val="20"/>
          <w:color w:val="auto"/>
        </w:rPr>
      </w:pPr>
    </w:p>
    <w:p>
      <w:pPr>
        <w:ind w:right="140" w:firstLine="245"/>
        <w:spacing w:after="0" w:line="258" w:lineRule="auto"/>
        <w:rPr>
          <w:sz w:val="20"/>
          <w:szCs w:val="20"/>
          <w:color w:val="auto"/>
        </w:rPr>
      </w:pPr>
      <w:r>
        <w:rPr>
          <w:rFonts w:ascii="Times New Roman" w:cs="Times New Roman" w:eastAsia="Times New Roman" w:hAnsi="Times New Roman"/>
          <w:sz w:val="20"/>
          <w:szCs w:val="20"/>
          <w:color w:val="4C4C4E"/>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8" w:lineRule="exact"/>
        <w:rPr>
          <w:sz w:val="20"/>
          <w:szCs w:val="20"/>
          <w:color w:val="auto"/>
        </w:rPr>
      </w:pPr>
    </w:p>
    <w:p>
      <w:pPr>
        <w:ind w:right="300" w:firstLine="245"/>
        <w:spacing w:after="0" w:line="252" w:lineRule="auto"/>
        <w:rPr>
          <w:sz w:val="20"/>
          <w:szCs w:val="20"/>
          <w:color w:val="auto"/>
        </w:rPr>
      </w:pPr>
      <w:r>
        <w:rPr>
          <w:rFonts w:ascii="Times New Roman" w:cs="Times New Roman" w:eastAsia="Times New Roman" w:hAnsi="Times New Roman"/>
          <w:sz w:val="20"/>
          <w:szCs w:val="20"/>
          <w:color w:val="4C4C4E"/>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94"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4C4C4E"/>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88" w:lineRule="exact"/>
        <w:rPr>
          <w:sz w:val="20"/>
          <w:szCs w:val="20"/>
          <w:color w:val="auto"/>
        </w:rPr>
      </w:pPr>
    </w:p>
    <w:p>
      <w:pPr>
        <w:ind w:right="140" w:firstLine="245"/>
        <w:spacing w:after="0" w:line="252" w:lineRule="auto"/>
        <w:rPr>
          <w:sz w:val="20"/>
          <w:szCs w:val="20"/>
          <w:color w:val="auto"/>
        </w:rPr>
      </w:pPr>
      <w:r>
        <w:rPr>
          <w:rFonts w:ascii="Times New Roman" w:cs="Times New Roman" w:eastAsia="Times New Roman" w:hAnsi="Times New Roman"/>
          <w:sz w:val="20"/>
          <w:szCs w:val="20"/>
          <w:color w:val="4C4C4E"/>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ectPr>
          <w:pgSz w:w="11880" w:h="15480" w:orient="portrait"/>
          <w:cols w:equalWidth="0" w:num="1">
            <w:col w:w="10600"/>
          </w:cols>
          <w:pgMar w:left="680" w:top="746"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C4C4E"/>
        </w:rPr>
        <w:t>51</w:t>
      </w:r>
    </w:p>
    <w:p>
      <w:pPr>
        <w:sectPr>
          <w:pgSz w:w="11880" w:h="15480" w:orient="portrait"/>
          <w:cols w:equalWidth="0" w:num="1">
            <w:col w:w="10600"/>
          </w:cols>
          <w:pgMar w:left="680" w:top="746" w:right="600" w:bottom="0" w:gutter="0" w:footer="0" w:header="0"/>
          <w:type w:val="continuous"/>
        </w:sectPr>
      </w:pPr>
    </w:p>
    <w:bookmarkStart w:id="51" w:name="page52"/>
    <w:bookmarkEnd w:id="51"/>
    <w:p>
      <w:pPr>
        <w:ind w:right="120" w:firstLine="245"/>
        <w:spacing w:after="0" w:line="253" w:lineRule="auto"/>
        <w:rPr>
          <w:sz w:val="20"/>
          <w:szCs w:val="20"/>
          <w:color w:val="auto"/>
        </w:rPr>
      </w:pPr>
      <w:r>
        <w:rPr>
          <w:rFonts w:ascii="Times New Roman" w:cs="Times New Roman" w:eastAsia="Times New Roman" w:hAnsi="Times New Roman"/>
          <w:sz w:val="20"/>
          <w:szCs w:val="20"/>
          <w:color w:val="4C4C4E"/>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Risks Related to Our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There is a risk that investors in our common stock may not receive dividends or that our dividends may not grow over time.</w:t>
      </w:r>
    </w:p>
    <w:p>
      <w:pPr>
        <w:spacing w:after="0" w:line="115" w:lineRule="exact"/>
        <w:rPr>
          <w:sz w:val="20"/>
          <w:szCs w:val="20"/>
          <w:color w:val="auto"/>
        </w:rPr>
      </w:pPr>
    </w:p>
    <w:p>
      <w:pPr>
        <w:ind w:firstLine="245"/>
        <w:spacing w:after="0"/>
        <w:rPr>
          <w:sz w:val="20"/>
          <w:szCs w:val="20"/>
          <w:color w:val="auto"/>
        </w:rPr>
      </w:pPr>
      <w:r>
        <w:rPr>
          <w:rFonts w:ascii="Times New Roman" w:cs="Times New Roman" w:eastAsia="Times New Roman" w:hAnsi="Times New Roman"/>
          <w:sz w:val="20"/>
          <w:szCs w:val="20"/>
          <w:color w:val="4C4C4E"/>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202"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4C4C4E"/>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20"/>
          <w:szCs w:val="20"/>
          <w:i w:val="1"/>
          <w:iCs w:val="1"/>
          <w:color w:val="4C4C4E"/>
        </w:rPr>
        <w:t>—Risks Related to Our Portfolio Company Investments—There</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are certain risks associated with holding debt obligations that have original issue discount or payment-in-kind interest</w:t>
      </w:r>
      <w:r>
        <w:rPr>
          <w:rFonts w:ascii="Times New Roman" w:cs="Times New Roman" w:eastAsia="Times New Roman" w:hAnsi="Times New Roman"/>
          <w:sz w:val="20"/>
          <w:szCs w:val="20"/>
          <w:color w:val="4C4C4E"/>
        </w:rPr>
        <w:t>.”</w:t>
      </w:r>
    </w:p>
    <w:p>
      <w:pPr>
        <w:spacing w:after="0" w:line="197"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4C4C4E"/>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200"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4C4C4E"/>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94" w:lineRule="exact"/>
        <w:rPr>
          <w:sz w:val="20"/>
          <w:szCs w:val="20"/>
          <w:color w:val="auto"/>
        </w:rPr>
      </w:pPr>
    </w:p>
    <w:p>
      <w:pPr>
        <w:ind w:right="160" w:firstLine="245"/>
        <w:spacing w:after="0" w:line="242" w:lineRule="auto"/>
        <w:rPr>
          <w:sz w:val="20"/>
          <w:szCs w:val="20"/>
          <w:color w:val="auto"/>
        </w:rPr>
      </w:pPr>
      <w:r>
        <w:rPr>
          <w:rFonts w:ascii="Times New Roman" w:cs="Times New Roman" w:eastAsia="Times New Roman" w:hAnsi="Times New Roman"/>
          <w:sz w:val="20"/>
          <w:szCs w:val="20"/>
          <w:color w:val="4C4C4E"/>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200" w:lineRule="exact"/>
        <w:rPr>
          <w:sz w:val="20"/>
          <w:szCs w:val="20"/>
          <w:color w:val="auto"/>
        </w:rPr>
      </w:pPr>
    </w:p>
    <w:p>
      <w:pPr>
        <w:ind w:right="180" w:firstLine="245"/>
        <w:spacing w:after="0" w:line="247" w:lineRule="auto"/>
        <w:rPr>
          <w:sz w:val="20"/>
          <w:szCs w:val="20"/>
          <w:color w:val="auto"/>
        </w:rPr>
      </w:pPr>
      <w:r>
        <w:rPr>
          <w:rFonts w:ascii="Times New Roman" w:cs="Times New Roman" w:eastAsia="Times New Roman" w:hAnsi="Times New Roman"/>
          <w:sz w:val="20"/>
          <w:szCs w:val="20"/>
          <w:color w:val="4C4C4E"/>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Investing in our securities may involve a high degree of risk.</w:t>
      </w:r>
    </w:p>
    <w:p>
      <w:pPr>
        <w:spacing w:after="0" w:line="115" w:lineRule="exact"/>
        <w:rPr>
          <w:sz w:val="20"/>
          <w:szCs w:val="20"/>
          <w:color w:val="auto"/>
        </w:rPr>
      </w:pPr>
    </w:p>
    <w:p>
      <w:pPr>
        <w:ind w:right="420" w:firstLine="245"/>
        <w:spacing w:after="0" w:line="253" w:lineRule="auto"/>
        <w:rPr>
          <w:sz w:val="20"/>
          <w:szCs w:val="20"/>
          <w:color w:val="auto"/>
        </w:rPr>
      </w:pPr>
      <w:r>
        <w:rPr>
          <w:rFonts w:ascii="Times New Roman" w:cs="Times New Roman" w:eastAsia="Times New Roman" w:hAnsi="Times New Roman"/>
          <w:sz w:val="20"/>
          <w:szCs w:val="20"/>
          <w:color w:val="4C4C4E"/>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The market price of our common stock may fluctuate significantly.</w:t>
      </w:r>
    </w:p>
    <w:p>
      <w:pPr>
        <w:spacing w:after="0" w:line="115" w:lineRule="exact"/>
        <w:rPr>
          <w:sz w:val="20"/>
          <w:szCs w:val="20"/>
          <w:color w:val="auto"/>
        </w:rPr>
      </w:pPr>
    </w:p>
    <w:p>
      <w:pPr>
        <w:ind w:right="140" w:firstLine="245"/>
        <w:spacing w:after="0" w:line="272" w:lineRule="auto"/>
        <w:rPr>
          <w:sz w:val="20"/>
          <w:szCs w:val="20"/>
          <w:color w:val="auto"/>
        </w:rPr>
      </w:pPr>
      <w:r>
        <w:rPr>
          <w:rFonts w:ascii="Times New Roman" w:cs="Times New Roman" w:eastAsia="Times New Roman" w:hAnsi="Times New Roman"/>
          <w:sz w:val="20"/>
          <w:szCs w:val="20"/>
          <w:color w:val="4C4C4E"/>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3" w:lineRule="exact"/>
        <w:rPr>
          <w:sz w:val="20"/>
          <w:szCs w:val="20"/>
          <w:color w:val="auto"/>
        </w:rPr>
      </w:pPr>
    </w:p>
    <w:p>
      <w:pPr>
        <w:ind w:left="500" w:right="180" w:hanging="251"/>
        <w:spacing w:after="0" w:line="272" w:lineRule="auto"/>
        <w:tabs>
          <w:tab w:leader="none" w:pos="500" w:val="left"/>
        </w:tabs>
        <w:numPr>
          <w:ilvl w:val="0"/>
          <w:numId w:val="45"/>
        </w:numPr>
        <w:rPr>
          <w:rFonts w:ascii="Arial" w:cs="Arial" w:eastAsia="Arial" w:hAnsi="Arial"/>
          <w:sz w:val="20"/>
          <w:szCs w:val="20"/>
          <w:color w:val="4C4C4E"/>
        </w:rPr>
      </w:pPr>
      <w:r>
        <w:rPr>
          <w:rFonts w:ascii="Times New Roman" w:cs="Times New Roman" w:eastAsia="Times New Roman" w:hAnsi="Times New Roman"/>
          <w:sz w:val="20"/>
          <w:szCs w:val="20"/>
          <w:color w:val="4C4C4E"/>
        </w:rPr>
        <w:t>significant volatility in the market price and trading volume of securities of BDCs or other companies in our sector, which is not necessarily related to the operating performance of these companies;</w:t>
      </w:r>
    </w:p>
    <w:p>
      <w:pPr>
        <w:sectPr>
          <w:pgSz w:w="11880" w:h="15480" w:orient="portrait"/>
          <w:cols w:equalWidth="0" w:num="1">
            <w:col w:w="10640"/>
          </w:cols>
          <w:pgMar w:left="680" w:top="746" w:right="560" w:bottom="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52</w:t>
      </w:r>
    </w:p>
    <w:p>
      <w:pPr>
        <w:sectPr>
          <w:pgSz w:w="11880" w:h="15480" w:orient="portrait"/>
          <w:cols w:equalWidth="0" w:num="1">
            <w:col w:w="10640"/>
          </w:cols>
          <w:pgMar w:left="680" w:top="746" w:right="560" w:bottom="0" w:gutter="0" w:footer="0" w:header="0"/>
          <w:type w:val="continuous"/>
        </w:sectPr>
      </w:pPr>
    </w:p>
    <w:bookmarkStart w:id="52" w:name="page53"/>
    <w:bookmarkEnd w:id="52"/>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changes in regulatory policies or tax guidelines, particularly with respect to RICs or BDCs;</w:t>
      </w:r>
    </w:p>
    <w:p>
      <w:pPr>
        <w:spacing w:after="0" w:line="132" w:lineRule="exact"/>
        <w:rPr>
          <w:rFonts w:ascii="Arial" w:cs="Arial" w:eastAsia="Arial" w:hAnsi="Arial"/>
          <w:sz w:val="20"/>
          <w:szCs w:val="20"/>
          <w:color w:val="4C4C4E"/>
        </w:rPr>
      </w:pPr>
    </w:p>
    <w:p>
      <w:pPr>
        <w:ind w:left="500" w:right="160" w:hanging="251"/>
        <w:spacing w:after="0" w:line="276" w:lineRule="auto"/>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the exclusion of BDC common stock from certain market indices, which could reduce the ability of certain investment funds to own our common stock and put short term selling pressure on our common stock;</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loss of RIC or BDC status;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changes or perceived changes in earnings or variations in operating results;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changes in our portfolio of investments;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changes or perceived changes in the value of our portfolio of investments;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changes in accounting guidelines governing valuation of our investments;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any shortfall in revenue or net income or any increase in losses from levels expected by investors or securities analysts;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any downgrades to our credit rating or placement on a negative watch status by a credit rating agency;</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departure of the Adviser’s or any of its affiliates’ key personnel;</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operating performance of companies comparable to us;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short-selling pressure with respect to shares of our common stock or BDCs generally;</w:t>
      </w:r>
    </w:p>
    <w:p>
      <w:pPr>
        <w:spacing w:after="0" w:line="133" w:lineRule="exact"/>
        <w:rPr>
          <w:rFonts w:ascii="Arial" w:cs="Arial" w:eastAsia="Arial" w:hAnsi="Arial"/>
          <w:sz w:val="20"/>
          <w:szCs w:val="20"/>
          <w:color w:val="4C4C4E"/>
        </w:rPr>
      </w:pPr>
    </w:p>
    <w:p>
      <w:pPr>
        <w:ind w:left="500" w:right="140" w:hanging="251"/>
        <w:spacing w:after="0" w:line="276" w:lineRule="auto"/>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future sales of our securities convertible into or exchangeable or exercisable for our common stock or the conversion of such securities;</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uncertainty surrounding the strength of the U.S. economy;</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concerns regarding European sovereign debt;</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concerns regarding volatility in the Chinese stock market and Chinese currency;</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concerns regarding U.S. and global tariffs and trade policy;</w:t>
      </w:r>
    </w:p>
    <w:p>
      <w:pPr>
        <w:spacing w:after="0" w:line="133" w:lineRule="exact"/>
        <w:rPr>
          <w:rFonts w:ascii="Arial" w:cs="Arial" w:eastAsia="Arial" w:hAnsi="Arial"/>
          <w:sz w:val="20"/>
          <w:szCs w:val="20"/>
          <w:color w:val="4C4C4E"/>
        </w:rPr>
      </w:pPr>
    </w:p>
    <w:p>
      <w:pPr>
        <w:ind w:left="500" w:right="500" w:hanging="251"/>
        <w:spacing w:after="0" w:line="276" w:lineRule="auto"/>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the impact of the large-scale invasion of Ukraine by Russia that began in February 2022 and conflict in the Middle East, related sanctions and other potential retaliatory actions or responses;</w:t>
      </w:r>
    </w:p>
    <w:p>
      <w:pPr>
        <w:spacing w:after="0" w:line="64"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fluctuations in base interest rates, such as SOFR, EURIBOR, SONIA, the Federal Funds Rate or the Prime Rate;</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the impact of public health epidemics on the global economy;</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general economic trends and other external factors; and</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6"/>
        </w:numPr>
        <w:rPr>
          <w:rFonts w:ascii="Arial" w:cs="Arial" w:eastAsia="Arial" w:hAnsi="Arial"/>
          <w:sz w:val="20"/>
          <w:szCs w:val="20"/>
          <w:color w:val="4C4C4E"/>
        </w:rPr>
      </w:pPr>
      <w:r>
        <w:rPr>
          <w:rFonts w:ascii="Times New Roman" w:cs="Times New Roman" w:eastAsia="Times New Roman" w:hAnsi="Times New Roman"/>
          <w:sz w:val="20"/>
          <w:szCs w:val="20"/>
          <w:color w:val="4C4C4E"/>
        </w:rPr>
        <w:t>loss of a major funding source.</w:t>
      </w:r>
    </w:p>
    <w:p>
      <w:pPr>
        <w:spacing w:after="0" w:line="239"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cannot assure you that the market price of shares of our common stock will not decline.</w:t>
      </w:r>
    </w:p>
    <w:p>
      <w:pPr>
        <w:spacing w:after="0" w:line="120"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4C4C4E"/>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20"/>
          <w:szCs w:val="20"/>
          <w:i w:val="1"/>
          <w:iCs w:val="1"/>
          <w:color w:val="4C4C4E"/>
        </w:rPr>
        <w:t>“—Risks Related to Our Business and Structure—Regulations governing our operation</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as a BDC affect our ability to, and the way in which we, raise additional capital.”</w:t>
      </w:r>
    </w:p>
    <w:p>
      <w:pPr>
        <w:spacing w:after="0" w:line="326"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Sales of substantial amounts of our common stock in the public market may have an adverse effect on the market price of our common stock.</w:t>
      </w:r>
    </w:p>
    <w:p>
      <w:pPr>
        <w:spacing w:after="0" w:line="49" w:lineRule="exact"/>
        <w:rPr>
          <w:sz w:val="20"/>
          <w:szCs w:val="20"/>
          <w:color w:val="auto"/>
        </w:rPr>
      </w:pPr>
    </w:p>
    <w:p>
      <w:pPr>
        <w:ind w:right="20" w:firstLine="245"/>
        <w:spacing w:after="0" w:line="305" w:lineRule="auto"/>
        <w:rPr>
          <w:sz w:val="20"/>
          <w:szCs w:val="20"/>
          <w:color w:val="auto"/>
        </w:rPr>
      </w:pPr>
      <w:r>
        <w:rPr>
          <w:rFonts w:ascii="Times New Roman" w:cs="Times New Roman" w:eastAsia="Times New Roman" w:hAnsi="Times New Roman"/>
          <w:sz w:val="19"/>
          <w:szCs w:val="19"/>
          <w:color w:val="4C4C4E"/>
        </w:rPr>
        <w:t>Sales of substantial amounts of our common stock, the availability of such common stock for sale or the perception that such sales could occur could adversely affect the prevailing market prices for our common stock. If this occurs, it could impair our ability</w:t>
      </w:r>
    </w:p>
    <w:p>
      <w:pPr>
        <w:sectPr>
          <w:pgSz w:w="11880" w:h="15480" w:orient="portrait"/>
          <w:cols w:equalWidth="0" w:num="1">
            <w:col w:w="10620"/>
          </w:cols>
          <w:pgMar w:left="680" w:top="760" w:right="580" w:bottom="0" w:gutter="0" w:footer="0" w:header="0"/>
        </w:sectPr>
      </w:pP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C4C4E"/>
        </w:rPr>
        <w:t>53</w:t>
      </w:r>
    </w:p>
    <w:p>
      <w:pPr>
        <w:sectPr>
          <w:pgSz w:w="11880" w:h="15480" w:orient="portrait"/>
          <w:cols w:equalWidth="0" w:num="1">
            <w:col w:w="10620"/>
          </w:cols>
          <w:pgMar w:left="680" w:top="760" w:right="580" w:bottom="0" w:gutter="0" w:footer="0" w:header="0"/>
          <w:type w:val="continuous"/>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20"/>
          <w:szCs w:val="20"/>
          <w:color w:val="4C4C4E"/>
        </w:rPr>
        <w:t>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Our stockholders will experience dilution in their ownership percentage if they opt out of our dividend reinvestment plan.</w:t>
      </w:r>
    </w:p>
    <w:p>
      <w:pPr>
        <w:spacing w:after="0" w:line="12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20"/>
          <w:szCs w:val="20"/>
          <w:i w:val="1"/>
          <w:iCs w:val="1"/>
          <w:color w:val="4C4C4E"/>
        </w:rPr>
        <w:t>“ITEM 1. BUSINESS—Dividend Policy</w:t>
      </w:r>
      <w:r>
        <w:rPr>
          <w:rFonts w:ascii="Times New Roman" w:cs="Times New Roman" w:eastAsia="Times New Roman" w:hAnsi="Times New Roman"/>
          <w:sz w:val="20"/>
          <w:szCs w:val="20"/>
          <w:color w:val="4C4C4E"/>
        </w:rPr>
        <w:t>” and “</w:t>
      </w:r>
      <w:r>
        <w:rPr>
          <w:rFonts w:ascii="Times New Roman" w:cs="Times New Roman" w:eastAsia="Times New Roman" w:hAnsi="Times New Roman"/>
          <w:sz w:val="20"/>
          <w:szCs w:val="20"/>
          <w:i w:val="1"/>
          <w:iCs w:val="1"/>
          <w:color w:val="4C4C4E"/>
        </w:rPr>
        <w:t>ITEM 1. BUSINESS—Dividend Reinvestment Plan</w:t>
      </w:r>
      <w:r>
        <w:rPr>
          <w:rFonts w:ascii="Times New Roman" w:cs="Times New Roman" w:eastAsia="Times New Roman" w:hAnsi="Times New Roman"/>
          <w:sz w:val="20"/>
          <w:szCs w:val="20"/>
          <w:color w:val="4C4C4E"/>
        </w:rPr>
        <w:t>” for a description of our dividend policy and obligations.</w:t>
      </w:r>
    </w:p>
    <w:p>
      <w:pPr>
        <w:spacing w:after="0" w:line="200"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4C4C4E"/>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3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Purchases of our common stock by us under the Company 10b5-1 Plan may result in the price of our common stock being higher than the price that otherwise might exist in the open market.</w:t>
      </w:r>
    </w:p>
    <w:p>
      <w:pPr>
        <w:spacing w:after="0" w:line="49" w:lineRule="exact"/>
        <w:rPr>
          <w:sz w:val="20"/>
          <w:szCs w:val="20"/>
          <w:color w:val="auto"/>
        </w:rPr>
      </w:pPr>
    </w:p>
    <w:p>
      <w:pPr>
        <w:ind w:right="240" w:firstLine="245"/>
        <w:spacing w:after="0" w:line="252" w:lineRule="auto"/>
        <w:rPr>
          <w:sz w:val="20"/>
          <w:szCs w:val="20"/>
          <w:color w:val="auto"/>
        </w:rPr>
      </w:pPr>
      <w:r>
        <w:rPr>
          <w:rFonts w:ascii="Times New Roman" w:cs="Times New Roman" w:eastAsia="Times New Roman" w:hAnsi="Times New Roman"/>
          <w:sz w:val="20"/>
          <w:szCs w:val="20"/>
          <w:color w:val="4C4C4E"/>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2026.</w:t>
      </w:r>
    </w:p>
    <w:p>
      <w:pPr>
        <w:spacing w:after="0" w:line="194" w:lineRule="exact"/>
        <w:rPr>
          <w:sz w:val="20"/>
          <w:szCs w:val="20"/>
          <w:color w:val="auto"/>
        </w:rPr>
      </w:pPr>
    </w:p>
    <w:p>
      <w:pPr>
        <w:ind w:right="180" w:firstLine="245"/>
        <w:spacing w:after="0" w:line="252" w:lineRule="auto"/>
        <w:rPr>
          <w:sz w:val="20"/>
          <w:szCs w:val="20"/>
          <w:color w:val="auto"/>
        </w:rPr>
      </w:pPr>
      <w:r>
        <w:rPr>
          <w:rFonts w:ascii="Times New Roman" w:cs="Times New Roman" w:eastAsia="Times New Roman" w:hAnsi="Times New Roman"/>
          <w:sz w:val="20"/>
          <w:szCs w:val="20"/>
          <w:color w:val="4C4C4E"/>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Purchases of our common stock by us under the Company 10b5-1 Plan may result in dilution to our net asset value per share.</w:t>
      </w:r>
    </w:p>
    <w:p>
      <w:pPr>
        <w:spacing w:after="0" w:line="120"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20"/>
          <w:szCs w:val="20"/>
          <w:color w:val="4C4C4E"/>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2025 (expiring on May 31, 2026). Under the Company 10b5-1 Plan, the agent will increase the volume of purchases made as the price of our common stock declines, subject to volume restrictions.</w:t>
      </w:r>
    </w:p>
    <w:p>
      <w:pPr>
        <w:spacing w:after="0" w:line="197"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8" w:lineRule="exact"/>
        <w:rPr>
          <w:sz w:val="20"/>
          <w:szCs w:val="20"/>
          <w:color w:val="auto"/>
        </w:rPr>
      </w:pPr>
    </w:p>
    <w:p>
      <w:pPr>
        <w:jc w:val="both"/>
        <w:ind w:right="120" w:firstLine="245"/>
        <w:spacing w:after="0" w:line="277" w:lineRule="auto"/>
        <w:rPr>
          <w:sz w:val="20"/>
          <w:szCs w:val="20"/>
          <w:color w:val="auto"/>
        </w:rPr>
      </w:pPr>
      <w:r>
        <w:rPr>
          <w:rFonts w:ascii="Times New Roman" w:cs="Times New Roman" w:eastAsia="Times New Roman" w:hAnsi="Times New Roman"/>
          <w:sz w:val="20"/>
          <w:szCs w:val="20"/>
          <w:color w:val="4C4C4E"/>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General Risk Factors</w:t>
      </w:r>
    </w:p>
    <w:p>
      <w:pPr>
        <w:spacing w:after="0" w:line="12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We are highly dependent on information systems and systems failures could significantly disrupt our business, which may, in turn, negatively affect the market price of our common stock and our ability to pay dividends.</w:t>
      </w:r>
    </w:p>
    <w:p>
      <w:pPr>
        <w:spacing w:after="0" w:line="49" w:lineRule="exact"/>
        <w:rPr>
          <w:sz w:val="20"/>
          <w:szCs w:val="20"/>
          <w:color w:val="auto"/>
        </w:rPr>
      </w:pPr>
    </w:p>
    <w:p>
      <w:pPr>
        <w:ind w:right="140" w:firstLine="245"/>
        <w:spacing w:after="0" w:line="249" w:lineRule="auto"/>
        <w:rPr>
          <w:sz w:val="20"/>
          <w:szCs w:val="20"/>
          <w:color w:val="auto"/>
        </w:rPr>
      </w:pPr>
      <w:r>
        <w:rPr>
          <w:rFonts w:ascii="Times New Roman" w:cs="Times New Roman" w:eastAsia="Times New Roman" w:hAnsi="Times New Roman"/>
          <w:sz w:val="20"/>
          <w:szCs w:val="20"/>
          <w:color w:val="4C4C4E"/>
        </w:rPr>
        <w:t>Our business is highly dependent on the communications and information systems of the Adviser, its affiliates and third parties. Further, in the ordinary course of our business we or the Adviser engage certain third-party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w:t>
      </w:r>
    </w:p>
    <w:p>
      <w:pPr>
        <w:sectPr>
          <w:pgSz w:w="11880" w:h="15480" w:orient="portrait"/>
          <w:cols w:equalWidth="0" w:num="1">
            <w:col w:w="10640"/>
          </w:cols>
          <w:pgMar w:left="680" w:top="750" w:right="560" w:bottom="0" w:gutter="0" w:footer="0" w:header="0"/>
        </w:sectPr>
      </w:pP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54</w:t>
      </w:r>
    </w:p>
    <w:p>
      <w:pPr>
        <w:sectPr>
          <w:pgSz w:w="11880" w:h="15480" w:orient="portrait"/>
          <w:cols w:equalWidth="0" w:num="1">
            <w:col w:w="10640"/>
          </w:cols>
          <w:pgMar w:left="680" w:top="750" w:right="560" w:bottom="0" w:gutter="0" w:footer="0" w:header="0"/>
          <w:type w:val="continuous"/>
        </w:sectPr>
      </w:pPr>
    </w:p>
    <w:bookmarkStart w:id="54" w:name="page55"/>
    <w:bookmarkEnd w:id="54"/>
    <w:p>
      <w:pPr>
        <w:ind w:right="40"/>
        <w:spacing w:after="0" w:line="277" w:lineRule="auto"/>
        <w:rPr>
          <w:sz w:val="20"/>
          <w:szCs w:val="20"/>
          <w:color w:val="auto"/>
        </w:rPr>
      </w:pPr>
      <w:r>
        <w:rPr>
          <w:rFonts w:ascii="Times New Roman" w:cs="Times New Roman" w:eastAsia="Times New Roman" w:hAnsi="Times New Roman"/>
          <w:sz w:val="20"/>
          <w:szCs w:val="20"/>
          <w:color w:val="4C4C4E"/>
        </w:rPr>
        <w:t>disabled or damaged as a result of a number of factors including events that are wholly or partially beyond our control and adversely affect our business. There could be:</w:t>
      </w:r>
    </w:p>
    <w:p>
      <w:pPr>
        <w:spacing w:after="0" w:line="64" w:lineRule="exact"/>
        <w:rPr>
          <w:sz w:val="20"/>
          <w:szCs w:val="20"/>
          <w:color w:val="auto"/>
        </w:rPr>
      </w:pPr>
    </w:p>
    <w:p>
      <w:pPr>
        <w:ind w:left="500" w:hanging="251"/>
        <w:spacing w:after="0"/>
        <w:tabs>
          <w:tab w:leader="none" w:pos="500" w:val="left"/>
        </w:tabs>
        <w:numPr>
          <w:ilvl w:val="0"/>
          <w:numId w:val="47"/>
        </w:numPr>
        <w:rPr>
          <w:rFonts w:ascii="Arial" w:cs="Arial" w:eastAsia="Arial" w:hAnsi="Arial"/>
          <w:sz w:val="20"/>
          <w:szCs w:val="20"/>
          <w:color w:val="4C4C4E"/>
        </w:rPr>
      </w:pPr>
      <w:r>
        <w:rPr>
          <w:rFonts w:ascii="Times New Roman" w:cs="Times New Roman" w:eastAsia="Times New Roman" w:hAnsi="Times New Roman"/>
          <w:sz w:val="20"/>
          <w:szCs w:val="20"/>
          <w:color w:val="4C4C4E"/>
        </w:rPr>
        <w:t>sudden electrical or telecommunications outages;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7"/>
        </w:numPr>
        <w:rPr>
          <w:rFonts w:ascii="Arial" w:cs="Arial" w:eastAsia="Arial" w:hAnsi="Arial"/>
          <w:sz w:val="20"/>
          <w:szCs w:val="20"/>
          <w:color w:val="4C4C4E"/>
        </w:rPr>
      </w:pPr>
      <w:r>
        <w:rPr>
          <w:rFonts w:ascii="Times New Roman" w:cs="Times New Roman" w:eastAsia="Times New Roman" w:hAnsi="Times New Roman"/>
          <w:sz w:val="20"/>
          <w:szCs w:val="20"/>
          <w:color w:val="4C4C4E"/>
        </w:rPr>
        <w:t>natural disasters such as earthquakes, tornadoes and hurricanes;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7"/>
        </w:numPr>
        <w:rPr>
          <w:rFonts w:ascii="Arial" w:cs="Arial" w:eastAsia="Arial" w:hAnsi="Arial"/>
          <w:sz w:val="20"/>
          <w:szCs w:val="20"/>
          <w:color w:val="4C4C4E"/>
        </w:rPr>
      </w:pPr>
      <w:r>
        <w:rPr>
          <w:rFonts w:ascii="Times New Roman" w:cs="Times New Roman" w:eastAsia="Times New Roman" w:hAnsi="Times New Roman"/>
          <w:sz w:val="20"/>
          <w:szCs w:val="20"/>
          <w:color w:val="4C4C4E"/>
        </w:rPr>
        <w:t>disease pandemics;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7"/>
        </w:numPr>
        <w:rPr>
          <w:rFonts w:ascii="Arial" w:cs="Arial" w:eastAsia="Arial" w:hAnsi="Arial"/>
          <w:sz w:val="20"/>
          <w:szCs w:val="20"/>
          <w:color w:val="4C4C4E"/>
        </w:rPr>
      </w:pPr>
      <w:r>
        <w:rPr>
          <w:rFonts w:ascii="Times New Roman" w:cs="Times New Roman" w:eastAsia="Times New Roman" w:hAnsi="Times New Roman"/>
          <w:sz w:val="20"/>
          <w:szCs w:val="20"/>
          <w:color w:val="4C4C4E"/>
        </w:rPr>
        <w:t>events arising from local or larger scale political or social matters, including wars or terrorist acts;</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7"/>
        </w:numPr>
        <w:rPr>
          <w:rFonts w:ascii="Arial" w:cs="Arial" w:eastAsia="Arial" w:hAnsi="Arial"/>
          <w:sz w:val="20"/>
          <w:szCs w:val="20"/>
          <w:color w:val="4C4C4E"/>
        </w:rPr>
      </w:pPr>
      <w:r>
        <w:rPr>
          <w:rFonts w:ascii="Times New Roman" w:cs="Times New Roman" w:eastAsia="Times New Roman" w:hAnsi="Times New Roman"/>
          <w:sz w:val="20"/>
          <w:szCs w:val="20"/>
          <w:color w:val="4C4C4E"/>
        </w:rPr>
        <w:t>outages due to idiosyncratic issues at specific providers; and</w:t>
      </w:r>
    </w:p>
    <w:p>
      <w:pPr>
        <w:spacing w:after="0" w:line="133" w:lineRule="exact"/>
        <w:rPr>
          <w:rFonts w:ascii="Arial" w:cs="Arial" w:eastAsia="Arial" w:hAnsi="Arial"/>
          <w:sz w:val="20"/>
          <w:szCs w:val="20"/>
          <w:color w:val="4C4C4E"/>
        </w:rPr>
      </w:pPr>
    </w:p>
    <w:p>
      <w:pPr>
        <w:ind w:left="500" w:hanging="251"/>
        <w:spacing w:after="0"/>
        <w:tabs>
          <w:tab w:leader="none" w:pos="500" w:val="left"/>
        </w:tabs>
        <w:numPr>
          <w:ilvl w:val="0"/>
          <w:numId w:val="47"/>
        </w:numPr>
        <w:rPr>
          <w:rFonts w:ascii="Arial" w:cs="Arial" w:eastAsia="Arial" w:hAnsi="Arial"/>
          <w:sz w:val="20"/>
          <w:szCs w:val="20"/>
          <w:color w:val="4C4C4E"/>
        </w:rPr>
      </w:pPr>
      <w:r>
        <w:rPr>
          <w:rFonts w:ascii="Times New Roman" w:cs="Times New Roman" w:eastAsia="Times New Roman" w:hAnsi="Times New Roman"/>
          <w:sz w:val="20"/>
          <w:szCs w:val="20"/>
          <w:color w:val="4C4C4E"/>
        </w:rPr>
        <w:t>cyber-attacks.</w:t>
      </w:r>
    </w:p>
    <w:p>
      <w:pPr>
        <w:spacing w:after="0" w:line="119" w:lineRule="exact"/>
        <w:rPr>
          <w:sz w:val="20"/>
          <w:szCs w:val="20"/>
          <w:color w:val="auto"/>
        </w:rPr>
      </w:pPr>
    </w:p>
    <w:p>
      <w:pPr>
        <w:ind w:right="200" w:firstLine="245"/>
        <w:spacing w:after="0" w:line="277" w:lineRule="auto"/>
        <w:rPr>
          <w:sz w:val="20"/>
          <w:szCs w:val="20"/>
          <w:color w:val="auto"/>
        </w:rPr>
      </w:pPr>
      <w:r>
        <w:rPr>
          <w:rFonts w:ascii="Times New Roman" w:cs="Times New Roman" w:eastAsia="Times New Roman" w:hAnsi="Times New Roman"/>
          <w:sz w:val="20"/>
          <w:szCs w:val="20"/>
          <w:color w:val="4C4C4E"/>
        </w:rPr>
        <w:t>These events, in turn, could have a material adverse effect on our operating results and negatively affect the market price of our common stock and our ability to pay dividends to our stockholders.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Changes in laws or regulations governing our operations may adversely affect our business.</w:t>
      </w:r>
    </w:p>
    <w:p>
      <w:pPr>
        <w:spacing w:after="0" w:line="240" w:lineRule="exact"/>
        <w:rPr>
          <w:sz w:val="20"/>
          <w:szCs w:val="20"/>
          <w:color w:val="auto"/>
        </w:rPr>
      </w:pPr>
    </w:p>
    <w:p>
      <w:pPr>
        <w:ind w:right="20" w:firstLine="245"/>
        <w:spacing w:after="0" w:line="243" w:lineRule="auto"/>
        <w:rPr>
          <w:sz w:val="20"/>
          <w:szCs w:val="20"/>
          <w:color w:val="auto"/>
        </w:rPr>
      </w:pPr>
      <w:r>
        <w:rPr>
          <w:rFonts w:ascii="Times New Roman" w:cs="Times New Roman" w:eastAsia="Times New Roman" w:hAnsi="Times New Roman"/>
          <w:sz w:val="20"/>
          <w:szCs w:val="20"/>
          <w:color w:val="4C4C4E"/>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20"/>
          <w:szCs w:val="20"/>
          <w:i w:val="1"/>
          <w:iCs w:val="1"/>
          <w:color w:val="4C4C4E"/>
        </w:rPr>
        <w:t>Risks Related to our</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Portfolio Company Investments.”</w:t>
      </w:r>
    </w:p>
    <w:p>
      <w:pPr>
        <w:spacing w:after="0" w:line="203" w:lineRule="exact"/>
        <w:rPr>
          <w:sz w:val="20"/>
          <w:szCs w:val="20"/>
          <w:color w:val="auto"/>
        </w:rPr>
      </w:pPr>
    </w:p>
    <w:p>
      <w:pPr>
        <w:ind w:right="180" w:firstLine="245"/>
        <w:spacing w:after="0" w:line="249" w:lineRule="auto"/>
        <w:rPr>
          <w:sz w:val="20"/>
          <w:szCs w:val="20"/>
          <w:color w:val="auto"/>
        </w:rPr>
      </w:pPr>
      <w:r>
        <w:rPr>
          <w:rFonts w:ascii="Times New Roman" w:cs="Times New Roman" w:eastAsia="Times New Roman" w:hAnsi="Times New Roman"/>
          <w:sz w:val="20"/>
          <w:szCs w:val="20"/>
          <w:color w:val="4C4C4E"/>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317"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Economic and trade sanctions could make it more difficult or costly for us to conduct our operations or achieve our business objectives.</w:t>
      </w:r>
    </w:p>
    <w:p>
      <w:pPr>
        <w:spacing w:after="0" w:line="169"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4C4C4E"/>
        </w:rPr>
        <w:t>Economic and trade sanctions laws in the United States and other jurisdictions may prohibit us from transacting with or in certain countries and with certain individuals, companies and industry sectors. In the United States, the U.S. Department of the Treasury’s Office of Foreign Assets Control (“OFAC”), administers and enforces laws, Executive Orders and regulations establishing U.S. sanctions. Such sanctions prohibit, among other things, transactions with, and the provision of services to, certain foreign countries, territories, entities and individuals. These entities and individuals include specially designated nationals, specially designated narcotics traffickers and other parties subject to OFAC sanctions and embargo programs. In addition, certain sanctions programs prohibit dealing with individuals or entities in certain countries, or certain securities and certain industry sectors regardless of whether relevant individuals or entities appear on the lists maintained by OFAC, which may make it more difficult for us to comply with applicable sanctions. These types of sanctions may significantly restrict or limit our investment activities in certain countries (in particular, certain emerging market countries). We may from time to time be subject to trade sanctions laws and regulations of other jurisdictions, which may be inconsistent with or even seek to prohibit compliance with certain sanctions programs administered by OFAC. The legal uncertainties arising from those conflicts may make it more difficult or costly for us to navigate investment activities that are subject to sanctions administered by OFAC or the laws and regulations of other jurisdictions. Some jurisdictions where the Company or its portfolio companies do business from time to time have adopted measures prohibiting compliance with certain U.S. sanctions programs, which may make compliance with all applicable sanctions impossible.</w:t>
      </w:r>
    </w:p>
    <w:p>
      <w:pPr>
        <w:spacing w:after="0" w:line="212" w:lineRule="exact"/>
        <w:rPr>
          <w:sz w:val="20"/>
          <w:szCs w:val="20"/>
          <w:color w:val="auto"/>
        </w:rPr>
      </w:pPr>
    </w:p>
    <w:p>
      <w:pPr>
        <w:ind w:right="220" w:firstLine="245"/>
        <w:spacing w:after="0" w:line="277" w:lineRule="auto"/>
        <w:rPr>
          <w:sz w:val="20"/>
          <w:szCs w:val="20"/>
          <w:color w:val="auto"/>
        </w:rPr>
      </w:pPr>
      <w:r>
        <w:rPr>
          <w:rFonts w:ascii="Times New Roman" w:cs="Times New Roman" w:eastAsia="Times New Roman" w:hAnsi="Times New Roman"/>
          <w:sz w:val="20"/>
          <w:szCs w:val="20"/>
          <w:color w:val="4C4C4E"/>
        </w:rPr>
        <w:t>At the same time, the Company may be obligated to comply with certain anti-boycott laws and regulations that prevent us from engaging in certain discriminatory practices that may be allowed or required in certain jurisdictions. The Company’s refusal to</w:t>
      </w:r>
    </w:p>
    <w:p>
      <w:pPr>
        <w:sectPr>
          <w:pgSz w:w="11880" w:h="15480" w:orient="portrait"/>
          <w:cols w:equalWidth="0" w:num="1">
            <w:col w:w="10660"/>
          </w:cols>
          <w:pgMar w:left="680" w:top="750" w:right="540" w:bottom="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55</w:t>
      </w:r>
    </w:p>
    <w:p>
      <w:pPr>
        <w:sectPr>
          <w:pgSz w:w="11880" w:h="15480" w:orient="portrait"/>
          <w:cols w:equalWidth="0" w:num="1">
            <w:col w:w="10660"/>
          </w:cols>
          <w:pgMar w:left="680" w:top="750" w:right="540" w:bottom="0" w:gutter="0" w:footer="0" w:header="0"/>
          <w:type w:val="continuous"/>
        </w:sectPr>
      </w:pPr>
    </w:p>
    <w:bookmarkStart w:id="55" w:name="page56"/>
    <w:bookmarkEnd w:id="55"/>
    <w:p>
      <w:pPr>
        <w:ind w:right="800"/>
        <w:spacing w:after="0" w:line="258" w:lineRule="auto"/>
        <w:rPr>
          <w:sz w:val="20"/>
          <w:szCs w:val="20"/>
          <w:color w:val="auto"/>
        </w:rPr>
      </w:pPr>
      <w:r>
        <w:rPr>
          <w:rFonts w:ascii="Times New Roman" w:cs="Times New Roman" w:eastAsia="Times New Roman" w:hAnsi="Times New Roman"/>
          <w:sz w:val="20"/>
          <w:szCs w:val="20"/>
          <w:color w:val="4C4C4E"/>
        </w:rPr>
        <w:t>discriminate in this manner could make it more difficult for us to pursue certain investments and engage in certain business activities, and any compliance with such practices could subject us to fines, penalties, and adverse legal and reputational consequences.</w:t>
      </w:r>
    </w:p>
    <w:p>
      <w:pPr>
        <w:spacing w:after="0" w:line="308"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4C4C4E"/>
        </w:rPr>
        <w:t>The ongoing armed conflicts as a result of the Russian invasion of Ukraine and the conflict in the Middle East may have a material adverse impact on us and our portfolio companies.</w:t>
      </w:r>
    </w:p>
    <w:p>
      <w:pPr>
        <w:spacing w:after="0" w:line="169"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4C4C4E"/>
        </w:rPr>
        <w:t>The Russian invasion of Ukraine and the conflict in the Middle East have led, are currently leading, and for an unknown period of time may continue to lead to disruptions in local, regional, national, and global markets and economies affected thereby and could have a negative impact on the economy and business activity globally (including in the countries in which the Company invests), and therefore could adversely affect the performance of the Company’s investments. Furthermore, the aforementioned conflicts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such conflict zones, they may have adverse consequences related to the ongoing conflict.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We are subject to risks related to sustainability matters.</w:t>
      </w:r>
    </w:p>
    <w:p>
      <w:pPr>
        <w:spacing w:after="0" w:line="240" w:lineRule="exact"/>
        <w:rPr>
          <w:sz w:val="20"/>
          <w:szCs w:val="20"/>
          <w:color w:val="auto"/>
        </w:rPr>
      </w:pPr>
    </w:p>
    <w:p>
      <w:pPr>
        <w:ind w:right="240" w:firstLine="245"/>
        <w:spacing w:after="0" w:line="249" w:lineRule="auto"/>
        <w:rPr>
          <w:sz w:val="20"/>
          <w:szCs w:val="20"/>
          <w:color w:val="auto"/>
        </w:rPr>
      </w:pPr>
      <w:r>
        <w:rPr>
          <w:rFonts w:ascii="Times New Roman" w:cs="Times New Roman" w:eastAsia="Times New Roman" w:hAnsi="Times New Roman"/>
          <w:sz w:val="20"/>
          <w:szCs w:val="20"/>
          <w:color w:val="4C4C4E"/>
        </w:rPr>
        <w:t>Rules, regulations and stakeholder expectations concerning sustainability matters have been subject to increased attention and shifting focus in recent years. Some of these changes have resulted in, and are likely to continue to result in, increased general and administrative expenses and increased management time and attention spent complying with or meeting such regulations and expectations. If we fail or are perceived to fail to comply with applicable rules, regulations and stakeholder expectations, it could negatively impact our reputation and our business results.</w:t>
      </w:r>
    </w:p>
    <w:p>
      <w:pPr>
        <w:spacing w:after="0" w:line="197" w:lineRule="exact"/>
        <w:rPr>
          <w:sz w:val="20"/>
          <w:szCs w:val="20"/>
          <w:color w:val="auto"/>
        </w:rPr>
      </w:pPr>
    </w:p>
    <w:p>
      <w:pPr>
        <w:ind w:right="20" w:firstLine="245"/>
        <w:spacing w:after="0" w:line="243" w:lineRule="auto"/>
        <w:rPr>
          <w:sz w:val="20"/>
          <w:szCs w:val="20"/>
          <w:color w:val="auto"/>
        </w:rPr>
      </w:pPr>
      <w:r>
        <w:rPr>
          <w:rFonts w:ascii="Times New Roman" w:cs="Times New Roman" w:eastAsia="Times New Roman" w:hAnsi="Times New Roman"/>
          <w:sz w:val="20"/>
          <w:szCs w:val="20"/>
          <w:color w:val="4C4C4E"/>
        </w:rPr>
        <w:t>In evaluating potential investments, the Adviser considers opportunities and risk related to material sustainability factors. In particular, this analysis includes risks associated with climate change including risks related to the impact of climate-and sustainability-related legislation and regulation (both domestically and internationally), risks related to climate-related business trends, and risks stemming from the physical impacts of climate change. Although the Adviser’s consideration of sustainability factors is intended to aid the Adviser in evaluating the return and risk profile of a given investment and is not expected to by itself determine an investment decision for us, the Adviser’s consideration of sustainability factors could, to the extent material economic risks or opportunities associated with an investment are identified, cause the Adviser to consider taking a different action than may have been taken in the absence of such consideration, which could cause us to perform differently compared to funds or other investors that do not consider such risks and opportunities. Further, although the Adviser views application of its sustainability framework to be an opportunity to potentially enhance or protect the performance of investments over the long-term, the Adviser cannot guarantee that any consideration of sustainability factors or engagement with portfolio companies on sustainability, which depends in part on skill and qualitative judgments, will positively impact the performance of any individual portfolio company or us.</w:t>
      </w:r>
    </w:p>
    <w:p>
      <w:pPr>
        <w:spacing w:after="0" w:line="206" w:lineRule="exact"/>
        <w:rPr>
          <w:sz w:val="20"/>
          <w:szCs w:val="20"/>
          <w:color w:val="auto"/>
        </w:rPr>
      </w:pPr>
    </w:p>
    <w:p>
      <w:pPr>
        <w:ind w:right="320" w:firstLine="245"/>
        <w:spacing w:after="0" w:line="246" w:lineRule="auto"/>
        <w:rPr>
          <w:sz w:val="20"/>
          <w:szCs w:val="20"/>
          <w:color w:val="auto"/>
        </w:rPr>
      </w:pPr>
      <w:r>
        <w:rPr>
          <w:rFonts w:ascii="Times New Roman" w:cs="Times New Roman" w:eastAsia="Times New Roman" w:hAnsi="Times New Roman"/>
          <w:sz w:val="20"/>
          <w:szCs w:val="20"/>
          <w:color w:val="4C4C4E"/>
        </w:rPr>
        <w:t>If our practices with respect to our business and the businesses of our portfolio investments do not meet the standards set by investors, they may choose not to invest in our Common Shares. Relatedly, adverse performance or incidents with respect to sustainability matters or negative ratings or assessments could impact the value of our brand, or the cost of our operations and relationships with investors, all of which could adversely affect our business and results of operations. Conversely, some stakeholders and regulators have increasingly expressed or pursued opposing views, legislation and investment expectations with respect to sustainability initiatives. This divergence increases the risk that any action or lack thereof with respect to sustainability matters will be perceived negatively by at least some stakeholders and adversely impact our reputation and business.</w:t>
      </w:r>
    </w:p>
    <w:p>
      <w:pPr>
        <w:sectPr>
          <w:pgSz w:w="11880" w:h="15480" w:orient="portrait"/>
          <w:cols w:equalWidth="0" w:num="1">
            <w:col w:w="10660"/>
          </w:cols>
          <w:pgMar w:left="68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56</w:t>
      </w:r>
    </w:p>
    <w:p>
      <w:pPr>
        <w:sectPr>
          <w:pgSz w:w="11880" w:h="15480" w:orient="portrait"/>
          <w:cols w:equalWidth="0" w:num="1">
            <w:col w:w="10660"/>
          </w:cols>
          <w:pgMar w:left="680" w:top="750" w:right="54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4C4C4E"/>
        </w:rPr>
        <w:t>ITEM 1B. UNRESOLVED STAFF COMMENTS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1C. CYBERSECURITY</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4C4C4E"/>
        </w:rPr>
        <w:t>Cybersecurity Risk Management and Strategy</w:t>
      </w:r>
    </w:p>
    <w:p>
      <w:pPr>
        <w:spacing w:after="0" w:line="124"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As an externally managed closed-end management investment company that has elected to be regulated as a BDC under the 1940 Act, our day-to-day operations are managed by the Adviser, Administrator and our executive officers under the oversight of our Board of Directors. Our executive officers are senior professionals of the Adviser and Sixth Street and each of the Adviser and Administrator is a subsidiary of Sixth Street. As such, we are reliant on Sixth Street for assessing, identifying and managing material risks to our business from cybersecurity threats. Below are details Sixth Street has provided to us regarding its cybersecurity program that are relevant to us.</w:t>
      </w:r>
    </w:p>
    <w:p>
      <w:pPr>
        <w:spacing w:after="0" w:line="310"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4C4C4E"/>
        </w:rPr>
        <w:t>Sixth Street maintains a comprehensive cybersecurity program, including policies and procedures designed to protect its systems, operations, and the data utilized and entrusted to it, including by us, from anticipated threats or hazards. Sixth Street utilizes a variety of protective measures as a part of its cybersecurity program. These measures include, where appropriate, physical and digital access controls, patch management, identity verification and mobile device management software, employee cybersecurity awareness and best practices training programs, security baselines and tools to report anomalous activity, and monitoring of data usage, hardware and software, among others.</w:t>
      </w:r>
    </w:p>
    <w:p>
      <w:pPr>
        <w:spacing w:after="0" w:line="310" w:lineRule="exact"/>
        <w:rPr>
          <w:sz w:val="20"/>
          <w:szCs w:val="20"/>
          <w:color w:val="auto"/>
        </w:rPr>
      </w:pPr>
    </w:p>
    <w:p>
      <w:pPr>
        <w:ind w:right="20" w:firstLine="245"/>
        <w:spacing w:after="0" w:line="246" w:lineRule="auto"/>
        <w:rPr>
          <w:sz w:val="20"/>
          <w:szCs w:val="20"/>
          <w:color w:val="auto"/>
        </w:rPr>
      </w:pPr>
      <w:r>
        <w:rPr>
          <w:rFonts w:ascii="Times New Roman" w:cs="Times New Roman" w:eastAsia="Times New Roman" w:hAnsi="Times New Roman"/>
          <w:sz w:val="20"/>
          <w:szCs w:val="20"/>
          <w:color w:val="4C4C4E"/>
        </w:rPr>
        <w:t>Sixth Street tests its cybersecurity defenses regularly through automated and manual vulnerability scanning, to identify and remediate critical vulnerabilities. In addition, it conducts annual “white hat” penetration tests to validate its security posture. Further, Sixth Street engages in cyber incident tabletop exercises and scenario planning exercises involving hypothetical cybersecurity incidents to test its cyber incident response processes. Tabletop exercises are conducted by Sixth Street’s Technology Risk team in collaboration with outside service providers as appropriate and includes members of Sixth Street’s senior management and Legal/ Compliance team. Learnings from these tabletop exercises and any events that Sixth Street experiences are reviewed, discussed, and incorporated into its cybersecurity framework as appropriate.</w:t>
      </w:r>
    </w:p>
    <w:p>
      <w:pPr>
        <w:spacing w:after="0" w:line="310" w:lineRule="exact"/>
        <w:rPr>
          <w:sz w:val="20"/>
          <w:szCs w:val="20"/>
          <w:color w:val="auto"/>
        </w:rPr>
      </w:pPr>
    </w:p>
    <w:p>
      <w:pPr>
        <w:ind w:right="240" w:firstLine="245"/>
        <w:spacing w:after="0" w:line="249" w:lineRule="auto"/>
        <w:rPr>
          <w:sz w:val="20"/>
          <w:szCs w:val="20"/>
          <w:color w:val="auto"/>
        </w:rPr>
      </w:pPr>
      <w:r>
        <w:rPr>
          <w:rFonts w:ascii="Times New Roman" w:cs="Times New Roman" w:eastAsia="Times New Roman" w:hAnsi="Times New Roman"/>
          <w:sz w:val="20"/>
          <w:szCs w:val="20"/>
          <w:color w:val="4C4C4E"/>
        </w:rPr>
        <w:t>In addition to Sixth Street’s internal exercises to test aspects of its cybersecurity program, Sixth Street periodically engages independent third parties to assess the risks associated with its information technology resources and information assets. Among other matters, these third parties analyze data on the interactions of users of Sixth Street’s information technology resources, including employees, and conduct penetration tests and scanning exercises to assess the performance of the cybersecurity systems and processes.</w:t>
      </w:r>
    </w:p>
    <w:p>
      <w:pPr>
        <w:spacing w:after="0" w:line="307"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4C4C4E"/>
        </w:rPr>
        <w:t>Sixth Street has a comprehensive Security Incident Response Plan (the “IRP”) designed to inform the proper escalation (including, as appropriate, to our executive officers and other representatives of the Adviser or its affiliates) of non-routine suspected or confirmed information security or cybersecurity events based on the expected risk an event presents. As appropriate, a team composed of individuals from several internal technical and managerial functions may be formed to investigate and remediate the event and determine the extent of external advisor support required, including from external counsel, forensic investigators, and/or law enforcement. The IRP sets out ongoing monitoring or remediating actions to be taken after resolution of an incident. The IRP is reviewed at least annually.</w:t>
      </w:r>
    </w:p>
    <w:p>
      <w:pPr>
        <w:spacing w:after="0" w:line="310" w:lineRule="exact"/>
        <w:rPr>
          <w:sz w:val="20"/>
          <w:szCs w:val="20"/>
          <w:color w:val="auto"/>
        </w:rPr>
      </w:pPr>
    </w:p>
    <w:p>
      <w:pPr>
        <w:ind w:right="80" w:firstLine="295"/>
        <w:spacing w:after="0" w:line="258" w:lineRule="auto"/>
        <w:rPr>
          <w:sz w:val="20"/>
          <w:szCs w:val="20"/>
          <w:color w:val="auto"/>
        </w:rPr>
      </w:pPr>
      <w:r>
        <w:rPr>
          <w:rFonts w:ascii="Times New Roman" w:cs="Times New Roman" w:eastAsia="Times New Roman" w:hAnsi="Times New Roman"/>
          <w:sz w:val="20"/>
          <w:szCs w:val="20"/>
          <w:color w:val="4C4C4E"/>
        </w:rPr>
        <w:t>Sixth Street maintains a cybersecurity risk management process to identify and mitigate risks that impact the firm. Sixth Street’s Head of Technology Risk periodically discusses and reviews cybersecurity risks and related mitigants with Sixth Street’s Cybersecurity Committee and incorporates relevant cybersecurity risk updates and metrics.</w:t>
      </w:r>
    </w:p>
    <w:p>
      <w:pPr>
        <w:spacing w:after="0" w:line="298" w:lineRule="exact"/>
        <w:rPr>
          <w:sz w:val="20"/>
          <w:szCs w:val="20"/>
          <w:color w:val="auto"/>
        </w:rPr>
      </w:pPr>
    </w:p>
    <w:p>
      <w:pPr>
        <w:ind w:right="140" w:firstLine="245"/>
        <w:spacing w:after="0" w:line="258" w:lineRule="auto"/>
        <w:rPr>
          <w:sz w:val="20"/>
          <w:szCs w:val="20"/>
          <w:color w:val="auto"/>
        </w:rPr>
      </w:pPr>
      <w:r>
        <w:rPr>
          <w:rFonts w:ascii="Times New Roman" w:cs="Times New Roman" w:eastAsia="Times New Roman" w:hAnsi="Times New Roman"/>
          <w:sz w:val="20"/>
          <w:szCs w:val="20"/>
          <w:color w:val="4C4C4E"/>
        </w:rPr>
        <w:t>Sixth Street employs a process designed to assess the cybersecurity risks associated with the engagement of third-party vendors. This assessment is conducted on the basis of, among other factors, the types of services provided and the extent and type of data accessed or processed by a third-party vendor.</w:t>
      </w:r>
    </w:p>
    <w:p>
      <w:pPr>
        <w:spacing w:after="0" w:line="298" w:lineRule="exact"/>
        <w:rPr>
          <w:sz w:val="20"/>
          <w:szCs w:val="20"/>
          <w:color w:val="auto"/>
        </w:rPr>
      </w:pPr>
    </w:p>
    <w:p>
      <w:pPr>
        <w:jc w:val="both"/>
        <w:ind w:right="60" w:firstLine="245"/>
        <w:spacing w:after="0" w:line="249" w:lineRule="auto"/>
        <w:rPr>
          <w:sz w:val="20"/>
          <w:szCs w:val="20"/>
          <w:color w:val="auto"/>
        </w:rPr>
      </w:pPr>
      <w:r>
        <w:rPr>
          <w:rFonts w:ascii="Times New Roman" w:cs="Times New Roman" w:eastAsia="Times New Roman" w:hAnsi="Times New Roman"/>
          <w:sz w:val="20"/>
          <w:szCs w:val="20"/>
          <w:color w:val="4C4C4E"/>
        </w:rPr>
        <w:t>In the last three fiscal years, we have not experienced a material information security breach incident and the expenses we have incurred from information security breach incidents have been immaterial. However, future incidents could have a material impact on our business strategy, results of operations or financial condition. For a discussion of how risks from cybersecurity threats affect our business, and our reliance on the Sixth Street and its affiliates in managing these risks, see “Part 1. Item 1A. Risk Factors – Risk Related to our Business – Cybersecurity risks and cyber incidents may adversely affect our business or those of our portfolio</w:t>
      </w:r>
    </w:p>
    <w:p>
      <w:pPr>
        <w:sectPr>
          <w:pgSz w:w="11880" w:h="15480" w:orient="portrait"/>
          <w:cols w:equalWidth="0" w:num="1">
            <w:col w:w="10640"/>
          </w:cols>
          <w:pgMar w:left="680" w:top="746" w:right="560" w:bottom="0" w:gutter="0" w:footer="0" w:header="0"/>
        </w:sectPr>
      </w:pP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57</w:t>
      </w:r>
    </w:p>
    <w:p>
      <w:pPr>
        <w:sectPr>
          <w:pgSz w:w="11880" w:h="15480" w:orient="portrait"/>
          <w:cols w:equalWidth="0" w:num="1">
            <w:col w:w="10640"/>
          </w:cols>
          <w:pgMar w:left="680" w:top="746" w:right="560" w:bottom="0" w:gutter="0" w:footer="0" w:header="0"/>
          <w:type w:val="continuous"/>
        </w:sectPr>
      </w:pPr>
    </w:p>
    <w:bookmarkStart w:id="57" w:name="page58"/>
    <w:bookmarkEnd w:id="57"/>
    <w:p>
      <w:pPr>
        <w:ind w:right="180"/>
        <w:spacing w:after="0" w:line="258" w:lineRule="auto"/>
        <w:rPr>
          <w:sz w:val="20"/>
          <w:szCs w:val="20"/>
          <w:color w:val="auto"/>
        </w:rPr>
      </w:pPr>
      <w:r>
        <w:rPr>
          <w:rFonts w:ascii="Times New Roman" w:cs="Times New Roman" w:eastAsia="Times New Roman" w:hAnsi="Times New Roman"/>
          <w:sz w:val="20"/>
          <w:szCs w:val="20"/>
          <w:color w:val="4C4C4E"/>
        </w:rPr>
        <w:t>companies by causing a disruption to our operations, a compromise or corruption of confidential information and/or damage to business relationships, or those of our portfolio companies, all of which could negatively impact our business, results of operations or financial condition” in this Annual Report on Form 10-K.</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4C4C4E"/>
        </w:rPr>
        <w:t>Cybersecurity Governance</w:t>
      </w:r>
    </w:p>
    <w:p>
      <w:pPr>
        <w:spacing w:after="0" w:line="124" w:lineRule="exact"/>
        <w:rPr>
          <w:sz w:val="20"/>
          <w:szCs w:val="20"/>
          <w:color w:val="auto"/>
        </w:rPr>
      </w:pPr>
    </w:p>
    <w:p>
      <w:pPr>
        <w:ind w:right="120" w:firstLine="245"/>
        <w:spacing w:after="0" w:line="252" w:lineRule="auto"/>
        <w:rPr>
          <w:sz w:val="20"/>
          <w:szCs w:val="20"/>
          <w:color w:val="auto"/>
        </w:rPr>
      </w:pPr>
      <w:r>
        <w:rPr>
          <w:rFonts w:ascii="Times New Roman" w:cs="Times New Roman" w:eastAsia="Times New Roman" w:hAnsi="Times New Roman"/>
          <w:sz w:val="20"/>
          <w:szCs w:val="20"/>
          <w:color w:val="4C4C4E"/>
        </w:rPr>
        <w:t>Sixth Street has a dedicated cybersecurity team, led by its Head of Technology Risk, who works closely with Sixth Street’s Cybersecurity Committee, to develop and advance the firm’s cybersecurity strategy, which applies to us. Sixth Street’s Cybersecurity Committee includes its Chief Operating Officer and Chief Information Officer, Chief Risk Officer, General Counsel, Chief Compliance Officer, as well as our Chief Financial Officer and Chief Compliance Officer.</w:t>
      </w:r>
    </w:p>
    <w:p>
      <w:pPr>
        <w:spacing w:after="0" w:line="304" w:lineRule="exact"/>
        <w:rPr>
          <w:sz w:val="20"/>
          <w:szCs w:val="20"/>
          <w:color w:val="auto"/>
        </w:rPr>
      </w:pPr>
    </w:p>
    <w:p>
      <w:pPr>
        <w:ind w:right="480" w:firstLine="245"/>
        <w:spacing w:after="0" w:line="252" w:lineRule="auto"/>
        <w:rPr>
          <w:sz w:val="20"/>
          <w:szCs w:val="20"/>
          <w:color w:val="auto"/>
        </w:rPr>
      </w:pPr>
      <w:r>
        <w:rPr>
          <w:rFonts w:ascii="Times New Roman" w:cs="Times New Roman" w:eastAsia="Times New Roman" w:hAnsi="Times New Roman"/>
          <w:sz w:val="20"/>
          <w:szCs w:val="20"/>
          <w:color w:val="4C4C4E"/>
        </w:rPr>
        <w:t>The Head of Technology Risk has extensive experience in cybersecurity and technology and is responsible for all aspects of cybersecurity across Sixth Street. He has a B.S. in Computer Science from University of Washington and has over 18 years of experience contributing to cybersecurity related workflows, processes, policies, system designs, program management, and vulnerability discovery, exploitation, mitigation, and remediation.</w:t>
      </w:r>
    </w:p>
    <w:p>
      <w:pPr>
        <w:spacing w:after="0" w:line="304" w:lineRule="exact"/>
        <w:rPr>
          <w:sz w:val="20"/>
          <w:szCs w:val="20"/>
          <w:color w:val="auto"/>
        </w:rPr>
      </w:pPr>
    </w:p>
    <w:p>
      <w:pPr>
        <w:ind w:right="140" w:firstLine="245"/>
        <w:spacing w:after="0" w:line="249" w:lineRule="auto"/>
        <w:rPr>
          <w:sz w:val="20"/>
          <w:szCs w:val="20"/>
          <w:color w:val="auto"/>
        </w:rPr>
      </w:pPr>
      <w:r>
        <w:rPr>
          <w:rFonts w:ascii="Times New Roman" w:cs="Times New Roman" w:eastAsia="Times New Roman" w:hAnsi="Times New Roman"/>
          <w:sz w:val="20"/>
          <w:szCs w:val="20"/>
          <w:color w:val="4C4C4E"/>
        </w:rPr>
        <w:t>Sixth Street conducts periodic cybersecurity risk assessments, including assessments or audits of third-party vendors, and assists with the management and mitigation of identified cybersecurity risks. The Head of Technology Risk reviews the cybersecurity framework annually as well as on an event-driven basis as necessary. The Head of Technology Risk also reviews the scope of the cybersecurity measures periodically, including in the event of a change in business practices that may implicate the security or integrity of Sixth Street’s information and systems.</w:t>
      </w:r>
    </w:p>
    <w:p>
      <w:pPr>
        <w:spacing w:after="0" w:line="307" w:lineRule="exact"/>
        <w:rPr>
          <w:sz w:val="20"/>
          <w:szCs w:val="20"/>
          <w:color w:val="auto"/>
        </w:rPr>
      </w:pPr>
    </w:p>
    <w:p>
      <w:pPr>
        <w:ind w:right="80" w:firstLine="245"/>
        <w:spacing w:after="0" w:line="247" w:lineRule="auto"/>
        <w:rPr>
          <w:sz w:val="20"/>
          <w:szCs w:val="20"/>
          <w:color w:val="auto"/>
        </w:rPr>
      </w:pPr>
      <w:r>
        <w:rPr>
          <w:rFonts w:ascii="Times New Roman" w:cs="Times New Roman" w:eastAsia="Times New Roman" w:hAnsi="Times New Roman"/>
          <w:sz w:val="20"/>
          <w:szCs w:val="20"/>
          <w:color w:val="4C4C4E"/>
        </w:rPr>
        <w:t>Our Board of Directors is responsible for understanding the primary risks to our business, including any cybersecurity risks. The Board of Directors is responsible for reviewing periodically our and the Adviser’s information technology security controls and related compliance matters, with management. Sixth Street’s Head of Technology Risk reports to the Board of Directors at least annually on cybersecurity matters, including risks facing us and the Adviser and, as applicable, certain incidents. In addition to such periodic reports, the Board of Directors may receive updates from management as to our and the Adviser’s cybersecurity risks and Sixth Street cybersecurity program developments.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2. PROPERTIES</w:t>
      </w:r>
    </w:p>
    <w:p>
      <w:pPr>
        <w:spacing w:after="0" w:line="124" w:lineRule="exact"/>
        <w:rPr>
          <w:sz w:val="20"/>
          <w:szCs w:val="20"/>
          <w:color w:val="auto"/>
        </w:rPr>
      </w:pPr>
    </w:p>
    <w:p>
      <w:pPr>
        <w:ind w:right="40" w:firstLine="245"/>
        <w:spacing w:after="0" w:line="277" w:lineRule="auto"/>
        <w:rPr>
          <w:sz w:val="20"/>
          <w:szCs w:val="20"/>
          <w:color w:val="auto"/>
        </w:rPr>
      </w:pPr>
      <w:r>
        <w:rPr>
          <w:rFonts w:ascii="Times New Roman" w:cs="Times New Roman" w:eastAsia="Times New Roman" w:hAnsi="Times New Roman"/>
          <w:sz w:val="20"/>
          <w:szCs w:val="20"/>
          <w:color w:val="4C4C4E"/>
        </w:rPr>
        <w:t>We maintain our principal executive office at 2100 McKinney Avenue, Suite 1500, Dallas, Texas 75201. We do not own any real estate.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3. LEGAL PROCEEDINGS</w:t>
      </w:r>
    </w:p>
    <w:p>
      <w:pPr>
        <w:spacing w:after="0" w:line="124"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From time to time, we may be a party to certain legal proceedings in the ordinary course of business, including proceedings relating to the enforcement of our rights under loans to or other contracts with our portfolio companies. As of December 31, 2025 we were not aware of any material legal proceedings, nor, to our knowledge, is any material legal proceeding threatened against us.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4. MINE SAFETY DISCLOSURES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Not applicable.</w:t>
      </w:r>
    </w:p>
    <w:p>
      <w:pPr>
        <w:sectPr>
          <w:pgSz w:w="11880" w:h="15480" w:orient="portrait"/>
          <w:cols w:equalWidth="0" w:num="1">
            <w:col w:w="10660"/>
          </w:cols>
          <w:pgMar w:left="68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58</w:t>
      </w:r>
    </w:p>
    <w:p>
      <w:pPr>
        <w:sectPr>
          <w:pgSz w:w="11880" w:h="15480" w:orient="portrait"/>
          <w:cols w:equalWidth="0" w:num="1">
            <w:col w:w="10660"/>
          </w:cols>
          <w:pgMar w:left="680" w:top="750" w:right="540" w:bottom="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4C4C4E"/>
        </w:rPr>
        <w:t>PART II</w:t>
      </w:r>
    </w:p>
    <w:p>
      <w:pPr>
        <w:spacing w:after="0" w:line="2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4C4C4E"/>
        </w:rPr>
        <w:t>ITEM 5. MARKET FOR REGISTRANT’S COMMON EQUITY, RELATED STOCKHOLDER MATTERS AND ISSUER PURCHASES OF EQUITY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Price Range of Common Stock</w:t>
      </w:r>
    </w:p>
    <w:p>
      <w:pPr>
        <w:spacing w:after="0" w:line="118" w:lineRule="exact"/>
        <w:rPr>
          <w:sz w:val="20"/>
          <w:szCs w:val="20"/>
          <w:color w:val="auto"/>
        </w:rPr>
      </w:pPr>
    </w:p>
    <w:p>
      <w:pPr>
        <w:ind w:right="60" w:firstLine="245"/>
        <w:spacing w:after="0" w:line="252" w:lineRule="auto"/>
        <w:rPr>
          <w:sz w:val="20"/>
          <w:szCs w:val="20"/>
          <w:color w:val="auto"/>
        </w:rPr>
      </w:pPr>
      <w:r>
        <w:rPr>
          <w:rFonts w:ascii="Times New Roman" w:cs="Times New Roman" w:eastAsia="Times New Roman" w:hAnsi="Times New Roman"/>
          <w:sz w:val="20"/>
          <w:szCs w:val="20"/>
          <w:color w:val="4C4C4E"/>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Times New Roman" w:cs="Times New Roman" w:eastAsia="Times New Roman" w:hAnsi="Times New Roman"/>
          <w:sz w:val="20"/>
          <w:szCs w:val="20"/>
          <w:i w:val="1"/>
          <w:iCs w:val="1"/>
          <w:color w:val="4C4C4E"/>
        </w:rPr>
        <w:t>ITEM 1A. RISK FACTORS—Risks Related to Our Securities—We cannot assure you</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that the market price of shares of our common stock will not decline</w:t>
      </w:r>
      <w:r>
        <w:rPr>
          <w:rFonts w:ascii="Times New Roman" w:cs="Times New Roman" w:eastAsia="Times New Roman" w:hAnsi="Times New Roman"/>
          <w:sz w:val="20"/>
          <w:szCs w:val="20"/>
          <w:color w:val="4C4C4E"/>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Holders</w:t>
      </w:r>
    </w:p>
    <w:p>
      <w:pPr>
        <w:spacing w:after="0" w:line="118" w:lineRule="exact"/>
        <w:rPr>
          <w:sz w:val="20"/>
          <w:szCs w:val="20"/>
          <w:color w:val="auto"/>
        </w:rPr>
      </w:pPr>
    </w:p>
    <w:p>
      <w:pPr>
        <w:ind w:right="80" w:firstLine="245"/>
        <w:spacing w:after="0" w:line="277" w:lineRule="auto"/>
        <w:rPr>
          <w:sz w:val="20"/>
          <w:szCs w:val="20"/>
          <w:color w:val="auto"/>
        </w:rPr>
      </w:pPr>
      <w:r>
        <w:rPr>
          <w:rFonts w:ascii="Times New Roman" w:cs="Times New Roman" w:eastAsia="Times New Roman" w:hAnsi="Times New Roman"/>
          <w:sz w:val="20"/>
          <w:szCs w:val="20"/>
          <w:color w:val="4C4C4E"/>
        </w:rPr>
        <w:t>As of February 12, 2026, there were approximately 4 holders of record of our common stock (including Cede &amp; Co.). This number does not include shareholders for whom shares are held in “nominee” or “street name.”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Issuer Purchases of Equity Securities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For the year ended December 31, 2025, there was no common stock repurchased by the Company.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Stock Performance Graph</w:t>
      </w:r>
    </w:p>
    <w:p>
      <w:pPr>
        <w:spacing w:after="0" w:line="118" w:lineRule="exact"/>
        <w:rPr>
          <w:sz w:val="20"/>
          <w:szCs w:val="20"/>
          <w:color w:val="auto"/>
        </w:rPr>
      </w:pPr>
    </w:p>
    <w:p>
      <w:pPr>
        <w:ind w:right="80" w:firstLine="245"/>
        <w:spacing w:after="0" w:line="245" w:lineRule="auto"/>
        <w:rPr>
          <w:sz w:val="20"/>
          <w:szCs w:val="20"/>
          <w:color w:val="auto"/>
        </w:rPr>
      </w:pPr>
      <w:r>
        <w:rPr>
          <w:rFonts w:ascii="Times New Roman" w:cs="Times New Roman" w:eastAsia="Times New Roman" w:hAnsi="Times New Roman"/>
          <w:sz w:val="20"/>
          <w:szCs w:val="20"/>
          <w:color w:val="4C4C4E"/>
        </w:rPr>
        <w:t>The following graph compares the total return on our common stock from December 31, 2020 to December 31, 2025 with that of the Standard &amp; Poor’s BDC Index, the Standard &amp; Poor’s 500 Stock Index, the S&amp;P LSTA Leveraged Loan Index (“Leverage Loan Index”), and the Bloomberg Barclays US Corporate High Yield Total Return Index (“High Yield Bond Index”). This graph assumes that on December 31, 2020,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6858000" cy="2962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extLst>
                    </a:blip>
                    <a:srcRect/>
                    <a:stretch>
                      <a:fillRect/>
                    </a:stretch>
                  </pic:blipFill>
                  <pic:spPr bwMode="auto">
                    <a:xfrm>
                      <a:off x="0" y="0"/>
                      <a:ext cx="6858000" cy="2962275"/>
                    </a:xfrm>
                    <a:prstGeom prst="rect">
                      <a:avLst/>
                    </a:prstGeom>
                    <a:noFill/>
                  </pic:spPr>
                </pic:pic>
              </a:graphicData>
            </a:graphic>
          </wp:anchor>
        </w:drawing>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59</w:t>
      </w:r>
    </w:p>
    <w:p>
      <w:pPr>
        <w:sectPr>
          <w:pgSz w:w="11880" w:h="15480" w:orient="portrait"/>
          <w:cols w:equalWidth="0" w:num="1">
            <w:col w:w="10800"/>
          </w:cols>
          <w:pgMar w:left="540" w:top="746" w:right="540" w:bottom="0" w:gutter="0" w:footer="0" w:header="0"/>
          <w:type w:val="continuous"/>
        </w:sectPr>
      </w:pPr>
    </w:p>
    <w:bookmarkStart w:id="59" w:name="page60"/>
    <w:bookmarkEnd w:id="59"/>
    <w:p>
      <w:pPr>
        <w:jc w:val="center"/>
        <w:ind w:right="-199"/>
        <w:spacing w:after="0"/>
        <w:rPr>
          <w:sz w:val="20"/>
          <w:szCs w:val="20"/>
          <w:color w:val="auto"/>
        </w:rPr>
      </w:pPr>
      <w:r>
        <w:rPr>
          <w:rFonts w:ascii="Times New Roman" w:cs="Times New Roman" w:eastAsia="Times New Roman" w:hAnsi="Times New Roman"/>
          <w:sz w:val="20"/>
          <w:szCs w:val="20"/>
          <w:b w:val="1"/>
          <w:bCs w:val="1"/>
          <w:color w:val="4C4C4E"/>
        </w:rPr>
        <w:t>SENIOR SECURITIES</w:t>
      </w:r>
    </w:p>
    <w:p>
      <w:pPr>
        <w:spacing w:after="0" w:line="234" w:lineRule="exact"/>
        <w:rPr>
          <w:sz w:val="20"/>
          <w:szCs w:val="20"/>
          <w:color w:val="auto"/>
        </w:rPr>
      </w:pPr>
    </w:p>
    <w:p>
      <w:pPr>
        <w:jc w:val="both"/>
        <w:ind w:firstLine="245"/>
        <w:spacing w:after="0" w:line="242" w:lineRule="auto"/>
        <w:rPr>
          <w:sz w:val="20"/>
          <w:szCs w:val="20"/>
          <w:color w:val="auto"/>
        </w:rPr>
      </w:pPr>
      <w:r>
        <w:rPr>
          <w:rFonts w:ascii="Times New Roman" w:cs="Times New Roman" w:eastAsia="Times New Roman" w:hAnsi="Times New Roman"/>
          <w:sz w:val="20"/>
          <w:szCs w:val="20"/>
          <w:color w:val="4C4C4E"/>
        </w:rPr>
        <w:t>Information about our senior securities is shown in the following table as of the end of the last ten fiscal years. The report of our independent registered public accounting firm, KPMG LLP, on the senior securities table as of December 31, 2025 is attached as an exhibit to this annual report on Form 10-K. The “-” indicates information that the SEC expressly does not require to be disclosed for certain types of senior securities.</w:t>
      </w:r>
    </w:p>
    <w:p>
      <w:pPr>
        <w:sectPr>
          <w:pgSz w:w="11880" w:h="15480" w:orient="portrait"/>
          <w:cols w:equalWidth="0" w:num="1">
            <w:col w:w="10600"/>
          </w:cols>
          <w:pgMar w:left="540" w:top="738"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4C4C4E"/>
        </w:rPr>
        <w:t>60</w:t>
      </w:r>
    </w:p>
    <w:p>
      <w:pPr>
        <w:sectPr>
          <w:pgSz w:w="11880" w:h="15480" w:orient="portrait"/>
          <w:cols w:equalWidth="0" w:num="1">
            <w:col w:w="10600"/>
          </w:cols>
          <w:pgMar w:left="540" w:top="738" w:right="740"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4C4C4E"/>
                <w:w w:val="99"/>
              </w:rPr>
              <w:t>Total Amount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4C4C4E"/>
                <w:w w:val="99"/>
              </w:rPr>
              <w:t>Outstanding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4C4C4E"/>
                <w:w w:val="99"/>
              </w:rPr>
              <w:t>Exclusive of</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4C4C4E"/>
                <w:w w:val="99"/>
              </w:rPr>
              <w:t>Involuntary</w:t>
            </w:r>
          </w:p>
        </w:tc>
        <w:tc>
          <w:tcPr>
            <w:tcW w:w="3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C4C4E"/>
                <w:w w:val="99"/>
              </w:rPr>
              <w:t>Average</w:t>
            </w: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4C4C4E"/>
              </w:rPr>
              <w:t>Treasury</w:t>
            </w:r>
          </w:p>
        </w:tc>
        <w:tc>
          <w:tcPr>
            <w:tcW w:w="300" w:type="dxa"/>
            <w:vAlign w:val="bottom"/>
          </w:tcPr>
          <w:p>
            <w:pPr>
              <w:spacing w:after="0"/>
              <w:rPr>
                <w:sz w:val="17"/>
                <w:szCs w:val="17"/>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4C4C4E"/>
              </w:rPr>
              <w:t>Asset Coverage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4C4C4E"/>
                <w:w w:val="98"/>
              </w:rPr>
              <w:t>Liquidating</w:t>
            </w:r>
          </w:p>
        </w:tc>
        <w:tc>
          <w:tcPr>
            <w:tcW w:w="3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C4C4E"/>
                <w:w w:val="99"/>
              </w:rPr>
              <w:t>Market</w:t>
            </w: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spacing w:after="0" w:line="207" w:lineRule="exact"/>
              <w:rPr>
                <w:sz w:val="20"/>
                <w:szCs w:val="20"/>
                <w:color w:val="auto"/>
              </w:rPr>
            </w:pPr>
            <w:r>
              <w:rPr>
                <w:rFonts w:ascii="Times New Roman" w:cs="Times New Roman" w:eastAsia="Times New Roman" w:hAnsi="Times New Roman"/>
                <w:sz w:val="17"/>
                <w:szCs w:val="17"/>
                <w:b w:val="1"/>
                <w:bCs w:val="1"/>
                <w:color w:val="4C4C4E"/>
              </w:rPr>
              <w:t xml:space="preserve">Securities </w:t>
            </w:r>
            <w:r>
              <w:rPr>
                <w:rFonts w:ascii="Times New Roman" w:cs="Times New Roman" w:eastAsia="Times New Roman" w:hAnsi="Times New Roman"/>
                <w:sz w:val="23"/>
                <w:szCs w:val="23"/>
                <w:b w:val="1"/>
                <w:bCs w:val="1"/>
                <w:color w:val="4C4C4E"/>
                <w:vertAlign w:val="superscript"/>
              </w:rPr>
              <w:t>(1)</w:t>
            </w:r>
          </w:p>
        </w:tc>
        <w:tc>
          <w:tcPr>
            <w:tcW w:w="3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4C4C4E"/>
                <w:w w:val="99"/>
              </w:rPr>
              <w:t>Preference Per</w:t>
            </w:r>
          </w:p>
        </w:tc>
        <w:tc>
          <w:tcPr>
            <w:tcW w:w="3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C4C4E"/>
              </w:rPr>
              <w:t>Value</w:t>
            </w:r>
          </w:p>
        </w:tc>
        <w:tc>
          <w:tcPr>
            <w:tcW w:w="0" w:type="dxa"/>
            <w:vAlign w:val="bottom"/>
          </w:tcPr>
          <w:p>
            <w:pPr>
              <w:spacing w:after="0"/>
              <w:rPr>
                <w:sz w:val="1"/>
                <w:szCs w:val="1"/>
                <w:color w:val="auto"/>
              </w:rPr>
            </w:pPr>
          </w:p>
        </w:tc>
      </w:tr>
      <w:tr>
        <w:trPr>
          <w:trHeight w:val="22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4C4C4E"/>
              </w:rPr>
              <w:t>Class and Year/Period</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4C4C4E"/>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4C4C4E"/>
              </w:rPr>
              <w:t>in millions)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0"/>
              <w:spacing w:after="0" w:line="227" w:lineRule="exact"/>
              <w:rPr>
                <w:sz w:val="20"/>
                <w:szCs w:val="20"/>
                <w:color w:val="auto"/>
              </w:rPr>
            </w:pPr>
            <w:r>
              <w:rPr>
                <w:rFonts w:ascii="Times New Roman" w:cs="Times New Roman" w:eastAsia="Times New Roman" w:hAnsi="Times New Roman"/>
                <w:sz w:val="18"/>
                <w:szCs w:val="18"/>
                <w:b w:val="1"/>
                <w:bCs w:val="1"/>
                <w:color w:val="4C4C4E"/>
                <w:w w:val="99"/>
              </w:rPr>
              <w:t xml:space="preserve">Per Unit </w:t>
            </w:r>
            <w:r>
              <w:rPr>
                <w:rFonts w:ascii="Times New Roman" w:cs="Times New Roman" w:eastAsia="Times New Roman" w:hAnsi="Times New Roman"/>
                <w:sz w:val="24"/>
                <w:szCs w:val="24"/>
                <w:b w:val="1"/>
                <w:bCs w:val="1"/>
                <w:color w:val="4C4C4E"/>
                <w:w w:val="99"/>
                <w:vertAlign w:val="superscript"/>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0"/>
              <w:spacing w:after="0" w:line="227" w:lineRule="exact"/>
              <w:rPr>
                <w:sz w:val="20"/>
                <w:szCs w:val="20"/>
                <w:color w:val="auto"/>
              </w:rPr>
            </w:pPr>
            <w:r>
              <w:rPr>
                <w:rFonts w:ascii="Times New Roman" w:cs="Times New Roman" w:eastAsia="Times New Roman" w:hAnsi="Times New Roman"/>
                <w:sz w:val="18"/>
                <w:szCs w:val="18"/>
                <w:b w:val="1"/>
                <w:bCs w:val="1"/>
                <w:color w:val="4C4C4E"/>
                <w:w w:val="94"/>
              </w:rPr>
              <w:t xml:space="preserve">Unit </w:t>
            </w:r>
            <w:r>
              <w:rPr>
                <w:rFonts w:ascii="Times New Roman" w:cs="Times New Roman" w:eastAsia="Times New Roman" w:hAnsi="Times New Roman"/>
                <w:sz w:val="24"/>
                <w:szCs w:val="24"/>
                <w:b w:val="1"/>
                <w:bCs w:val="1"/>
                <w:color w:val="4C4C4E"/>
                <w:w w:val="94"/>
                <w:vertAlign w:val="superscript"/>
              </w:rPr>
              <w:t>(3)</w:t>
            </w:r>
          </w:p>
        </w:tc>
        <w:tc>
          <w:tcPr>
            <w:tcW w:w="380" w:type="dxa"/>
            <w:vAlign w:val="bottom"/>
          </w:tcPr>
          <w:p>
            <w:pPr>
              <w:spacing w:after="0"/>
              <w:rPr>
                <w:sz w:val="19"/>
                <w:szCs w:val="19"/>
                <w:color w:val="auto"/>
              </w:rPr>
            </w:pPr>
          </w:p>
        </w:tc>
        <w:tc>
          <w:tcPr>
            <w:tcW w:w="1080" w:type="dxa"/>
            <w:vAlign w:val="bottom"/>
          </w:tcPr>
          <w:p>
            <w:pPr>
              <w:jc w:val="center"/>
              <w:spacing w:after="0" w:line="227" w:lineRule="exact"/>
              <w:rPr>
                <w:sz w:val="20"/>
                <w:szCs w:val="20"/>
                <w:color w:val="auto"/>
              </w:rPr>
            </w:pPr>
            <w:r>
              <w:rPr>
                <w:rFonts w:ascii="Times New Roman" w:cs="Times New Roman" w:eastAsia="Times New Roman" w:hAnsi="Times New Roman"/>
                <w:sz w:val="18"/>
                <w:szCs w:val="18"/>
                <w:b w:val="1"/>
                <w:bCs w:val="1"/>
                <w:color w:val="4C4C4E"/>
                <w:w w:val="94"/>
              </w:rPr>
              <w:t xml:space="preserve">Per Unit </w:t>
            </w:r>
            <w:r>
              <w:rPr>
                <w:rFonts w:ascii="Times New Roman" w:cs="Times New Roman" w:eastAsia="Times New Roman" w:hAnsi="Times New Roman"/>
                <w:sz w:val="24"/>
                <w:szCs w:val="24"/>
                <w:b w:val="1"/>
                <w:bCs w:val="1"/>
                <w:color w:val="4C4C4E"/>
                <w:w w:val="94"/>
                <w:vertAlign w:val="superscript"/>
              </w:rPr>
              <w:t>(4)</w:t>
            </w:r>
          </w:p>
        </w:tc>
        <w:tc>
          <w:tcPr>
            <w:tcW w:w="0" w:type="dxa"/>
            <w:vAlign w:val="bottom"/>
          </w:tcPr>
          <w:p>
            <w:pPr>
              <w:spacing w:after="0"/>
              <w:rPr>
                <w:sz w:val="1"/>
                <w:szCs w:val="1"/>
                <w:color w:val="auto"/>
              </w:rPr>
            </w:pPr>
          </w:p>
        </w:tc>
      </w:tr>
      <w:tr>
        <w:trPr>
          <w:trHeight w:val="216"/>
        </w:trPr>
        <w:tc>
          <w:tcPr>
            <w:tcW w:w="298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18"/>
                <w:szCs w:val="18"/>
                <w:b w:val="1"/>
                <w:bCs w:val="1"/>
                <w:color w:val="4C4C4E"/>
              </w:rPr>
              <w:t>Revolving Credit Facilities</w:t>
            </w:r>
          </w:p>
        </w:tc>
        <w:tc>
          <w:tcPr>
            <w:tcW w:w="200" w:type="dxa"/>
            <w:vAlign w:val="bottom"/>
            <w:tcBorders>
              <w:top w:val="single" w:sz="8" w:color="D8EEF4"/>
            </w:tcBorders>
            <w:shd w:val="clear" w:color="auto" w:fill="D8EEF4"/>
          </w:tcPr>
          <w:p>
            <w:pPr>
              <w:spacing w:after="0"/>
              <w:rPr>
                <w:sz w:val="18"/>
                <w:szCs w:val="18"/>
                <w:color w:val="auto"/>
              </w:rPr>
            </w:pPr>
          </w:p>
        </w:tc>
        <w:tc>
          <w:tcPr>
            <w:tcW w:w="420" w:type="dxa"/>
            <w:vAlign w:val="bottom"/>
            <w:tcBorders>
              <w:top w:val="single" w:sz="8" w:color="4C4C4E"/>
            </w:tcBorders>
            <w:shd w:val="clear" w:color="auto" w:fill="D8EEF4"/>
          </w:tcPr>
          <w:p>
            <w:pPr>
              <w:spacing w:after="0"/>
              <w:rPr>
                <w:sz w:val="18"/>
                <w:szCs w:val="18"/>
                <w:color w:val="auto"/>
              </w:rPr>
            </w:pPr>
          </w:p>
        </w:tc>
        <w:tc>
          <w:tcPr>
            <w:tcW w:w="1160" w:type="dxa"/>
            <w:vAlign w:val="bottom"/>
            <w:tcBorders>
              <w:top w:val="single" w:sz="8" w:color="4C4C4E"/>
            </w:tcBorders>
            <w:shd w:val="clear" w:color="auto" w:fill="D8EEF4"/>
          </w:tcPr>
          <w:p>
            <w:pPr>
              <w:spacing w:after="0"/>
              <w:rPr>
                <w:sz w:val="18"/>
                <w:szCs w:val="18"/>
                <w:color w:val="auto"/>
              </w:rPr>
            </w:pPr>
          </w:p>
        </w:tc>
        <w:tc>
          <w:tcPr>
            <w:tcW w:w="300" w:type="dxa"/>
            <w:vAlign w:val="bottom"/>
            <w:tcBorders>
              <w:top w:val="single" w:sz="8" w:color="D8EEF4"/>
            </w:tcBorders>
            <w:shd w:val="clear" w:color="auto" w:fill="D8EEF4"/>
          </w:tcPr>
          <w:p>
            <w:pPr>
              <w:spacing w:after="0"/>
              <w:rPr>
                <w:sz w:val="18"/>
                <w:szCs w:val="18"/>
                <w:color w:val="auto"/>
              </w:rPr>
            </w:pPr>
          </w:p>
        </w:tc>
        <w:tc>
          <w:tcPr>
            <w:tcW w:w="140" w:type="dxa"/>
            <w:vAlign w:val="bottom"/>
            <w:tcBorders>
              <w:top w:val="single" w:sz="8" w:color="4C4C4E"/>
            </w:tcBorders>
            <w:shd w:val="clear" w:color="auto" w:fill="D8EEF4"/>
          </w:tcPr>
          <w:p>
            <w:pPr>
              <w:spacing w:after="0"/>
              <w:rPr>
                <w:sz w:val="18"/>
                <w:szCs w:val="18"/>
                <w:color w:val="auto"/>
              </w:rPr>
            </w:pPr>
          </w:p>
        </w:tc>
        <w:tc>
          <w:tcPr>
            <w:tcW w:w="1120" w:type="dxa"/>
            <w:vAlign w:val="bottom"/>
            <w:tcBorders>
              <w:top w:val="single" w:sz="8" w:color="4C4C4E"/>
            </w:tcBorders>
            <w:shd w:val="clear" w:color="auto" w:fill="D8EEF4"/>
          </w:tcPr>
          <w:p>
            <w:pPr>
              <w:spacing w:after="0"/>
              <w:rPr>
                <w:sz w:val="18"/>
                <w:szCs w:val="18"/>
                <w:color w:val="auto"/>
              </w:rPr>
            </w:pPr>
          </w:p>
        </w:tc>
        <w:tc>
          <w:tcPr>
            <w:tcW w:w="320" w:type="dxa"/>
            <w:vAlign w:val="bottom"/>
            <w:tcBorders>
              <w:top w:val="single" w:sz="8" w:color="D8EEF4"/>
            </w:tcBorders>
            <w:shd w:val="clear" w:color="auto" w:fill="D8EEF4"/>
          </w:tcPr>
          <w:p>
            <w:pPr>
              <w:spacing w:after="0"/>
              <w:rPr>
                <w:sz w:val="18"/>
                <w:szCs w:val="18"/>
                <w:color w:val="auto"/>
              </w:rPr>
            </w:pPr>
          </w:p>
        </w:tc>
        <w:tc>
          <w:tcPr>
            <w:tcW w:w="120" w:type="dxa"/>
            <w:vAlign w:val="bottom"/>
            <w:tcBorders>
              <w:top w:val="single" w:sz="8" w:color="4C4C4E"/>
            </w:tcBorders>
            <w:shd w:val="clear" w:color="auto" w:fill="D8EEF4"/>
          </w:tcPr>
          <w:p>
            <w:pPr>
              <w:spacing w:after="0"/>
              <w:rPr>
                <w:sz w:val="18"/>
                <w:szCs w:val="18"/>
                <w:color w:val="auto"/>
              </w:rPr>
            </w:pPr>
          </w:p>
        </w:tc>
        <w:tc>
          <w:tcPr>
            <w:tcW w:w="1300" w:type="dxa"/>
            <w:vAlign w:val="bottom"/>
            <w:tcBorders>
              <w:top w:val="single" w:sz="8" w:color="4C4C4E"/>
            </w:tcBorders>
            <w:shd w:val="clear" w:color="auto" w:fill="D8EEF4"/>
          </w:tcPr>
          <w:p>
            <w:pPr>
              <w:spacing w:after="0"/>
              <w:rPr>
                <w:sz w:val="18"/>
                <w:szCs w:val="18"/>
                <w:color w:val="auto"/>
              </w:rPr>
            </w:pPr>
          </w:p>
        </w:tc>
        <w:tc>
          <w:tcPr>
            <w:tcW w:w="380" w:type="dxa"/>
            <w:vAlign w:val="bottom"/>
            <w:tcBorders>
              <w:top w:val="single" w:sz="8" w:color="D8EEF4"/>
            </w:tcBorders>
            <w:shd w:val="clear" w:color="auto" w:fill="D8EEF4"/>
          </w:tcPr>
          <w:p>
            <w:pPr>
              <w:spacing w:after="0"/>
              <w:rPr>
                <w:sz w:val="18"/>
                <w:szCs w:val="18"/>
                <w:color w:val="auto"/>
              </w:rPr>
            </w:pPr>
          </w:p>
        </w:tc>
        <w:tc>
          <w:tcPr>
            <w:tcW w:w="1080" w:type="dxa"/>
            <w:vAlign w:val="bottom"/>
            <w:tcBorders>
              <w:top w:val="single" w:sz="8" w:color="4C4C4E"/>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2025</w:t>
            </w:r>
          </w:p>
        </w:tc>
        <w:tc>
          <w:tcPr>
            <w:tcW w:w="200" w:type="dxa"/>
            <w:vAlign w:val="bottom"/>
          </w:tcPr>
          <w:p>
            <w:pPr>
              <w:spacing w:after="0"/>
              <w:rPr>
                <w:sz w:val="19"/>
                <w:szCs w:val="19"/>
                <w:color w:val="auto"/>
              </w:rPr>
            </w:pPr>
          </w:p>
        </w:tc>
        <w:tc>
          <w:tcPr>
            <w:tcW w:w="420" w:type="dxa"/>
            <w:vAlign w:val="bottom"/>
          </w:tcPr>
          <w:p>
            <w:pPr>
              <w:jc w:val="right"/>
              <w:ind w:right="252"/>
              <w:spacing w:after="0"/>
              <w:rPr>
                <w:sz w:val="20"/>
                <w:szCs w:val="20"/>
                <w:color w:val="auto"/>
              </w:rPr>
            </w:pPr>
            <w:r>
              <w:rPr>
                <w:rFonts w:ascii="Times New Roman" w:cs="Times New Roman" w:eastAsia="Times New Roman" w:hAnsi="Times New Roman"/>
                <w:sz w:val="17"/>
                <w:szCs w:val="17"/>
                <w:color w:val="4C4C4E"/>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513.9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1,914.9</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4C4C4E"/>
                <w:w w:val="88"/>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2024</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1,004.1</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1,824.7</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889.7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1,815.9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2022</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719.3</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1,885.7</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316.4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2,053.6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2020</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472.3</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2,045.4</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2019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495.7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2,004.1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2018</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187.5</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2,705.2</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2017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486.8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2,355.3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2016</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578.7</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2,376.6</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4C4C4E"/>
              </w:rPr>
              <w:t>Convertible Senior Notes due 2019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2025</w:t>
            </w:r>
          </w:p>
        </w:tc>
        <w:tc>
          <w:tcPr>
            <w:tcW w:w="620" w:type="dxa"/>
            <w:vAlign w:val="bottom"/>
            <w:gridSpan w:val="2"/>
            <w:shd w:val="clear" w:color="auto" w:fill="D8EEF4"/>
          </w:tcPr>
          <w:p>
            <w:pPr>
              <w:jc w:val="right"/>
              <w:ind w:right="252"/>
              <w:spacing w:after="0"/>
              <w:rPr>
                <w:sz w:val="20"/>
                <w:szCs w:val="20"/>
                <w:color w:val="auto"/>
              </w:rPr>
            </w:pPr>
            <w:r>
              <w:rPr>
                <w:rFonts w:ascii="Times New Roman" w:cs="Times New Roman" w:eastAsia="Times New Roman" w:hAnsi="Times New Roman"/>
                <w:sz w:val="18"/>
                <w:szCs w:val="18"/>
                <w:color w:val="4C4C4E"/>
              </w:rPr>
              <w:t>$</w:t>
            </w: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4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4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2023</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2021</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2019</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2018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114.3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2,705.2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2017</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113.7</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2,355.3</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2016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113.1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2,376.6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b w:val="1"/>
                <w:bCs w:val="1"/>
                <w:color w:val="4C4C4E"/>
              </w:rPr>
              <w:t>Convertible Senior Notes due 2022</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spacing w:after="0"/>
              <w:rPr>
                <w:sz w:val="19"/>
                <w:szCs w:val="19"/>
                <w:color w:val="auto"/>
              </w:rPr>
            </w:pP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spacing w:after="0"/>
              <w:rPr>
                <w:sz w:val="19"/>
                <w:szCs w:val="19"/>
                <w:color w:val="auto"/>
              </w:rPr>
            </w:pP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spacing w:after="0"/>
              <w:rPr>
                <w:sz w:val="19"/>
                <w:szCs w:val="19"/>
                <w:color w:val="auto"/>
              </w:rPr>
            </w:pP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2025</w:t>
            </w:r>
          </w:p>
        </w:tc>
        <w:tc>
          <w:tcPr>
            <w:tcW w:w="6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4C4C4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2024</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2022</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100.0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2,053.6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2020</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142.5</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2,045.4</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2019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171.9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2,004.1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2018</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171.7</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2,705.2</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2017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114.7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2,355.3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b w:val="1"/>
                <w:bCs w:val="1"/>
                <w:color w:val="4C4C4E"/>
              </w:rPr>
              <w:t>2023 Notes</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spacing w:after="0"/>
              <w:rPr>
                <w:sz w:val="19"/>
                <w:szCs w:val="19"/>
                <w:color w:val="auto"/>
              </w:rPr>
            </w:pP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spacing w:after="0"/>
              <w:rPr>
                <w:sz w:val="19"/>
                <w:szCs w:val="19"/>
                <w:color w:val="auto"/>
              </w:rPr>
            </w:pP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spacing w:after="0"/>
              <w:rPr>
                <w:sz w:val="19"/>
                <w:szCs w:val="19"/>
                <w:color w:val="auto"/>
              </w:rPr>
            </w:pP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2025</w:t>
            </w:r>
          </w:p>
        </w:tc>
        <w:tc>
          <w:tcPr>
            <w:tcW w:w="6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4C4C4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2024</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2022</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150.0</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1,885.7</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150.0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2,053.6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2020</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150.0</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2,045.4</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2019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150.0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2,004.1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2018</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150.0</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2,705.2</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4C4C4E"/>
              </w:rPr>
              <w:t>2024 Notes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2025</w:t>
            </w:r>
          </w:p>
        </w:tc>
        <w:tc>
          <w:tcPr>
            <w:tcW w:w="620" w:type="dxa"/>
            <w:vAlign w:val="bottom"/>
            <w:gridSpan w:val="2"/>
            <w:shd w:val="clear" w:color="auto" w:fill="D8EEF4"/>
          </w:tcPr>
          <w:p>
            <w:pPr>
              <w:jc w:val="right"/>
              <w:ind w:right="252"/>
              <w:spacing w:after="0"/>
              <w:rPr>
                <w:sz w:val="20"/>
                <w:szCs w:val="20"/>
                <w:color w:val="auto"/>
              </w:rPr>
            </w:pPr>
            <w:r>
              <w:rPr>
                <w:rFonts w:ascii="Times New Roman" w:cs="Times New Roman" w:eastAsia="Times New Roman" w:hAnsi="Times New Roman"/>
                <w:sz w:val="18"/>
                <w:szCs w:val="18"/>
                <w:color w:val="4C4C4E"/>
              </w:rPr>
              <w:t>$</w:t>
            </w: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4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4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2023</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347.2</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1,815.9</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346.8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1,885.7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2021</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346.4</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2,053.6</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346.1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2,045.4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2019</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297.2</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2,004.1</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4C4C4E"/>
              </w:rPr>
              <w:t>2026 Notes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2025</w:t>
            </w:r>
          </w:p>
        </w:tc>
        <w:tc>
          <w:tcPr>
            <w:tcW w:w="620" w:type="dxa"/>
            <w:vAlign w:val="bottom"/>
            <w:gridSpan w:val="2"/>
            <w:shd w:val="clear" w:color="auto" w:fill="D8EEF4"/>
          </w:tcPr>
          <w:p>
            <w:pPr>
              <w:jc w:val="right"/>
              <w:ind w:right="252"/>
              <w:spacing w:after="0"/>
              <w:rPr>
                <w:sz w:val="20"/>
                <w:szCs w:val="20"/>
                <w:color w:val="auto"/>
              </w:rPr>
            </w:pPr>
            <w:r>
              <w:rPr>
                <w:rFonts w:ascii="Times New Roman" w:cs="Times New Roman" w:eastAsia="Times New Roman" w:hAnsi="Times New Roman"/>
                <w:sz w:val="18"/>
                <w:szCs w:val="18"/>
                <w:color w:val="4C4C4E"/>
              </w:rPr>
              <w:t>$</w:t>
            </w: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299.8</w:t>
            </w:r>
          </w:p>
        </w:tc>
        <w:tc>
          <w:tcPr>
            <w:tcW w:w="4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1,914.9</w:t>
            </w:r>
          </w:p>
        </w:tc>
        <w:tc>
          <w:tcPr>
            <w:tcW w:w="4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w:t>
            </w: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299.3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1,824.7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2023</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298.9</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1,815.9</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298.5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1,885.7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21"/>
        </w:trPr>
        <w:tc>
          <w:tcPr>
            <w:tcW w:w="29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2021</w:t>
            </w:r>
          </w:p>
        </w:tc>
        <w:tc>
          <w:tcPr>
            <w:tcW w:w="200" w:type="dxa"/>
            <w:vAlign w:val="bottom"/>
            <w:shd w:val="clear" w:color="auto" w:fill="D8EEF4"/>
          </w:tcPr>
          <w:p>
            <w:pPr>
              <w:spacing w:after="0"/>
              <w:rPr>
                <w:sz w:val="19"/>
                <w:szCs w:val="19"/>
                <w:color w:val="auto"/>
              </w:rPr>
            </w:pPr>
          </w:p>
        </w:tc>
        <w:tc>
          <w:tcPr>
            <w:tcW w:w="420" w:type="dxa"/>
            <w:vAlign w:val="bottom"/>
            <w:shd w:val="clear" w:color="auto" w:fill="D8EEF4"/>
          </w:tcPr>
          <w:p>
            <w:pPr>
              <w:spacing w:after="0"/>
              <w:rPr>
                <w:sz w:val="19"/>
                <w:szCs w:val="19"/>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298.1</w:t>
            </w:r>
          </w:p>
        </w:tc>
        <w:tc>
          <w:tcPr>
            <w:tcW w:w="300" w:type="dxa"/>
            <w:vAlign w:val="bottom"/>
            <w:shd w:val="clear" w:color="auto" w:fill="D8EEF4"/>
          </w:tcPr>
          <w:p>
            <w:pPr>
              <w:spacing w:after="0"/>
              <w:rPr>
                <w:sz w:val="19"/>
                <w:szCs w:val="19"/>
                <w:color w:val="auto"/>
              </w:rPr>
            </w:pPr>
          </w:p>
        </w:tc>
        <w:tc>
          <w:tcPr>
            <w:tcW w:w="140" w:type="dxa"/>
            <w:vAlign w:val="bottom"/>
            <w:shd w:val="clear" w:color="auto" w:fill="D8EEF4"/>
          </w:tcPr>
          <w:p>
            <w:pPr>
              <w:spacing w:after="0"/>
              <w:rPr>
                <w:sz w:val="19"/>
                <w:szCs w:val="19"/>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2,053.6</w:t>
            </w:r>
          </w:p>
        </w:tc>
        <w:tc>
          <w:tcPr>
            <w:tcW w:w="320" w:type="dxa"/>
            <w:vAlign w:val="bottom"/>
            <w:shd w:val="clear" w:color="auto" w:fill="D8EEF4"/>
          </w:tcPr>
          <w:p>
            <w:pPr>
              <w:spacing w:after="0"/>
              <w:rPr>
                <w:sz w:val="19"/>
                <w:szCs w:val="19"/>
                <w:color w:val="auto"/>
              </w:rPr>
            </w:pPr>
          </w:p>
        </w:tc>
        <w:tc>
          <w:tcPr>
            <w:tcW w:w="120" w:type="dxa"/>
            <w:vAlign w:val="bottom"/>
            <w:shd w:val="clear" w:color="auto" w:fill="D8EEF4"/>
          </w:tcPr>
          <w:p>
            <w:pPr>
              <w:spacing w:after="0"/>
              <w:rPr>
                <w:sz w:val="19"/>
                <w:szCs w:val="19"/>
                <w:color w:val="auto"/>
              </w:rPr>
            </w:pPr>
          </w:p>
        </w:tc>
        <w:tc>
          <w:tcPr>
            <w:tcW w:w="1300" w:type="dxa"/>
            <w:vAlign w:val="bottom"/>
            <w:shd w:val="clear" w:color="auto" w:fill="D8EEF4"/>
          </w:tcPr>
          <w:p>
            <w:pPr>
              <w:ind w:left="1120"/>
              <w:spacing w:after="0"/>
              <w:rPr>
                <w:sz w:val="20"/>
                <w:szCs w:val="20"/>
                <w:color w:val="auto"/>
              </w:rPr>
            </w:pPr>
            <w:r>
              <w:rPr>
                <w:rFonts w:ascii="Times New Roman" w:cs="Times New Roman" w:eastAsia="Times New Roman" w:hAnsi="Times New Roman"/>
                <w:sz w:val="18"/>
                <w:szCs w:val="18"/>
                <w:color w:val="4C4C4E"/>
                <w:w w:val="88"/>
              </w:rPr>
              <w:t>—</w:t>
            </w:r>
          </w:p>
        </w:tc>
        <w:tc>
          <w:tcPr>
            <w:tcW w:w="380" w:type="dxa"/>
            <w:vAlign w:val="bottom"/>
            <w:shd w:val="clear" w:color="auto" w:fill="D8EEF4"/>
          </w:tcPr>
          <w:p>
            <w:pPr>
              <w:spacing w:after="0"/>
              <w:rPr>
                <w:sz w:val="19"/>
                <w:szCs w:val="19"/>
                <w:color w:val="auto"/>
              </w:rPr>
            </w:pPr>
          </w:p>
        </w:tc>
        <w:tc>
          <w:tcPr>
            <w:tcW w:w="1080" w:type="dxa"/>
            <w:vAlign w:val="bottom"/>
            <w:shd w:val="clear" w:color="auto" w:fill="D8EEF4"/>
          </w:tcPr>
          <w:p>
            <w:pPr>
              <w:ind w:left="740"/>
              <w:spacing w:after="0"/>
              <w:rPr>
                <w:sz w:val="20"/>
                <w:szCs w:val="20"/>
                <w:color w:val="auto"/>
              </w:rPr>
            </w:pPr>
            <w:r>
              <w:rPr>
                <w:rFonts w:ascii="Times New Roman" w:cs="Times New Roman" w:eastAsia="Times New Roman" w:hAnsi="Times New Roman"/>
                <w:sz w:val="18"/>
                <w:szCs w:val="18"/>
                <w:color w:val="4C4C4E"/>
              </w:rPr>
              <w:t>N/A</w:t>
            </w:r>
          </w:p>
        </w:tc>
        <w:tc>
          <w:tcPr>
            <w:tcW w:w="0" w:type="dxa"/>
            <w:vAlign w:val="bottom"/>
          </w:tcPr>
          <w:p>
            <w:pPr>
              <w:spacing w:after="0"/>
              <w:rPr>
                <w:sz w:val="1"/>
                <w:szCs w:val="1"/>
                <w:color w:val="auto"/>
              </w:rPr>
            </w:pPr>
          </w:p>
        </w:tc>
      </w:tr>
      <w:tr>
        <w:trPr>
          <w:trHeight w:val="246"/>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4C4C4E"/>
              </w:rPr>
              <w:t>2028 Notes</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63" w:right="1180" w:bottom="0" w:gutter="0" w:footer="0" w:header="0"/>
        </w:sectPr>
      </w:pP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61</w:t>
      </w:r>
    </w:p>
    <w:p>
      <w:pPr>
        <w:sectPr>
          <w:pgSz w:w="11880" w:h="15480" w:orient="portrait"/>
          <w:cols w:equalWidth="0" w:num="1">
            <w:col w:w="9520"/>
          </w:cols>
          <w:pgMar w:left="1180" w:top="763" w:right="1180" w:bottom="0" w:gutter="0" w:footer="0" w:header="0"/>
          <w:type w:val="continuous"/>
        </w:sectPr>
      </w:pPr>
    </w:p>
    <w:bookmarkStart w:id="61" w:name="page62"/>
    <w:bookmarkEnd w:id="61"/>
    <w:tbl>
      <w:tblPr>
        <w:tblLayout w:type="fixed"/>
        <w:tblInd w:w="640" w:type="dxa"/>
        <w:tblCellMar>
          <w:top w:w="0" w:type="dxa"/>
          <w:left w:w="0" w:type="dxa"/>
          <w:bottom w:w="0" w:type="dxa"/>
          <w:right w:w="0" w:type="dxa"/>
        </w:tblCellMar>
      </w:tblPr>
      <w:tr>
        <w:trPr>
          <w:trHeight w:val="221"/>
        </w:trPr>
        <w:tc>
          <w:tcPr>
            <w:tcW w:w="230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2025</w:t>
            </w:r>
          </w:p>
        </w:tc>
        <w:tc>
          <w:tcPr>
            <w:tcW w:w="1500" w:type="dxa"/>
            <w:vAlign w:val="bottom"/>
            <w:shd w:val="clear" w:color="auto" w:fill="D8EEF4"/>
          </w:tcPr>
          <w:p>
            <w:pPr>
              <w:jc w:val="right"/>
              <w:ind w:right="450"/>
              <w:spacing w:after="0"/>
              <w:rPr>
                <w:sz w:val="20"/>
                <w:szCs w:val="20"/>
                <w:color w:val="auto"/>
              </w:rPr>
            </w:pPr>
            <w:r>
              <w:rPr>
                <w:rFonts w:ascii="Times New Roman" w:cs="Times New Roman" w:eastAsia="Times New Roman" w:hAnsi="Times New Roman"/>
                <w:sz w:val="18"/>
                <w:szCs w:val="18"/>
                <w:color w:val="4C4C4E"/>
              </w:rPr>
              <w:t>$</w:t>
            </w:r>
          </w:p>
        </w:tc>
        <w:tc>
          <w:tcPr>
            <w:tcW w:w="1100" w:type="dxa"/>
            <w:vAlign w:val="bottom"/>
            <w:shd w:val="clear" w:color="auto" w:fill="D8EEF4"/>
          </w:tcPr>
          <w:p>
            <w:pPr>
              <w:jc w:val="right"/>
              <w:ind w:right="50"/>
              <w:spacing w:after="0"/>
              <w:rPr>
                <w:sz w:val="20"/>
                <w:szCs w:val="20"/>
                <w:color w:val="auto"/>
              </w:rPr>
            </w:pPr>
            <w:r>
              <w:rPr>
                <w:rFonts w:ascii="Times New Roman" w:cs="Times New Roman" w:eastAsia="Times New Roman" w:hAnsi="Times New Roman"/>
                <w:sz w:val="18"/>
                <w:szCs w:val="18"/>
                <w:color w:val="4C4C4E"/>
              </w:rPr>
              <w:t>299.0</w:t>
            </w:r>
          </w:p>
        </w:tc>
        <w:tc>
          <w:tcPr>
            <w:tcW w:w="560" w:type="dxa"/>
            <w:vAlign w:val="bottom"/>
            <w:shd w:val="clear" w:color="auto" w:fill="D8EEF4"/>
          </w:tcPr>
          <w:p>
            <w:pPr>
              <w:jc w:val="right"/>
              <w:ind w:right="230"/>
              <w:spacing w:after="0"/>
              <w:rPr>
                <w:sz w:val="20"/>
                <w:szCs w:val="20"/>
                <w:color w:val="auto"/>
              </w:rPr>
            </w:pPr>
            <w:r>
              <w:rPr>
                <w:rFonts w:ascii="Times New Roman" w:cs="Times New Roman" w:eastAsia="Times New Roman" w:hAnsi="Times New Roman"/>
                <w:sz w:val="18"/>
                <w:szCs w:val="18"/>
                <w:color w:val="4C4C4E"/>
              </w:rPr>
              <w:t>$</w:t>
            </w:r>
          </w:p>
        </w:tc>
        <w:tc>
          <w:tcPr>
            <w:tcW w:w="1020" w:type="dxa"/>
            <w:vAlign w:val="bottom"/>
            <w:shd w:val="clear" w:color="auto" w:fill="D8EEF4"/>
          </w:tcPr>
          <w:p>
            <w:pPr>
              <w:jc w:val="right"/>
              <w:ind w:right="70"/>
              <w:spacing w:after="0"/>
              <w:rPr>
                <w:sz w:val="20"/>
                <w:szCs w:val="20"/>
                <w:color w:val="auto"/>
              </w:rPr>
            </w:pPr>
            <w:r>
              <w:rPr>
                <w:rFonts w:ascii="Times New Roman" w:cs="Times New Roman" w:eastAsia="Times New Roman" w:hAnsi="Times New Roman"/>
                <w:sz w:val="18"/>
                <w:szCs w:val="18"/>
                <w:color w:val="4C4C4E"/>
              </w:rPr>
              <w:t>1,914.9</w:t>
            </w:r>
          </w:p>
        </w:tc>
        <w:tc>
          <w:tcPr>
            <w:tcW w:w="820" w:type="dxa"/>
            <w:vAlign w:val="bottom"/>
            <w:shd w:val="clear" w:color="auto" w:fill="D8EEF4"/>
          </w:tcPr>
          <w:p>
            <w:pPr>
              <w:jc w:val="right"/>
              <w:ind w:right="470"/>
              <w:spacing w:after="0"/>
              <w:rPr>
                <w:sz w:val="20"/>
                <w:szCs w:val="20"/>
                <w:color w:val="auto"/>
              </w:rPr>
            </w:pPr>
            <w:r>
              <w:rPr>
                <w:rFonts w:ascii="Times New Roman" w:cs="Times New Roman" w:eastAsia="Times New Roman" w:hAnsi="Times New Roman"/>
                <w:sz w:val="18"/>
                <w:szCs w:val="18"/>
                <w:color w:val="4C4C4E"/>
              </w:rPr>
              <w:t>$</w:t>
            </w:r>
          </w:p>
        </w:tc>
        <w:tc>
          <w:tcPr>
            <w:tcW w:w="1320" w:type="dxa"/>
            <w:vAlign w:val="bottom"/>
            <w:shd w:val="clear" w:color="auto" w:fill="D8EEF4"/>
          </w:tcPr>
          <w:p>
            <w:pPr>
              <w:ind w:left="580"/>
              <w:spacing w:after="0"/>
              <w:rPr>
                <w:sz w:val="20"/>
                <w:szCs w:val="20"/>
                <w:color w:val="auto"/>
              </w:rPr>
            </w:pPr>
            <w:r>
              <w:rPr>
                <w:rFonts w:ascii="Times New Roman" w:cs="Times New Roman" w:eastAsia="Times New Roman" w:hAnsi="Times New Roman"/>
                <w:sz w:val="18"/>
                <w:szCs w:val="18"/>
                <w:color w:val="4C4C4E"/>
              </w:rPr>
              <w:t>—</w:t>
            </w:r>
          </w:p>
        </w:tc>
        <w:tc>
          <w:tcPr>
            <w:tcW w:w="900" w:type="dxa"/>
            <w:vAlign w:val="bottom"/>
            <w:shd w:val="clear" w:color="auto" w:fill="D8EEF4"/>
          </w:tcPr>
          <w:p>
            <w:pPr>
              <w:ind w:left="560"/>
              <w:spacing w:after="0"/>
              <w:rPr>
                <w:sz w:val="20"/>
                <w:szCs w:val="20"/>
                <w:color w:val="auto"/>
              </w:rPr>
            </w:pPr>
            <w:r>
              <w:rPr>
                <w:rFonts w:ascii="Times New Roman" w:cs="Times New Roman" w:eastAsia="Times New Roman" w:hAnsi="Times New Roman"/>
                <w:sz w:val="18"/>
                <w:szCs w:val="18"/>
                <w:color w:val="4C4C4E"/>
              </w:rPr>
              <w:t>N/A</w:t>
            </w:r>
          </w:p>
        </w:tc>
      </w:t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2024</w:t>
            </w:r>
          </w:p>
        </w:tc>
        <w:tc>
          <w:tcPr>
            <w:tcW w:w="15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4C4C4E"/>
              </w:rPr>
              <w:t>298.6</w:t>
            </w:r>
          </w:p>
        </w:tc>
        <w:tc>
          <w:tcPr>
            <w:tcW w:w="5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4C4C4E"/>
              </w:rPr>
              <w:t>1,824.7</w:t>
            </w:r>
          </w:p>
        </w:tc>
        <w:tc>
          <w:tcPr>
            <w:tcW w:w="820" w:type="dxa"/>
            <w:vAlign w:val="bottom"/>
          </w:tcPr>
          <w:p>
            <w:pPr>
              <w:spacing w:after="0"/>
              <w:rPr>
                <w:sz w:val="19"/>
                <w:szCs w:val="19"/>
                <w:color w:val="auto"/>
              </w:rPr>
            </w:pPr>
          </w:p>
        </w:tc>
        <w:tc>
          <w:tcPr>
            <w:tcW w:w="1320" w:type="dxa"/>
            <w:vAlign w:val="bottom"/>
          </w:tcPr>
          <w:p>
            <w:pPr>
              <w:ind w:left="580"/>
              <w:spacing w:after="0"/>
              <w:rPr>
                <w:sz w:val="20"/>
                <w:szCs w:val="20"/>
                <w:color w:val="auto"/>
              </w:rPr>
            </w:pPr>
            <w:r>
              <w:rPr>
                <w:rFonts w:ascii="Times New Roman" w:cs="Times New Roman" w:eastAsia="Times New Roman" w:hAnsi="Times New Roman"/>
                <w:sz w:val="18"/>
                <w:szCs w:val="18"/>
                <w:color w:val="4C4C4E"/>
              </w:rPr>
              <w:t>—</w:t>
            </w: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4C4C4E"/>
              </w:rPr>
              <w:t>N/A</w:t>
            </w:r>
          </w:p>
        </w:tc>
      </w:tr>
      <w:tr>
        <w:trPr>
          <w:trHeight w:val="221"/>
        </w:trPr>
        <w:tc>
          <w:tcPr>
            <w:tcW w:w="230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2023</w:t>
            </w:r>
          </w:p>
        </w:tc>
        <w:tc>
          <w:tcPr>
            <w:tcW w:w="1500" w:type="dxa"/>
            <w:vAlign w:val="bottom"/>
            <w:shd w:val="clear" w:color="auto" w:fill="D8EEF4"/>
          </w:tcPr>
          <w:p>
            <w:pPr>
              <w:spacing w:after="0"/>
              <w:rPr>
                <w:sz w:val="19"/>
                <w:szCs w:val="19"/>
                <w:color w:val="auto"/>
              </w:rPr>
            </w:pPr>
          </w:p>
        </w:tc>
        <w:tc>
          <w:tcPr>
            <w:tcW w:w="1100" w:type="dxa"/>
            <w:vAlign w:val="bottom"/>
            <w:shd w:val="clear" w:color="auto" w:fill="D8EEF4"/>
          </w:tcPr>
          <w:p>
            <w:pPr>
              <w:jc w:val="right"/>
              <w:ind w:right="50"/>
              <w:spacing w:after="0"/>
              <w:rPr>
                <w:sz w:val="20"/>
                <w:szCs w:val="20"/>
                <w:color w:val="auto"/>
              </w:rPr>
            </w:pPr>
            <w:r>
              <w:rPr>
                <w:rFonts w:ascii="Times New Roman" w:cs="Times New Roman" w:eastAsia="Times New Roman" w:hAnsi="Times New Roman"/>
                <w:sz w:val="18"/>
                <w:szCs w:val="18"/>
                <w:color w:val="4C4C4E"/>
              </w:rPr>
              <w:t>298.3</w:t>
            </w:r>
          </w:p>
        </w:tc>
        <w:tc>
          <w:tcPr>
            <w:tcW w:w="560" w:type="dxa"/>
            <w:vAlign w:val="bottom"/>
            <w:shd w:val="clear" w:color="auto" w:fill="D8EEF4"/>
          </w:tcPr>
          <w:p>
            <w:pPr>
              <w:spacing w:after="0"/>
              <w:rPr>
                <w:sz w:val="19"/>
                <w:szCs w:val="19"/>
                <w:color w:val="auto"/>
              </w:rPr>
            </w:pPr>
          </w:p>
        </w:tc>
        <w:tc>
          <w:tcPr>
            <w:tcW w:w="1020" w:type="dxa"/>
            <w:vAlign w:val="bottom"/>
            <w:shd w:val="clear" w:color="auto" w:fill="D8EEF4"/>
          </w:tcPr>
          <w:p>
            <w:pPr>
              <w:jc w:val="right"/>
              <w:ind w:right="70"/>
              <w:spacing w:after="0"/>
              <w:rPr>
                <w:sz w:val="20"/>
                <w:szCs w:val="20"/>
                <w:color w:val="auto"/>
              </w:rPr>
            </w:pPr>
            <w:r>
              <w:rPr>
                <w:rFonts w:ascii="Times New Roman" w:cs="Times New Roman" w:eastAsia="Times New Roman" w:hAnsi="Times New Roman"/>
                <w:sz w:val="18"/>
                <w:szCs w:val="18"/>
                <w:color w:val="4C4C4E"/>
              </w:rPr>
              <w:t>1,815.9</w:t>
            </w:r>
          </w:p>
        </w:tc>
        <w:tc>
          <w:tcPr>
            <w:tcW w:w="820" w:type="dxa"/>
            <w:vAlign w:val="bottom"/>
            <w:shd w:val="clear" w:color="auto" w:fill="D8EEF4"/>
          </w:tcPr>
          <w:p>
            <w:pPr>
              <w:spacing w:after="0"/>
              <w:rPr>
                <w:sz w:val="19"/>
                <w:szCs w:val="19"/>
                <w:color w:val="auto"/>
              </w:rPr>
            </w:pPr>
          </w:p>
        </w:tc>
        <w:tc>
          <w:tcPr>
            <w:tcW w:w="1320" w:type="dxa"/>
            <w:vAlign w:val="bottom"/>
            <w:shd w:val="clear" w:color="auto" w:fill="D8EEF4"/>
          </w:tcPr>
          <w:p>
            <w:pPr>
              <w:ind w:left="580"/>
              <w:spacing w:after="0"/>
              <w:rPr>
                <w:sz w:val="20"/>
                <w:szCs w:val="20"/>
                <w:color w:val="auto"/>
              </w:rPr>
            </w:pPr>
            <w:r>
              <w:rPr>
                <w:rFonts w:ascii="Times New Roman" w:cs="Times New Roman" w:eastAsia="Times New Roman" w:hAnsi="Times New Roman"/>
                <w:sz w:val="18"/>
                <w:szCs w:val="18"/>
                <w:color w:val="4C4C4E"/>
              </w:rPr>
              <w:t>—</w:t>
            </w:r>
          </w:p>
        </w:tc>
        <w:tc>
          <w:tcPr>
            <w:tcW w:w="900" w:type="dxa"/>
            <w:vAlign w:val="bottom"/>
            <w:shd w:val="clear" w:color="auto" w:fill="D8EEF4"/>
          </w:tcPr>
          <w:p>
            <w:pPr>
              <w:ind w:left="560"/>
              <w:spacing w:after="0"/>
              <w:rPr>
                <w:sz w:val="20"/>
                <w:szCs w:val="20"/>
                <w:color w:val="auto"/>
              </w:rPr>
            </w:pPr>
            <w:r>
              <w:rPr>
                <w:rFonts w:ascii="Times New Roman" w:cs="Times New Roman" w:eastAsia="Times New Roman" w:hAnsi="Times New Roman"/>
                <w:sz w:val="18"/>
                <w:szCs w:val="18"/>
                <w:color w:val="4C4C4E"/>
              </w:rPr>
              <w:t>N/A</w:t>
            </w:r>
          </w:p>
        </w:tc>
      </w:t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4C4C4E"/>
              </w:rPr>
              <w:t>2029 Notes</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1"/>
        </w:trPr>
        <w:tc>
          <w:tcPr>
            <w:tcW w:w="230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December 31, 2025</w:t>
            </w:r>
          </w:p>
        </w:tc>
        <w:tc>
          <w:tcPr>
            <w:tcW w:w="1500" w:type="dxa"/>
            <w:vAlign w:val="bottom"/>
            <w:shd w:val="clear" w:color="auto" w:fill="D8EEF4"/>
          </w:tcPr>
          <w:p>
            <w:pPr>
              <w:jc w:val="right"/>
              <w:ind w:right="450"/>
              <w:spacing w:after="0"/>
              <w:rPr>
                <w:sz w:val="20"/>
                <w:szCs w:val="20"/>
                <w:color w:val="auto"/>
              </w:rPr>
            </w:pPr>
            <w:r>
              <w:rPr>
                <w:rFonts w:ascii="Times New Roman" w:cs="Times New Roman" w:eastAsia="Times New Roman" w:hAnsi="Times New Roman"/>
                <w:sz w:val="18"/>
                <w:szCs w:val="18"/>
                <w:color w:val="4C4C4E"/>
              </w:rPr>
              <w:t>$</w:t>
            </w:r>
          </w:p>
        </w:tc>
        <w:tc>
          <w:tcPr>
            <w:tcW w:w="1100" w:type="dxa"/>
            <w:vAlign w:val="bottom"/>
            <w:shd w:val="clear" w:color="auto" w:fill="D8EEF4"/>
          </w:tcPr>
          <w:p>
            <w:pPr>
              <w:jc w:val="right"/>
              <w:ind w:right="50"/>
              <w:spacing w:after="0"/>
              <w:rPr>
                <w:sz w:val="20"/>
                <w:szCs w:val="20"/>
                <w:color w:val="auto"/>
              </w:rPr>
            </w:pPr>
            <w:r>
              <w:rPr>
                <w:rFonts w:ascii="Times New Roman" w:cs="Times New Roman" w:eastAsia="Times New Roman" w:hAnsi="Times New Roman"/>
                <w:sz w:val="18"/>
                <w:szCs w:val="18"/>
                <w:color w:val="4C4C4E"/>
              </w:rPr>
              <w:t>347.8</w:t>
            </w:r>
          </w:p>
        </w:tc>
        <w:tc>
          <w:tcPr>
            <w:tcW w:w="560" w:type="dxa"/>
            <w:vAlign w:val="bottom"/>
            <w:shd w:val="clear" w:color="auto" w:fill="D8EEF4"/>
          </w:tcPr>
          <w:p>
            <w:pPr>
              <w:jc w:val="right"/>
              <w:ind w:right="230"/>
              <w:spacing w:after="0"/>
              <w:rPr>
                <w:sz w:val="20"/>
                <w:szCs w:val="20"/>
                <w:color w:val="auto"/>
              </w:rPr>
            </w:pPr>
            <w:r>
              <w:rPr>
                <w:rFonts w:ascii="Times New Roman" w:cs="Times New Roman" w:eastAsia="Times New Roman" w:hAnsi="Times New Roman"/>
                <w:sz w:val="18"/>
                <w:szCs w:val="18"/>
                <w:color w:val="4C4C4E"/>
              </w:rPr>
              <w:t>$</w:t>
            </w:r>
          </w:p>
        </w:tc>
        <w:tc>
          <w:tcPr>
            <w:tcW w:w="1020" w:type="dxa"/>
            <w:vAlign w:val="bottom"/>
            <w:shd w:val="clear" w:color="auto" w:fill="D8EEF4"/>
          </w:tcPr>
          <w:p>
            <w:pPr>
              <w:jc w:val="right"/>
              <w:ind w:right="70"/>
              <w:spacing w:after="0"/>
              <w:rPr>
                <w:sz w:val="20"/>
                <w:szCs w:val="20"/>
                <w:color w:val="auto"/>
              </w:rPr>
            </w:pPr>
            <w:r>
              <w:rPr>
                <w:rFonts w:ascii="Times New Roman" w:cs="Times New Roman" w:eastAsia="Times New Roman" w:hAnsi="Times New Roman"/>
                <w:sz w:val="18"/>
                <w:szCs w:val="18"/>
                <w:color w:val="4C4C4E"/>
              </w:rPr>
              <w:t>1,914.9</w:t>
            </w:r>
          </w:p>
        </w:tc>
        <w:tc>
          <w:tcPr>
            <w:tcW w:w="820" w:type="dxa"/>
            <w:vAlign w:val="bottom"/>
            <w:shd w:val="clear" w:color="auto" w:fill="D8EEF4"/>
          </w:tcPr>
          <w:p>
            <w:pPr>
              <w:jc w:val="right"/>
              <w:ind w:right="470"/>
              <w:spacing w:after="0"/>
              <w:rPr>
                <w:sz w:val="20"/>
                <w:szCs w:val="20"/>
                <w:color w:val="auto"/>
              </w:rPr>
            </w:pPr>
            <w:r>
              <w:rPr>
                <w:rFonts w:ascii="Times New Roman" w:cs="Times New Roman" w:eastAsia="Times New Roman" w:hAnsi="Times New Roman"/>
                <w:sz w:val="18"/>
                <w:szCs w:val="18"/>
                <w:color w:val="4C4C4E"/>
              </w:rPr>
              <w:t>$</w:t>
            </w:r>
          </w:p>
        </w:tc>
        <w:tc>
          <w:tcPr>
            <w:tcW w:w="1320" w:type="dxa"/>
            <w:vAlign w:val="bottom"/>
            <w:shd w:val="clear" w:color="auto" w:fill="D8EEF4"/>
          </w:tcPr>
          <w:p>
            <w:pPr>
              <w:ind w:left="580"/>
              <w:spacing w:after="0"/>
              <w:rPr>
                <w:sz w:val="20"/>
                <w:szCs w:val="20"/>
                <w:color w:val="auto"/>
              </w:rPr>
            </w:pPr>
            <w:r>
              <w:rPr>
                <w:rFonts w:ascii="Times New Roman" w:cs="Times New Roman" w:eastAsia="Times New Roman" w:hAnsi="Times New Roman"/>
                <w:sz w:val="18"/>
                <w:szCs w:val="18"/>
                <w:color w:val="4C4C4E"/>
              </w:rPr>
              <w:t>—</w:t>
            </w:r>
          </w:p>
        </w:tc>
        <w:tc>
          <w:tcPr>
            <w:tcW w:w="900" w:type="dxa"/>
            <w:vAlign w:val="bottom"/>
            <w:shd w:val="clear" w:color="auto" w:fill="D8EEF4"/>
          </w:tcPr>
          <w:p>
            <w:pPr>
              <w:ind w:left="560"/>
              <w:spacing w:after="0"/>
              <w:rPr>
                <w:sz w:val="20"/>
                <w:szCs w:val="20"/>
                <w:color w:val="auto"/>
              </w:rPr>
            </w:pPr>
            <w:r>
              <w:rPr>
                <w:rFonts w:ascii="Times New Roman" w:cs="Times New Roman" w:eastAsia="Times New Roman" w:hAnsi="Times New Roman"/>
                <w:sz w:val="18"/>
                <w:szCs w:val="18"/>
                <w:color w:val="4C4C4E"/>
              </w:rPr>
              <w:t>N/A</w:t>
            </w:r>
          </w:p>
        </w:tc>
      </w:t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2024</w:t>
            </w:r>
          </w:p>
        </w:tc>
        <w:tc>
          <w:tcPr>
            <w:tcW w:w="15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4C4C4E"/>
              </w:rPr>
              <w:t>347.2</w:t>
            </w:r>
          </w:p>
        </w:tc>
        <w:tc>
          <w:tcPr>
            <w:tcW w:w="5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4C4C4E"/>
              </w:rPr>
              <w:t>1,824.7</w:t>
            </w:r>
          </w:p>
        </w:tc>
        <w:tc>
          <w:tcPr>
            <w:tcW w:w="820" w:type="dxa"/>
            <w:vAlign w:val="bottom"/>
          </w:tcPr>
          <w:p>
            <w:pPr>
              <w:spacing w:after="0"/>
              <w:rPr>
                <w:sz w:val="19"/>
                <w:szCs w:val="19"/>
                <w:color w:val="auto"/>
              </w:rPr>
            </w:pPr>
          </w:p>
        </w:tc>
        <w:tc>
          <w:tcPr>
            <w:tcW w:w="1320" w:type="dxa"/>
            <w:vAlign w:val="bottom"/>
          </w:tcPr>
          <w:p>
            <w:pPr>
              <w:ind w:left="580"/>
              <w:spacing w:after="0"/>
              <w:rPr>
                <w:sz w:val="20"/>
                <w:szCs w:val="20"/>
                <w:color w:val="auto"/>
              </w:rPr>
            </w:pPr>
            <w:r>
              <w:rPr>
                <w:rFonts w:ascii="Times New Roman" w:cs="Times New Roman" w:eastAsia="Times New Roman" w:hAnsi="Times New Roman"/>
                <w:sz w:val="18"/>
                <w:szCs w:val="18"/>
                <w:color w:val="4C4C4E"/>
              </w:rPr>
              <w:t>—</w:t>
            </w: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4C4C4E"/>
              </w:rPr>
              <w:t>N/A</w:t>
            </w:r>
          </w:p>
        </w:tc>
      </w:tr>
      <w:tr>
        <w:trPr>
          <w:trHeight w:val="221"/>
        </w:trPr>
        <w:tc>
          <w:tcPr>
            <w:tcW w:w="230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b w:val="1"/>
                <w:bCs w:val="1"/>
                <w:color w:val="4C4C4E"/>
              </w:rPr>
              <w:t>2030 Notes</w:t>
            </w:r>
          </w:p>
        </w:tc>
        <w:tc>
          <w:tcPr>
            <w:tcW w:w="1500" w:type="dxa"/>
            <w:vAlign w:val="bottom"/>
            <w:shd w:val="clear" w:color="auto" w:fill="D8EEF4"/>
          </w:tcPr>
          <w:p>
            <w:pPr>
              <w:spacing w:after="0"/>
              <w:rPr>
                <w:sz w:val="19"/>
                <w:szCs w:val="19"/>
                <w:color w:val="auto"/>
              </w:rPr>
            </w:pPr>
          </w:p>
        </w:tc>
        <w:tc>
          <w:tcPr>
            <w:tcW w:w="1100" w:type="dxa"/>
            <w:vAlign w:val="bottom"/>
            <w:shd w:val="clear" w:color="auto" w:fill="D8EEF4"/>
          </w:tcPr>
          <w:p>
            <w:pPr>
              <w:spacing w:after="0"/>
              <w:rPr>
                <w:sz w:val="19"/>
                <w:szCs w:val="19"/>
                <w:color w:val="auto"/>
              </w:rPr>
            </w:pPr>
          </w:p>
        </w:tc>
        <w:tc>
          <w:tcPr>
            <w:tcW w:w="560" w:type="dxa"/>
            <w:vAlign w:val="bottom"/>
            <w:shd w:val="clear" w:color="auto" w:fill="D8EEF4"/>
          </w:tcPr>
          <w:p>
            <w:pPr>
              <w:spacing w:after="0"/>
              <w:rPr>
                <w:sz w:val="19"/>
                <w:szCs w:val="19"/>
                <w:color w:val="auto"/>
              </w:rPr>
            </w:pPr>
          </w:p>
        </w:tc>
        <w:tc>
          <w:tcPr>
            <w:tcW w:w="1020" w:type="dxa"/>
            <w:vAlign w:val="bottom"/>
            <w:shd w:val="clear" w:color="auto" w:fill="D8EEF4"/>
          </w:tcPr>
          <w:p>
            <w:pPr>
              <w:spacing w:after="0"/>
              <w:rPr>
                <w:sz w:val="19"/>
                <w:szCs w:val="19"/>
                <w:color w:val="auto"/>
              </w:rPr>
            </w:pPr>
          </w:p>
        </w:tc>
        <w:tc>
          <w:tcPr>
            <w:tcW w:w="820" w:type="dxa"/>
            <w:vAlign w:val="bottom"/>
            <w:shd w:val="clear" w:color="auto" w:fill="D8EEF4"/>
          </w:tcPr>
          <w:p>
            <w:pPr>
              <w:spacing w:after="0"/>
              <w:rPr>
                <w:sz w:val="19"/>
                <w:szCs w:val="19"/>
                <w:color w:val="auto"/>
              </w:rPr>
            </w:pPr>
          </w:p>
        </w:tc>
        <w:tc>
          <w:tcPr>
            <w:tcW w:w="1320" w:type="dxa"/>
            <w:vAlign w:val="bottom"/>
            <w:shd w:val="clear" w:color="auto" w:fill="D8EEF4"/>
          </w:tcPr>
          <w:p>
            <w:pPr>
              <w:spacing w:after="0"/>
              <w:rPr>
                <w:sz w:val="19"/>
                <w:szCs w:val="19"/>
                <w:color w:val="auto"/>
              </w:rPr>
            </w:pPr>
          </w:p>
        </w:tc>
        <w:tc>
          <w:tcPr>
            <w:tcW w:w="900" w:type="dxa"/>
            <w:vAlign w:val="bottom"/>
            <w:shd w:val="clear" w:color="auto" w:fill="D8EEF4"/>
          </w:tcPr>
          <w:p>
            <w:pPr>
              <w:spacing w:after="0"/>
              <w:rPr>
                <w:sz w:val="19"/>
                <w:szCs w:val="19"/>
                <w:color w:val="auto"/>
              </w:rPr>
            </w:pPr>
          </w:p>
        </w:tc>
      </w:tr>
      <w:tr>
        <w:trPr>
          <w:trHeight w:val="24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4C4C4E"/>
              </w:rPr>
              <w:t>December 31, 2025</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4C4C4E"/>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4C4C4E"/>
              </w:rPr>
              <w:t>296.9</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4C4C4E"/>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4C4C4E"/>
              </w:rPr>
              <w:t>1,914.9</w:t>
            </w: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4C4C4E"/>
              </w:rPr>
              <w:t>$</w:t>
            </w:r>
          </w:p>
        </w:tc>
        <w:tc>
          <w:tcPr>
            <w:tcW w:w="1320" w:type="dxa"/>
            <w:vAlign w:val="bottom"/>
          </w:tcPr>
          <w:p>
            <w:pPr>
              <w:ind w:left="580"/>
              <w:spacing w:after="0"/>
              <w:rPr>
                <w:sz w:val="20"/>
                <w:szCs w:val="20"/>
                <w:color w:val="auto"/>
              </w:rPr>
            </w:pPr>
            <w:r>
              <w:rPr>
                <w:rFonts w:ascii="Times New Roman" w:cs="Times New Roman" w:eastAsia="Times New Roman" w:hAnsi="Times New Roman"/>
                <w:sz w:val="18"/>
                <w:szCs w:val="18"/>
                <w:color w:val="4C4C4E"/>
              </w:rPr>
              <w:t>—</w:t>
            </w: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4C4C4E"/>
              </w:rPr>
              <w:t>N/A</w:t>
            </w:r>
          </w:p>
        </w:tc>
      </w:tr>
    </w:tbl>
    <w:p>
      <w:pPr>
        <w:spacing w:after="0" w:line="191" w:lineRule="exact"/>
        <w:rPr>
          <w:sz w:val="20"/>
          <w:szCs w:val="20"/>
          <w:color w:val="auto"/>
        </w:rPr>
      </w:pPr>
    </w:p>
    <w:p>
      <w:pPr>
        <w:ind w:left="480" w:right="240" w:hanging="480"/>
        <w:spacing w:after="0" w:line="254" w:lineRule="auto"/>
        <w:tabs>
          <w:tab w:leader="none" w:pos="480" w:val="left"/>
        </w:tabs>
        <w:numPr>
          <w:ilvl w:val="0"/>
          <w:numId w:val="48"/>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Total amount of each class of senior securities outstanding at carrying value, excluding the impact of deferred financing costs and hedge accounting relationships, at the end of the period presented.</w:t>
      </w:r>
    </w:p>
    <w:p>
      <w:pPr>
        <w:spacing w:after="0" w:line="1" w:lineRule="exact"/>
        <w:rPr>
          <w:rFonts w:ascii="Times New Roman" w:cs="Times New Roman" w:eastAsia="Times New Roman" w:hAnsi="Times New Roman"/>
          <w:sz w:val="20"/>
          <w:szCs w:val="20"/>
          <w:color w:val="4C4C4E"/>
        </w:rPr>
      </w:pPr>
    </w:p>
    <w:p>
      <w:pPr>
        <w:jc w:val="both"/>
        <w:ind w:left="480" w:hanging="480"/>
        <w:spacing w:after="0"/>
        <w:tabs>
          <w:tab w:leader="none" w:pos="480" w:val="left"/>
        </w:tabs>
        <w:numPr>
          <w:ilvl w:val="0"/>
          <w:numId w:val="48"/>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ind w:left="480" w:right="380" w:hanging="480"/>
        <w:spacing w:after="0"/>
        <w:tabs>
          <w:tab w:leader="none" w:pos="480" w:val="left"/>
        </w:tabs>
        <w:numPr>
          <w:ilvl w:val="0"/>
          <w:numId w:val="48"/>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80" w:hanging="480"/>
        <w:spacing w:after="0"/>
        <w:tabs>
          <w:tab w:leader="none" w:pos="480" w:val="left"/>
        </w:tabs>
        <w:numPr>
          <w:ilvl w:val="0"/>
          <w:numId w:val="48"/>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Not applicable because the senior securities are not registered for public trading.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6. RESERVED</w:t>
      </w:r>
    </w:p>
    <w:p>
      <w:pPr>
        <w:sectPr>
          <w:pgSz w:w="11880" w:h="15480" w:orient="portrait"/>
          <w:cols w:equalWidth="0" w:num="1">
            <w:col w:w="10780"/>
          </w:cols>
          <w:pgMar w:left="540" w:top="77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62</w:t>
      </w:r>
    </w:p>
    <w:p>
      <w:pPr>
        <w:sectPr>
          <w:pgSz w:w="11880" w:h="15480" w:orient="portrait"/>
          <w:cols w:equalWidth="0" w:num="1">
            <w:col w:w="10780"/>
          </w:cols>
          <w:pgMar w:left="540" w:top="770" w:right="560" w:bottom="0" w:gutter="0" w:footer="0" w:header="0"/>
          <w:type w:val="continuous"/>
        </w:sectPr>
      </w:pPr>
    </w:p>
    <w:bookmarkStart w:id="62" w:name="page63"/>
    <w:bookmarkEnd w:id="62"/>
    <w:p>
      <w:pPr>
        <w:ind w:right="960"/>
        <w:spacing w:after="0" w:line="276" w:lineRule="auto"/>
        <w:rPr>
          <w:sz w:val="20"/>
          <w:szCs w:val="20"/>
          <w:color w:val="auto"/>
        </w:rPr>
      </w:pPr>
      <w:r>
        <w:rPr>
          <w:rFonts w:ascii="Times New Roman" w:cs="Times New Roman" w:eastAsia="Times New Roman" w:hAnsi="Times New Roman"/>
          <w:sz w:val="20"/>
          <w:szCs w:val="20"/>
          <w:b w:val="1"/>
          <w:bCs w:val="1"/>
          <w:color w:val="4C4C4E"/>
        </w:rPr>
        <w:t>ITEM 7. MANAGEMENT’S DISCUSSION AND ANALYSIS OF FINANCIAL CONDITION AND RESULTS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Introduction</w:t>
      </w:r>
    </w:p>
    <w:p>
      <w:pPr>
        <w:spacing w:after="0" w:line="116" w:lineRule="exact"/>
        <w:rPr>
          <w:sz w:val="20"/>
          <w:szCs w:val="20"/>
          <w:color w:val="auto"/>
        </w:rPr>
      </w:pPr>
    </w:p>
    <w:p>
      <w:pPr>
        <w:ind w:right="100" w:firstLine="245"/>
        <w:spacing w:after="0" w:line="241" w:lineRule="auto"/>
        <w:rPr>
          <w:sz w:val="20"/>
          <w:szCs w:val="20"/>
          <w:color w:val="auto"/>
        </w:rPr>
      </w:pPr>
      <w:r>
        <w:rPr>
          <w:rFonts w:ascii="Times New Roman" w:cs="Times New Roman" w:eastAsia="Times New Roman" w:hAnsi="Times New Roman"/>
          <w:sz w:val="20"/>
          <w:szCs w:val="20"/>
          <w:i w:val="1"/>
          <w:iCs w:val="1"/>
          <w:color w:val="4C4C4E"/>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Overview</w:t>
      </w:r>
    </w:p>
    <w:p>
      <w:pPr>
        <w:spacing w:after="0" w:line="114" w:lineRule="exact"/>
        <w:rPr>
          <w:sz w:val="20"/>
          <w:szCs w:val="20"/>
          <w:color w:val="auto"/>
        </w:rPr>
      </w:pPr>
    </w:p>
    <w:p>
      <w:pPr>
        <w:ind w:right="140" w:firstLine="245"/>
        <w:spacing w:after="0" w:line="242" w:lineRule="auto"/>
        <w:rPr>
          <w:sz w:val="20"/>
          <w:szCs w:val="20"/>
          <w:color w:val="auto"/>
        </w:rPr>
      </w:pPr>
      <w:r>
        <w:rPr>
          <w:rFonts w:ascii="Times New Roman" w:cs="Times New Roman" w:eastAsia="Times New Roman" w:hAnsi="Times New Roman"/>
          <w:sz w:val="20"/>
          <w:szCs w:val="20"/>
          <w:color w:val="4C4C4E"/>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94" w:lineRule="exact"/>
        <w:rPr>
          <w:sz w:val="20"/>
          <w:szCs w:val="20"/>
          <w:color w:val="auto"/>
        </w:rPr>
      </w:pPr>
    </w:p>
    <w:p>
      <w:pPr>
        <w:ind w:right="160" w:firstLine="245"/>
        <w:spacing w:after="0" w:line="267" w:lineRule="auto"/>
        <w:rPr>
          <w:sz w:val="20"/>
          <w:szCs w:val="20"/>
          <w:color w:val="auto"/>
        </w:rPr>
      </w:pPr>
      <w:r>
        <w:rPr>
          <w:rFonts w:ascii="Times New Roman" w:cs="Times New Roman" w:eastAsia="Times New Roman" w:hAnsi="Times New Roman"/>
          <w:sz w:val="20"/>
          <w:szCs w:val="20"/>
          <w:color w:val="4C4C4E"/>
        </w:rPr>
        <w:t>We have elected to be regulated as a BDC under the 1940 Act and as a RIC under the Code. We made our BDC election on April 15, 2011. As a result, we are required to comply with various statutory and regulatory requirements, such as:</w:t>
      </w:r>
    </w:p>
    <w:p>
      <w:pPr>
        <w:spacing w:after="0" w:line="63" w:lineRule="exact"/>
        <w:rPr>
          <w:sz w:val="20"/>
          <w:szCs w:val="20"/>
          <w:color w:val="auto"/>
        </w:rPr>
      </w:pPr>
    </w:p>
    <w:p>
      <w:pPr>
        <w:ind w:left="500" w:hanging="255"/>
        <w:spacing w:after="0"/>
        <w:tabs>
          <w:tab w:leader="none" w:pos="500" w:val="left"/>
        </w:tabs>
        <w:numPr>
          <w:ilvl w:val="0"/>
          <w:numId w:val="49"/>
        </w:numPr>
        <w:rPr>
          <w:rFonts w:ascii="Arial" w:cs="Arial" w:eastAsia="Arial" w:hAnsi="Arial"/>
          <w:sz w:val="20"/>
          <w:szCs w:val="20"/>
          <w:color w:val="4C4C4E"/>
        </w:rPr>
      </w:pPr>
      <w:r>
        <w:rPr>
          <w:rFonts w:ascii="Times New Roman" w:cs="Times New Roman" w:eastAsia="Times New Roman" w:hAnsi="Times New Roman"/>
          <w:sz w:val="20"/>
          <w:szCs w:val="20"/>
          <w:color w:val="4C4C4E"/>
        </w:rPr>
        <w:t>the requirement to invest at least 70% of our assets in “qualifying assets”;</w:t>
      </w:r>
    </w:p>
    <w:p>
      <w:pPr>
        <w:spacing w:after="0" w:line="123" w:lineRule="exact"/>
        <w:rPr>
          <w:rFonts w:ascii="Arial" w:cs="Arial" w:eastAsia="Arial" w:hAnsi="Arial"/>
          <w:sz w:val="20"/>
          <w:szCs w:val="20"/>
          <w:color w:val="4C4C4E"/>
        </w:rPr>
      </w:pPr>
    </w:p>
    <w:p>
      <w:pPr>
        <w:ind w:left="500" w:hanging="255"/>
        <w:spacing w:after="0"/>
        <w:tabs>
          <w:tab w:leader="none" w:pos="500" w:val="left"/>
        </w:tabs>
        <w:numPr>
          <w:ilvl w:val="0"/>
          <w:numId w:val="49"/>
        </w:numPr>
        <w:rPr>
          <w:rFonts w:ascii="Arial" w:cs="Arial" w:eastAsia="Arial" w:hAnsi="Arial"/>
          <w:sz w:val="20"/>
          <w:szCs w:val="20"/>
          <w:color w:val="4C4C4E"/>
        </w:rPr>
      </w:pPr>
      <w:r>
        <w:rPr>
          <w:rFonts w:ascii="Times New Roman" w:cs="Times New Roman" w:eastAsia="Times New Roman" w:hAnsi="Times New Roman"/>
          <w:sz w:val="20"/>
          <w:szCs w:val="20"/>
          <w:color w:val="4C4C4E"/>
        </w:rPr>
        <w:t>source of income limitations;</w:t>
      </w:r>
    </w:p>
    <w:p>
      <w:pPr>
        <w:spacing w:after="0" w:line="123" w:lineRule="exact"/>
        <w:rPr>
          <w:rFonts w:ascii="Arial" w:cs="Arial" w:eastAsia="Arial" w:hAnsi="Arial"/>
          <w:sz w:val="20"/>
          <w:szCs w:val="20"/>
          <w:color w:val="4C4C4E"/>
        </w:rPr>
      </w:pPr>
    </w:p>
    <w:p>
      <w:pPr>
        <w:ind w:left="500" w:hanging="255"/>
        <w:spacing w:after="0"/>
        <w:tabs>
          <w:tab w:leader="none" w:pos="500" w:val="left"/>
        </w:tabs>
        <w:numPr>
          <w:ilvl w:val="0"/>
          <w:numId w:val="49"/>
        </w:numPr>
        <w:rPr>
          <w:rFonts w:ascii="Arial" w:cs="Arial" w:eastAsia="Arial" w:hAnsi="Arial"/>
          <w:sz w:val="20"/>
          <w:szCs w:val="20"/>
          <w:color w:val="4C4C4E"/>
        </w:rPr>
      </w:pPr>
      <w:r>
        <w:rPr>
          <w:rFonts w:ascii="Times New Roman" w:cs="Times New Roman" w:eastAsia="Times New Roman" w:hAnsi="Times New Roman"/>
          <w:sz w:val="20"/>
          <w:szCs w:val="20"/>
          <w:color w:val="4C4C4E"/>
        </w:rPr>
        <w:t>asset diversification requirements; and</w:t>
      </w:r>
    </w:p>
    <w:p>
      <w:pPr>
        <w:spacing w:after="0" w:line="123" w:lineRule="exact"/>
        <w:rPr>
          <w:rFonts w:ascii="Arial" w:cs="Arial" w:eastAsia="Arial" w:hAnsi="Arial"/>
          <w:sz w:val="20"/>
          <w:szCs w:val="20"/>
          <w:color w:val="4C4C4E"/>
        </w:rPr>
      </w:pPr>
    </w:p>
    <w:p>
      <w:pPr>
        <w:ind w:left="500" w:right="80" w:hanging="255"/>
        <w:spacing w:after="0" w:line="267" w:lineRule="auto"/>
        <w:tabs>
          <w:tab w:leader="none" w:pos="500" w:val="left"/>
        </w:tabs>
        <w:numPr>
          <w:ilvl w:val="0"/>
          <w:numId w:val="49"/>
        </w:numPr>
        <w:rPr>
          <w:rFonts w:ascii="Arial" w:cs="Arial" w:eastAsia="Arial" w:hAnsi="Arial"/>
          <w:sz w:val="20"/>
          <w:szCs w:val="20"/>
          <w:color w:val="4C4C4E"/>
        </w:rPr>
      </w:pPr>
      <w:r>
        <w:rPr>
          <w:rFonts w:ascii="Times New Roman" w:cs="Times New Roman" w:eastAsia="Times New Roman" w:hAnsi="Times New Roman"/>
          <w:sz w:val="20"/>
          <w:szCs w:val="20"/>
          <w:color w:val="4C4C4E"/>
        </w:rPr>
        <w:t>the requirement to distribute (or be treated as distributing) in each taxable year at least 90% of our investment company taxable income and tax-exempt interest for that taxable year.</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Our shares are listed on the NYSE under the symbol “TSLX.”</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Our Investment Framework</w:t>
      </w:r>
    </w:p>
    <w:p>
      <w:pPr>
        <w:spacing w:after="0" w:line="114" w:lineRule="exact"/>
        <w:rPr>
          <w:sz w:val="20"/>
          <w:szCs w:val="20"/>
          <w:color w:val="auto"/>
        </w:rPr>
      </w:pPr>
    </w:p>
    <w:p>
      <w:pPr>
        <w:ind w:firstLine="245"/>
        <w:spacing w:after="0" w:line="236" w:lineRule="auto"/>
        <w:rPr>
          <w:sz w:val="20"/>
          <w:szCs w:val="20"/>
          <w:color w:val="auto"/>
        </w:rPr>
      </w:pPr>
      <w:r>
        <w:rPr>
          <w:rFonts w:ascii="Times New Roman" w:cs="Times New Roman" w:eastAsia="Times New Roman" w:hAnsi="Times New Roman"/>
          <w:sz w:val="20"/>
          <w:szCs w:val="20"/>
          <w:color w:val="4C4C4E"/>
        </w:rPr>
        <w:t>Our investment objective is to generate current income by targeting investments with favorable “risk-adjusted returns,” which are expected returns that are adjusted based on the levels of risk associated with the investments. Since we began our investment activities in July 2011, through December 31, 2025, we have originated more than $53.3 billion aggregate principal amount of investments and retained approximately $11.8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spacing w:after="0" w:line="208" w:lineRule="exact"/>
        <w:rPr>
          <w:sz w:val="20"/>
          <w:szCs w:val="20"/>
          <w:color w:val="auto"/>
        </w:rPr>
      </w:pPr>
    </w:p>
    <w:p>
      <w:pPr>
        <w:ind w:right="80" w:firstLine="245"/>
        <w:spacing w:after="0" w:line="247" w:lineRule="auto"/>
        <w:rPr>
          <w:sz w:val="20"/>
          <w:szCs w:val="20"/>
          <w:color w:val="auto"/>
        </w:rPr>
      </w:pPr>
      <w:r>
        <w:rPr>
          <w:rFonts w:ascii="Times New Roman" w:cs="Times New Roman" w:eastAsia="Times New Roman" w:hAnsi="Times New Roman"/>
          <w:sz w:val="20"/>
          <w:szCs w:val="20"/>
          <w:color w:val="4C4C4E"/>
        </w:rPr>
        <w:t>By “middle-market companies,” we mean companies that have annual EBITDA, which we believe is a useful proxy for cash flow, of $10 million to $250 million, although we may invest in larger or smaller companies on occasion. As of December 31, 2025, our core portfolio companies, which exclude certain investments that fall outside of our typical borrower profile and represent 87.9% of our total investments based on fair value, had weighted average annual revenue of $449.2 million and weighted average annual EBITDA of $127.3 million. As of December 31, 2025, our core portfolio companies had a median annual revenue of $159.4 million and a median annual EBITDA of $48.0 million.</w:t>
      </w:r>
    </w:p>
    <w:p>
      <w:pPr>
        <w:spacing w:after="0" w:line="200"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20"/>
          <w:szCs w:val="20"/>
          <w:color w:val="4C4C4E"/>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97" w:lineRule="exact"/>
        <w:rPr>
          <w:sz w:val="20"/>
          <w:szCs w:val="20"/>
          <w:color w:val="auto"/>
        </w:rPr>
      </w:pPr>
    </w:p>
    <w:p>
      <w:pPr>
        <w:jc w:val="both"/>
        <w:ind w:right="420" w:firstLine="245"/>
        <w:spacing w:after="0" w:line="258" w:lineRule="auto"/>
        <w:rPr>
          <w:sz w:val="20"/>
          <w:szCs w:val="20"/>
          <w:color w:val="auto"/>
        </w:rPr>
      </w:pPr>
      <w:r>
        <w:rPr>
          <w:rFonts w:ascii="Times New Roman" w:cs="Times New Roman" w:eastAsia="Times New Roman" w:hAnsi="Times New Roman"/>
          <w:sz w:val="20"/>
          <w:szCs w:val="20"/>
          <w:color w:val="4C4C4E"/>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8" w:lineRule="exact"/>
        <w:rPr>
          <w:sz w:val="20"/>
          <w:szCs w:val="20"/>
          <w:color w:val="auto"/>
        </w:rPr>
      </w:pPr>
    </w:p>
    <w:p>
      <w:pPr>
        <w:ind w:right="280" w:firstLine="245"/>
        <w:spacing w:after="0" w:line="258" w:lineRule="auto"/>
        <w:rPr>
          <w:sz w:val="20"/>
          <w:szCs w:val="20"/>
          <w:color w:val="auto"/>
        </w:rPr>
      </w:pPr>
      <w:r>
        <w:rPr>
          <w:rFonts w:ascii="Times New Roman" w:cs="Times New Roman" w:eastAsia="Times New Roman" w:hAnsi="Times New Roman"/>
          <w:sz w:val="20"/>
          <w:szCs w:val="20"/>
          <w:color w:val="4C4C4E"/>
        </w:rPr>
        <w:t>The companies in which we invest use our capital to support organic growth, acquisitions, market or product expansion and recapitalizations (including restructurings). As of December 31, 2025, the largest single investment based on fair value represented 2.4% of our total investment portfolio.</w:t>
      </w:r>
    </w:p>
    <w:p>
      <w:pPr>
        <w:sectPr>
          <w:pgSz w:w="11880" w:h="15480" w:orient="portrait"/>
          <w:cols w:equalWidth="0" w:num="1">
            <w:col w:w="10760"/>
          </w:cols>
          <w:pgMar w:left="540" w:top="73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63</w:t>
      </w:r>
    </w:p>
    <w:p>
      <w:pPr>
        <w:sectPr>
          <w:pgSz w:w="11880" w:h="15480" w:orient="portrait"/>
          <w:cols w:equalWidth="0" w:num="1">
            <w:col w:w="10760"/>
          </w:cols>
          <w:pgMar w:left="540" w:top="738" w:right="580" w:bottom="0" w:gutter="0" w:footer="0" w:header="0"/>
          <w:type w:val="continuous"/>
        </w:sectPr>
      </w:pPr>
    </w:p>
    <w:bookmarkStart w:id="63" w:name="page64"/>
    <w:bookmarkEnd w:id="63"/>
    <w:p>
      <w:pPr>
        <w:ind w:right="140" w:firstLine="245"/>
        <w:spacing w:after="0" w:line="252" w:lineRule="auto"/>
        <w:rPr>
          <w:sz w:val="20"/>
          <w:szCs w:val="20"/>
          <w:color w:val="auto"/>
        </w:rPr>
      </w:pPr>
      <w:r>
        <w:rPr>
          <w:rFonts w:ascii="Times New Roman" w:cs="Times New Roman" w:eastAsia="Times New Roman" w:hAnsi="Times New Roman"/>
          <w:sz w:val="20"/>
          <w:szCs w:val="20"/>
          <w:color w:val="4C4C4E"/>
        </w:rPr>
        <w:t>As of December 31, 2025, the average investment size in each of our portfolio companies was approximately $23.4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$30.4 million as of December 31, 2025.</w:t>
      </w:r>
    </w:p>
    <w:p>
      <w:pPr>
        <w:spacing w:after="0" w:line="194" w:lineRule="exact"/>
        <w:rPr>
          <w:sz w:val="20"/>
          <w:szCs w:val="20"/>
          <w:color w:val="auto"/>
        </w:rPr>
      </w:pPr>
    </w:p>
    <w:p>
      <w:pPr>
        <w:ind w:right="440" w:firstLine="245"/>
        <w:spacing w:after="0" w:line="277" w:lineRule="auto"/>
        <w:rPr>
          <w:sz w:val="20"/>
          <w:szCs w:val="20"/>
          <w:color w:val="auto"/>
        </w:rPr>
      </w:pPr>
      <w:r>
        <w:rPr>
          <w:rFonts w:ascii="Times New Roman" w:cs="Times New Roman" w:eastAsia="Times New Roman" w:hAnsi="Times New Roman"/>
          <w:sz w:val="20"/>
          <w:szCs w:val="20"/>
          <w:color w:val="4C4C4E"/>
        </w:rPr>
        <w:t>Through our Adviser, we consider potential investments utilizing a four-tiered investment framework and against our existing portfolio as a whole:</w:t>
      </w:r>
    </w:p>
    <w:p>
      <w:pPr>
        <w:spacing w:after="0" w:line="169" w:lineRule="exact"/>
        <w:rPr>
          <w:sz w:val="20"/>
          <w:szCs w:val="20"/>
          <w:color w:val="auto"/>
        </w:rPr>
      </w:pPr>
    </w:p>
    <w:p>
      <w:pPr>
        <w:ind w:right="120" w:firstLine="245"/>
        <w:spacing w:after="0" w:line="252" w:lineRule="auto"/>
        <w:rPr>
          <w:sz w:val="20"/>
          <w:szCs w:val="20"/>
          <w:color w:val="auto"/>
        </w:rPr>
      </w:pPr>
      <w:r>
        <w:rPr>
          <w:rFonts w:ascii="Times New Roman" w:cs="Times New Roman" w:eastAsia="Times New Roman" w:hAnsi="Times New Roman"/>
          <w:sz w:val="20"/>
          <w:szCs w:val="20"/>
          <w:i w:val="1"/>
          <w:iCs w:val="1"/>
          <w:color w:val="4C4C4E"/>
        </w:rPr>
        <w:t xml:space="preserve">Business and sector selection. </w:t>
      </w:r>
      <w:r>
        <w:rPr>
          <w:rFonts w:ascii="Times New Roman" w:cs="Times New Roman" w:eastAsia="Times New Roman" w:hAnsi="Times New Roman"/>
          <w:sz w:val="20"/>
          <w:szCs w:val="20"/>
          <w:color w:val="4C4C4E"/>
        </w:rPr>
        <w:t>We focus on companies with enterprise value between $50 million and $1 billion. When reviewing</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94"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4C4C4E"/>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As of December 31, 2025, the largest industry represented 18.3% of our total investment portfolio based on fair value.</w:t>
      </w:r>
    </w:p>
    <w:p>
      <w:pPr>
        <w:spacing w:after="0" w:line="240" w:lineRule="exact"/>
        <w:rPr>
          <w:sz w:val="20"/>
          <w:szCs w:val="20"/>
          <w:color w:val="auto"/>
        </w:rPr>
      </w:pPr>
    </w:p>
    <w:p>
      <w:pPr>
        <w:ind w:right="20" w:firstLine="245"/>
        <w:spacing w:after="0" w:line="245" w:lineRule="auto"/>
        <w:rPr>
          <w:sz w:val="20"/>
          <w:szCs w:val="20"/>
          <w:color w:val="auto"/>
        </w:rPr>
      </w:pPr>
      <w:r>
        <w:rPr>
          <w:rFonts w:ascii="Times New Roman" w:cs="Times New Roman" w:eastAsia="Times New Roman" w:hAnsi="Times New Roman"/>
          <w:sz w:val="20"/>
          <w:szCs w:val="20"/>
          <w:i w:val="1"/>
          <w:iCs w:val="1"/>
          <w:color w:val="4C4C4E"/>
        </w:rPr>
        <w:t xml:space="preserve">Investment Structuring. </w:t>
      </w:r>
      <w:r>
        <w:rPr>
          <w:rFonts w:ascii="Times New Roman" w:cs="Times New Roman" w:eastAsia="Times New Roman" w:hAnsi="Times New Roman"/>
          <w:sz w:val="20"/>
          <w:szCs w:val="20"/>
          <w:color w:val="4C4C4E"/>
        </w:rPr>
        <w:t>We focus on investing at the top of the capital structure and protecting that position. As of December 31,</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2025, approximately 90.1% of our portfolio was invested in secured debt, including 89.2%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year ended December 31, 2025, the weighted average term on new investment commitments in new portfolio companies was 6.4 years.</w:t>
      </w:r>
    </w:p>
    <w:p>
      <w:pPr>
        <w:spacing w:after="0" w:line="202" w:lineRule="exact"/>
        <w:rPr>
          <w:sz w:val="20"/>
          <w:szCs w:val="20"/>
          <w:color w:val="auto"/>
        </w:rPr>
      </w:pPr>
    </w:p>
    <w:p>
      <w:pPr>
        <w:ind w:right="60" w:firstLine="245"/>
        <w:spacing w:after="0" w:line="305" w:lineRule="auto"/>
        <w:rPr>
          <w:sz w:val="20"/>
          <w:szCs w:val="20"/>
          <w:color w:val="auto"/>
        </w:rPr>
      </w:pPr>
      <w:r>
        <w:rPr>
          <w:rFonts w:ascii="Times New Roman" w:cs="Times New Roman" w:eastAsia="Times New Roman" w:hAnsi="Times New Roman"/>
          <w:sz w:val="19"/>
          <w:szCs w:val="19"/>
          <w:i w:val="1"/>
          <w:iCs w:val="1"/>
          <w:color w:val="4C4C4E"/>
        </w:rPr>
        <w:t xml:space="preserve">Deal Dynamics. </w:t>
      </w:r>
      <w:r>
        <w:rPr>
          <w:rFonts w:ascii="Times New Roman" w:cs="Times New Roman" w:eastAsia="Times New Roman" w:hAnsi="Times New Roman"/>
          <w:sz w:val="19"/>
          <w:szCs w:val="19"/>
          <w:color w:val="4C4C4E"/>
        </w:rPr>
        <w:t>We focus on, among other deal dynamics, direct origination of investments, where we identify and lead the</w:t>
      </w:r>
      <w:r>
        <w:rPr>
          <w:rFonts w:ascii="Times New Roman" w:cs="Times New Roman" w:eastAsia="Times New Roman" w:hAnsi="Times New Roman"/>
          <w:sz w:val="19"/>
          <w:szCs w:val="19"/>
          <w:i w:val="1"/>
          <w:iCs w:val="1"/>
          <w:color w:val="4C4C4E"/>
        </w:rPr>
        <w:t xml:space="preserve"> </w:t>
      </w:r>
      <w:r>
        <w:rPr>
          <w:rFonts w:ascii="Times New Roman" w:cs="Times New Roman" w:eastAsia="Times New Roman" w:hAnsi="Times New Roman"/>
          <w:sz w:val="19"/>
          <w:szCs w:val="19"/>
          <w:color w:val="4C4C4E"/>
        </w:rPr>
        <w:t>investment transaction. A substantial majority of our portfolio investments are sourced through our direct or proprietary relationships.</w:t>
      </w:r>
    </w:p>
    <w:p>
      <w:pPr>
        <w:spacing w:after="0" w:line="145"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i w:val="1"/>
          <w:iCs w:val="1"/>
          <w:color w:val="4C4C4E"/>
        </w:rPr>
        <w:t xml:space="preserve">Risk Mitigation. </w:t>
      </w:r>
      <w:r>
        <w:rPr>
          <w:rFonts w:ascii="Times New Roman" w:cs="Times New Roman" w:eastAsia="Times New Roman" w:hAnsi="Times New Roman"/>
          <w:sz w:val="20"/>
          <w:szCs w:val="20"/>
          <w:color w:val="4C4C4E"/>
        </w:rPr>
        <w:t>We seek to mitigate non-credit-related risk on our returns in several ways, including call protection provisions to</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protect future interest income. As of December 31, 2025, we had call protection on 78.9% of our debt investments based on fair value, with weighted average call prices of 107.9% for the first year, 104.3% for the second year and 101.7% for the third year, in each case from the date of the initial investment. As of December 31, 2025, 96.3% of our debt investments based on fair value bore interest at floating rates, with 100.0% of these subject to interest rate floors, which we believe helps act as a portfolio-wide hedge against inflation.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Relationship with our Adviser and Sixth Street</w:t>
      </w:r>
    </w:p>
    <w:p>
      <w:pPr>
        <w:spacing w:after="0" w:line="120" w:lineRule="exact"/>
        <w:rPr>
          <w:sz w:val="20"/>
          <w:szCs w:val="20"/>
          <w:color w:val="auto"/>
        </w:rPr>
      </w:pPr>
    </w:p>
    <w:p>
      <w:pPr>
        <w:ind w:right="80" w:firstLine="245"/>
        <w:spacing w:after="0" w:line="244" w:lineRule="auto"/>
        <w:rPr>
          <w:sz w:val="20"/>
          <w:szCs w:val="20"/>
          <w:color w:val="auto"/>
        </w:rPr>
      </w:pPr>
      <w:r>
        <w:rPr>
          <w:rFonts w:ascii="Times New Roman" w:cs="Times New Roman" w:eastAsia="Times New Roman" w:hAnsi="Times New Roman"/>
          <w:sz w:val="20"/>
          <w:szCs w:val="20"/>
          <w:color w:val="4C4C4E"/>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Adviser’s Co-Founding Partner, Co-President and Co-Chief Investment Officer Joshua Easterly, our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206"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4C4C4E"/>
        </w:rPr>
        <w:t>Sixth Street is a global investment business with over $125 billion of assets under management as of December 31, 2025.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w:t>
      </w:r>
    </w:p>
    <w:p>
      <w:pPr>
        <w:sectPr>
          <w:pgSz w:w="11880" w:h="15480" w:orient="portrait"/>
          <w:cols w:equalWidth="0" w:num="1">
            <w:col w:w="10760"/>
          </w:cols>
          <w:pgMar w:left="540" w:top="750" w:right="580" w:bottom="0" w:gutter="0" w:footer="0" w:header="0"/>
        </w:sect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64</w:t>
      </w:r>
    </w:p>
    <w:p>
      <w:pPr>
        <w:sectPr>
          <w:pgSz w:w="11880" w:h="15480" w:orient="portrait"/>
          <w:cols w:equalWidth="0" w:num="1">
            <w:col w:w="10760"/>
          </w:cols>
          <w:pgMar w:left="540" w:top="750" w:right="580" w:bottom="0" w:gutter="0" w:footer="0" w:header="0"/>
          <w:type w:val="continuous"/>
        </w:sectPr>
      </w:pPr>
    </w:p>
    <w:bookmarkStart w:id="64" w:name="page65"/>
    <w:bookmarkEnd w:id="64"/>
    <w:p>
      <w:pPr>
        <w:ind w:right="160"/>
        <w:spacing w:after="0" w:line="252" w:lineRule="auto"/>
        <w:rPr>
          <w:sz w:val="20"/>
          <w:szCs w:val="20"/>
          <w:color w:val="auto"/>
        </w:rPr>
      </w:pPr>
      <w:r>
        <w:rPr>
          <w:rFonts w:ascii="Times New Roman" w:cs="Times New Roman" w:eastAsia="Times New Roman" w:hAnsi="Times New Roman"/>
          <w:sz w:val="20"/>
          <w:szCs w:val="20"/>
          <w:color w:val="4C4C4E"/>
        </w:rPr>
        <w:t>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740 investment and operating professionals. As of December 31, 2025, seventy-eight (78) of these personnel are dedicated to direct lending, including sixty-three (63) investment professionals.</w:t>
      </w:r>
    </w:p>
    <w:p>
      <w:pPr>
        <w:spacing w:after="0" w:line="194" w:lineRule="exact"/>
        <w:rPr>
          <w:sz w:val="20"/>
          <w:szCs w:val="20"/>
          <w:color w:val="auto"/>
        </w:rPr>
      </w:pPr>
    </w:p>
    <w:p>
      <w:pPr>
        <w:ind w:right="120" w:firstLine="245"/>
        <w:spacing w:after="0" w:line="246" w:lineRule="auto"/>
        <w:rPr>
          <w:sz w:val="20"/>
          <w:szCs w:val="20"/>
          <w:color w:val="auto"/>
        </w:rPr>
      </w:pPr>
      <w:r>
        <w:rPr>
          <w:rFonts w:ascii="Times New Roman" w:cs="Times New Roman" w:eastAsia="Times New Roman" w:hAnsi="Times New Roman"/>
          <w:sz w:val="20"/>
          <w:szCs w:val="20"/>
          <w:color w:val="4C4C4E"/>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00" w:lineRule="exact"/>
        <w:rPr>
          <w:sz w:val="20"/>
          <w:szCs w:val="20"/>
          <w:color w:val="auto"/>
        </w:rPr>
      </w:pPr>
    </w:p>
    <w:p>
      <w:pPr>
        <w:ind w:right="160" w:firstLine="245"/>
        <w:spacing w:after="0" w:line="258" w:lineRule="auto"/>
        <w:rPr>
          <w:sz w:val="20"/>
          <w:szCs w:val="20"/>
          <w:color w:val="auto"/>
        </w:rPr>
      </w:pPr>
      <w:r>
        <w:rPr>
          <w:rFonts w:ascii="Times New Roman" w:cs="Times New Roman" w:eastAsia="Times New Roman" w:hAnsi="Times New Roman"/>
          <w:sz w:val="20"/>
          <w:szCs w:val="20"/>
          <w:color w:val="4C4C4E"/>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88"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4C4C4E"/>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97" w:lineRule="exact"/>
        <w:rPr>
          <w:sz w:val="20"/>
          <w:szCs w:val="20"/>
          <w:color w:val="auto"/>
        </w:rPr>
      </w:pPr>
    </w:p>
    <w:p>
      <w:pPr>
        <w:jc w:val="both"/>
        <w:ind w:right="200" w:firstLine="245"/>
        <w:spacing w:after="0" w:line="252" w:lineRule="auto"/>
        <w:rPr>
          <w:sz w:val="20"/>
          <w:szCs w:val="20"/>
          <w:color w:val="auto"/>
        </w:rPr>
      </w:pPr>
      <w:r>
        <w:rPr>
          <w:rFonts w:ascii="Times New Roman" w:cs="Times New Roman" w:eastAsia="Times New Roman" w:hAnsi="Times New Roman"/>
          <w:sz w:val="20"/>
          <w:szCs w:val="20"/>
          <w:color w:val="4C4C4E"/>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94" w:lineRule="exact"/>
        <w:rPr>
          <w:sz w:val="20"/>
          <w:szCs w:val="20"/>
          <w:color w:val="auto"/>
        </w:rPr>
      </w:pPr>
    </w:p>
    <w:p>
      <w:pPr>
        <w:ind w:right="160" w:firstLine="245"/>
        <w:spacing w:after="0" w:line="249" w:lineRule="auto"/>
        <w:rPr>
          <w:sz w:val="20"/>
          <w:szCs w:val="20"/>
          <w:color w:val="auto"/>
        </w:rPr>
      </w:pPr>
      <w:r>
        <w:rPr>
          <w:rFonts w:ascii="Times New Roman" w:cs="Times New Roman" w:eastAsia="Times New Roman" w:hAnsi="Times New Roman"/>
          <w:sz w:val="20"/>
          <w:szCs w:val="20"/>
          <w:color w:val="4C4C4E"/>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Key Components of Our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Investments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We focus primarily on the direct origination of loans to middle-market companies domiciled in the United States.</w:t>
      </w:r>
    </w:p>
    <w:p>
      <w:pPr>
        <w:spacing w:after="0" w:line="240" w:lineRule="exact"/>
        <w:rPr>
          <w:sz w:val="20"/>
          <w:szCs w:val="20"/>
          <w:color w:val="auto"/>
        </w:rPr>
      </w:pPr>
    </w:p>
    <w:p>
      <w:pPr>
        <w:ind w:right="160" w:firstLine="245"/>
        <w:spacing w:after="0" w:line="252" w:lineRule="auto"/>
        <w:rPr>
          <w:sz w:val="20"/>
          <w:szCs w:val="20"/>
          <w:color w:val="auto"/>
        </w:rPr>
      </w:pPr>
      <w:r>
        <w:rPr>
          <w:rFonts w:ascii="Times New Roman" w:cs="Times New Roman" w:eastAsia="Times New Roman" w:hAnsi="Times New Roman"/>
          <w:sz w:val="20"/>
          <w:szCs w:val="20"/>
          <w:color w:val="4C4C4E"/>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94" w:lineRule="exact"/>
        <w:rPr>
          <w:sz w:val="20"/>
          <w:szCs w:val="20"/>
          <w:color w:val="auto"/>
        </w:rPr>
      </w:pPr>
    </w:p>
    <w:p>
      <w:pPr>
        <w:ind w:right="680" w:firstLine="245"/>
        <w:spacing w:after="0" w:line="277" w:lineRule="auto"/>
        <w:rPr>
          <w:sz w:val="20"/>
          <w:szCs w:val="20"/>
          <w:color w:val="auto"/>
        </w:rPr>
      </w:pPr>
      <w:r>
        <w:rPr>
          <w:rFonts w:ascii="Times New Roman" w:cs="Times New Roman" w:eastAsia="Times New Roman" w:hAnsi="Times New Roman"/>
          <w:sz w:val="20"/>
          <w:szCs w:val="20"/>
          <w:color w:val="4C4C4E"/>
        </w:rPr>
        <w:t>In addition, as part of our risk strategy on investments, we may reduce certain levels of investments through partial sales or syndication to additional investors.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Revenues</w:t>
      </w:r>
    </w:p>
    <w:p>
      <w:pPr>
        <w:spacing w:after="0" w:line="120"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20"/>
          <w:szCs w:val="20"/>
          <w:color w:val="4C4C4E"/>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December 31, 2025, 96.3%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years ended December 31, 2025, 2024 and 2023, 5.7%, 6.1% and 4.5%, respectively, of our total investment income was comprised of PIK interest.</w:t>
      </w:r>
    </w:p>
    <w:p>
      <w:pPr>
        <w:spacing w:after="0" w:line="200" w:lineRule="exact"/>
        <w:rPr>
          <w:sz w:val="20"/>
          <w:szCs w:val="20"/>
          <w:color w:val="auto"/>
        </w:rPr>
      </w:pPr>
    </w:p>
    <w:p>
      <w:pPr>
        <w:ind w:firstLine="245"/>
        <w:spacing w:after="0" w:line="277" w:lineRule="auto"/>
        <w:rPr>
          <w:sz w:val="20"/>
          <w:szCs w:val="20"/>
          <w:color w:val="auto"/>
        </w:rPr>
      </w:pPr>
      <w:r>
        <w:rPr>
          <w:rFonts w:ascii="Times New Roman" w:cs="Times New Roman" w:eastAsia="Times New Roman" w:hAnsi="Times New Roman"/>
          <w:sz w:val="20"/>
          <w:szCs w:val="20"/>
          <w:color w:val="4C4C4E"/>
        </w:rPr>
        <w:t>Changes in our net investment income are primarily driven by the spread between the payments we receive from our investments in our portfolio companies against our cost of funding, rather than by changes in interest rates. Our investment portfolio primarily</w:t>
      </w:r>
    </w:p>
    <w:p>
      <w:pPr>
        <w:sectPr>
          <w:pgSz w:w="11880" w:h="15480" w:orient="portrait"/>
          <w:cols w:equalWidth="0" w:num="1">
            <w:col w:w="10780"/>
          </w:cols>
          <w:pgMar w:left="540" w:top="750" w:right="560" w:bottom="0" w:gutter="0" w:footer="0" w:header="0"/>
        </w:sectPr>
      </w:pP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65</w:t>
      </w:r>
    </w:p>
    <w:p>
      <w:pPr>
        <w:sectPr>
          <w:pgSz w:w="11880" w:h="15480" w:orient="portrait"/>
          <w:cols w:equalWidth="0" w:num="1">
            <w:col w:w="10780"/>
          </w:cols>
          <w:pgMar w:left="540" w:top="750" w:right="560" w:bottom="0" w:gutter="0" w:footer="0" w:header="0"/>
          <w:type w:val="continuous"/>
        </w:sectPr>
      </w:pPr>
    </w:p>
    <w:bookmarkStart w:id="65" w:name="page66"/>
    <w:bookmarkEnd w:id="65"/>
    <w:p>
      <w:pPr>
        <w:ind w:right="20"/>
        <w:spacing w:after="0" w:line="246" w:lineRule="auto"/>
        <w:rPr>
          <w:sz w:val="20"/>
          <w:szCs w:val="20"/>
          <w:color w:val="auto"/>
        </w:rPr>
      </w:pPr>
      <w:r>
        <w:rPr>
          <w:rFonts w:ascii="Times New Roman" w:cs="Times New Roman" w:eastAsia="Times New Roman" w:hAnsi="Times New Roman"/>
          <w:sz w:val="20"/>
          <w:szCs w:val="20"/>
          <w:color w:val="4C4C4E"/>
        </w:rPr>
        <w:t>consists of floating rate loans, and our Revolving Credit Facility, 2026 Notes 2028 Notes, 2029 Notes, and 2030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20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200" w:lineRule="exact"/>
        <w:rPr>
          <w:sz w:val="20"/>
          <w:szCs w:val="20"/>
          <w:color w:val="auto"/>
        </w:rPr>
      </w:pPr>
    </w:p>
    <w:p>
      <w:pPr>
        <w:ind w:right="380" w:firstLine="245"/>
        <w:spacing w:after="0" w:line="247" w:lineRule="auto"/>
        <w:rPr>
          <w:sz w:val="20"/>
          <w:szCs w:val="20"/>
          <w:color w:val="auto"/>
        </w:rPr>
      </w:pPr>
      <w:r>
        <w:rPr>
          <w:rFonts w:ascii="Times New Roman" w:cs="Times New Roman" w:eastAsia="Times New Roman" w:hAnsi="Times New Roman"/>
          <w:sz w:val="20"/>
          <w:szCs w:val="20"/>
          <w:color w:val="4C4C4E"/>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200" w:lineRule="exact"/>
        <w:rPr>
          <w:sz w:val="20"/>
          <w:szCs w:val="20"/>
          <w:color w:val="auto"/>
        </w:rPr>
      </w:pPr>
    </w:p>
    <w:p>
      <w:pPr>
        <w:ind w:right="560" w:firstLine="245"/>
        <w:spacing w:after="0" w:line="277" w:lineRule="auto"/>
        <w:rPr>
          <w:sz w:val="20"/>
          <w:szCs w:val="20"/>
          <w:color w:val="auto"/>
        </w:rPr>
      </w:pPr>
      <w:r>
        <w:rPr>
          <w:rFonts w:ascii="Times New Roman" w:cs="Times New Roman" w:eastAsia="Times New Roman" w:hAnsi="Times New Roman"/>
          <w:sz w:val="20"/>
          <w:szCs w:val="20"/>
          <w:color w:val="4C4C4E"/>
        </w:rPr>
        <w:t>Dividend income on common equity investments is recorded on the record date for private portfolio companies or on the ex-dividend date for publicly traded portfolio companies.</w:t>
      </w:r>
    </w:p>
    <w:p>
      <w:pPr>
        <w:spacing w:after="0" w:line="169"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4C4C4E"/>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Expenses</w:t>
      </w:r>
    </w:p>
    <w:p>
      <w:pPr>
        <w:spacing w:after="0" w:line="112" w:lineRule="exact"/>
        <w:rPr>
          <w:sz w:val="20"/>
          <w:szCs w:val="20"/>
          <w:color w:val="auto"/>
        </w:rPr>
      </w:pPr>
    </w:p>
    <w:p>
      <w:pPr>
        <w:ind w:right="200" w:firstLine="245"/>
        <w:spacing w:after="0" w:line="242" w:lineRule="auto"/>
        <w:rPr>
          <w:sz w:val="20"/>
          <w:szCs w:val="20"/>
          <w:color w:val="auto"/>
        </w:rPr>
      </w:pPr>
      <w:r>
        <w:rPr>
          <w:rFonts w:ascii="Times New Roman" w:cs="Times New Roman" w:eastAsia="Times New Roman" w:hAnsi="Times New Roman"/>
          <w:sz w:val="20"/>
          <w:szCs w:val="20"/>
          <w:color w:val="4C4C4E"/>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8" w:lineRule="exact"/>
        <w:rPr>
          <w:sz w:val="20"/>
          <w:szCs w:val="20"/>
          <w:color w:val="auto"/>
        </w:rPr>
      </w:pPr>
    </w:p>
    <w:p>
      <w:pPr>
        <w:ind w:left="500" w:hanging="255"/>
        <w:spacing w:after="0"/>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calculating individual asset values and our net asset value (including the cost and expenses of any independent valuation firms);</w:t>
      </w:r>
    </w:p>
    <w:p>
      <w:pPr>
        <w:spacing w:after="0" w:line="123" w:lineRule="exact"/>
        <w:rPr>
          <w:rFonts w:ascii="Arial" w:cs="Arial" w:eastAsia="Arial" w:hAnsi="Arial"/>
          <w:sz w:val="20"/>
          <w:szCs w:val="20"/>
          <w:color w:val="4C4C4E"/>
        </w:rPr>
      </w:pPr>
    </w:p>
    <w:p>
      <w:pPr>
        <w:ind w:left="500" w:hanging="255"/>
        <w:spacing w:after="0" w:line="248" w:lineRule="auto"/>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Arial" w:cs="Arial" w:eastAsia="Arial" w:hAnsi="Arial"/>
          <w:sz w:val="20"/>
          <w:szCs w:val="20"/>
          <w:color w:val="4C4C4E"/>
        </w:rPr>
      </w:pPr>
    </w:p>
    <w:p>
      <w:pPr>
        <w:ind w:left="500" w:hanging="255"/>
        <w:spacing w:after="0"/>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costs of any public offerings of our common stock and other securities, including registration and listing fees;</w:t>
      </w:r>
    </w:p>
    <w:p>
      <w:pPr>
        <w:spacing w:after="0" w:line="123" w:lineRule="exact"/>
        <w:rPr>
          <w:rFonts w:ascii="Arial" w:cs="Arial" w:eastAsia="Arial" w:hAnsi="Arial"/>
          <w:sz w:val="20"/>
          <w:szCs w:val="20"/>
          <w:color w:val="4C4C4E"/>
        </w:rPr>
      </w:pPr>
    </w:p>
    <w:p>
      <w:pPr>
        <w:ind w:left="500" w:hanging="255"/>
        <w:spacing w:after="0"/>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the Management Fee and any Incentive Fee;</w:t>
      </w:r>
    </w:p>
    <w:p>
      <w:pPr>
        <w:spacing w:after="0" w:line="123" w:lineRule="exact"/>
        <w:rPr>
          <w:rFonts w:ascii="Arial" w:cs="Arial" w:eastAsia="Arial" w:hAnsi="Arial"/>
          <w:sz w:val="20"/>
          <w:szCs w:val="20"/>
          <w:color w:val="4C4C4E"/>
        </w:rPr>
      </w:pPr>
    </w:p>
    <w:p>
      <w:pPr>
        <w:ind w:left="500" w:hanging="255"/>
        <w:spacing w:after="0"/>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certain costs and expenses relating to distributions paid on our shares;</w:t>
      </w:r>
    </w:p>
    <w:p>
      <w:pPr>
        <w:spacing w:after="0" w:line="123" w:lineRule="exact"/>
        <w:rPr>
          <w:rFonts w:ascii="Arial" w:cs="Arial" w:eastAsia="Arial" w:hAnsi="Arial"/>
          <w:sz w:val="20"/>
          <w:szCs w:val="20"/>
          <w:color w:val="4C4C4E"/>
        </w:rPr>
      </w:pPr>
    </w:p>
    <w:p>
      <w:pPr>
        <w:ind w:left="500" w:hanging="255"/>
        <w:spacing w:after="0"/>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administration fees payable under our Administration Agreement;</w:t>
      </w:r>
    </w:p>
    <w:p>
      <w:pPr>
        <w:spacing w:after="0" w:line="132" w:lineRule="exact"/>
        <w:rPr>
          <w:rFonts w:ascii="Arial" w:cs="Arial" w:eastAsia="Arial" w:hAnsi="Arial"/>
          <w:sz w:val="20"/>
          <w:szCs w:val="20"/>
          <w:color w:val="4C4C4E"/>
        </w:rPr>
      </w:pPr>
    </w:p>
    <w:p>
      <w:pPr>
        <w:ind w:left="500" w:right="40" w:hanging="255"/>
        <w:spacing w:after="0" w:line="249" w:lineRule="auto"/>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90" w:lineRule="exact"/>
        <w:rPr>
          <w:rFonts w:ascii="Arial" w:cs="Arial" w:eastAsia="Arial" w:hAnsi="Arial"/>
          <w:sz w:val="20"/>
          <w:szCs w:val="20"/>
          <w:color w:val="4C4C4E"/>
        </w:rPr>
      </w:pPr>
    </w:p>
    <w:p>
      <w:pPr>
        <w:ind w:left="500" w:hanging="255"/>
        <w:spacing w:after="0"/>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debt service and other costs of borrowings or other financing arrangements;</w:t>
      </w:r>
    </w:p>
    <w:p>
      <w:pPr>
        <w:spacing w:after="0" w:line="133" w:lineRule="exact"/>
        <w:rPr>
          <w:rFonts w:ascii="Arial" w:cs="Arial" w:eastAsia="Arial" w:hAnsi="Arial"/>
          <w:sz w:val="20"/>
          <w:szCs w:val="20"/>
          <w:color w:val="4C4C4E"/>
        </w:rPr>
      </w:pPr>
    </w:p>
    <w:p>
      <w:pPr>
        <w:ind w:left="500" w:right="180" w:hanging="255"/>
        <w:spacing w:after="0" w:line="276" w:lineRule="auto"/>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the Adviser’s allocable share of costs incurred in providing significant managerial assistance to those portfolio companies that request it;</w:t>
      </w:r>
    </w:p>
    <w:p>
      <w:pPr>
        <w:spacing w:after="0" w:line="64" w:lineRule="exact"/>
        <w:rPr>
          <w:rFonts w:ascii="Arial" w:cs="Arial" w:eastAsia="Arial" w:hAnsi="Arial"/>
          <w:sz w:val="20"/>
          <w:szCs w:val="20"/>
          <w:color w:val="4C4C4E"/>
        </w:rPr>
      </w:pPr>
    </w:p>
    <w:p>
      <w:pPr>
        <w:ind w:left="500" w:hanging="255"/>
        <w:spacing w:after="0"/>
        <w:tabs>
          <w:tab w:leader="none" w:pos="500" w:val="left"/>
        </w:tabs>
        <w:numPr>
          <w:ilvl w:val="0"/>
          <w:numId w:val="50"/>
        </w:numPr>
        <w:rPr>
          <w:rFonts w:ascii="Arial" w:cs="Arial" w:eastAsia="Arial" w:hAnsi="Arial"/>
          <w:sz w:val="20"/>
          <w:szCs w:val="20"/>
          <w:color w:val="4C4C4E"/>
        </w:rPr>
      </w:pPr>
      <w:r>
        <w:rPr>
          <w:rFonts w:ascii="Times New Roman" w:cs="Times New Roman" w:eastAsia="Times New Roman" w:hAnsi="Times New Roman"/>
          <w:sz w:val="20"/>
          <w:szCs w:val="20"/>
          <w:color w:val="4C4C4E"/>
        </w:rPr>
        <w:t>amounts payable to third parties relating to, or associated with, making or holding investments;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66</w:t>
      </w:r>
    </w:p>
    <w:p>
      <w:pPr>
        <w:sectPr>
          <w:pgSz w:w="11880" w:h="15480" w:orient="portrait"/>
          <w:cols w:equalWidth="0" w:num="1">
            <w:col w:w="10780"/>
          </w:cols>
          <w:pgMar w:left="540" w:top="750" w:right="560" w:bottom="0" w:gutter="0" w:footer="0" w:header="0"/>
          <w:type w:val="continuous"/>
        </w:sectPr>
      </w:pPr>
    </w:p>
    <w:bookmarkStart w:id="66" w:name="page67"/>
    <w:bookmarkEnd w:id="66"/>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transfer agent and custodial fees;</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costs of hedging;</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commissions and other compensation payable to brokers or dealers;</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taxes;</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Independent Director fees and expenses;</w:t>
      </w:r>
    </w:p>
    <w:p>
      <w:pPr>
        <w:spacing w:after="0" w:line="133" w:lineRule="exact"/>
        <w:rPr>
          <w:rFonts w:ascii="Arial" w:cs="Arial" w:eastAsia="Arial" w:hAnsi="Arial"/>
          <w:sz w:val="20"/>
          <w:szCs w:val="20"/>
          <w:color w:val="4C4C4E"/>
        </w:rPr>
      </w:pPr>
    </w:p>
    <w:p>
      <w:pPr>
        <w:jc w:val="both"/>
        <w:ind w:left="500" w:hanging="255"/>
        <w:spacing w:after="0" w:line="258" w:lineRule="auto"/>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1" w:lineRule="exact"/>
        <w:rPr>
          <w:rFonts w:ascii="Arial" w:cs="Arial" w:eastAsia="Arial" w:hAnsi="Arial"/>
          <w:sz w:val="20"/>
          <w:szCs w:val="20"/>
          <w:color w:val="4C4C4E"/>
        </w:rPr>
      </w:pPr>
    </w:p>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our fidelity bond;</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directors and officers/errors and omissions liability insurance, and any other insurance premiums;</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indemnification payments;</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direct costs and expenses of administration, including audit, accounting, consulting and legal costs; and</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1"/>
        </w:numPr>
        <w:rPr>
          <w:rFonts w:ascii="Arial" w:cs="Arial" w:eastAsia="Arial" w:hAnsi="Arial"/>
          <w:sz w:val="20"/>
          <w:szCs w:val="20"/>
          <w:color w:val="4C4C4E"/>
        </w:rPr>
      </w:pPr>
      <w:r>
        <w:rPr>
          <w:rFonts w:ascii="Times New Roman" w:cs="Times New Roman" w:eastAsia="Times New Roman" w:hAnsi="Times New Roman"/>
          <w:sz w:val="20"/>
          <w:szCs w:val="20"/>
          <w:color w:val="4C4C4E"/>
        </w:rPr>
        <w:t>all other expenses reasonably incurred by us in connection with making investments and administering our business.</w:t>
      </w:r>
    </w:p>
    <w:p>
      <w:pPr>
        <w:spacing w:after="0" w:line="239" w:lineRule="exact"/>
        <w:rPr>
          <w:sz w:val="20"/>
          <w:szCs w:val="20"/>
          <w:color w:val="auto"/>
        </w:rPr>
      </w:pPr>
    </w:p>
    <w:p>
      <w:pPr>
        <w:ind w:right="80" w:firstLine="245"/>
        <w:spacing w:after="0" w:line="277" w:lineRule="auto"/>
        <w:rPr>
          <w:sz w:val="20"/>
          <w:szCs w:val="20"/>
          <w:color w:val="auto"/>
        </w:rPr>
      </w:pPr>
      <w:r>
        <w:rPr>
          <w:rFonts w:ascii="Times New Roman" w:cs="Times New Roman" w:eastAsia="Times New Roman" w:hAnsi="Times New Roman"/>
          <w:sz w:val="20"/>
          <w:szCs w:val="20"/>
          <w:color w:val="4C4C4E"/>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Leverage</w:t>
      </w:r>
    </w:p>
    <w:p>
      <w:pPr>
        <w:spacing w:after="0" w:line="120" w:lineRule="exact"/>
        <w:rPr>
          <w:sz w:val="20"/>
          <w:szCs w:val="20"/>
          <w:color w:val="auto"/>
        </w:rPr>
      </w:pPr>
    </w:p>
    <w:p>
      <w:pPr>
        <w:ind w:right="20" w:firstLine="245"/>
        <w:spacing w:after="0" w:line="246" w:lineRule="auto"/>
        <w:rPr>
          <w:sz w:val="20"/>
          <w:szCs w:val="20"/>
          <w:color w:val="auto"/>
        </w:rPr>
      </w:pPr>
      <w:r>
        <w:rPr>
          <w:rFonts w:ascii="Times New Roman" w:cs="Times New Roman" w:eastAsia="Times New Roman" w:hAnsi="Times New Roman"/>
          <w:sz w:val="20"/>
          <w:szCs w:val="20"/>
          <w:color w:val="4C4C4E"/>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Market Trends</w:t>
      </w:r>
    </w:p>
    <w:p>
      <w:pPr>
        <w:spacing w:after="0" w:line="120"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4C4C4E"/>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88" w:lineRule="exact"/>
        <w:rPr>
          <w:sz w:val="20"/>
          <w:szCs w:val="20"/>
          <w:color w:val="auto"/>
        </w:rPr>
      </w:pPr>
    </w:p>
    <w:p>
      <w:pPr>
        <w:ind w:right="120" w:firstLine="245"/>
        <w:spacing w:after="0" w:line="249" w:lineRule="auto"/>
        <w:rPr>
          <w:sz w:val="20"/>
          <w:szCs w:val="20"/>
          <w:color w:val="auto"/>
        </w:rPr>
      </w:pPr>
      <w:r>
        <w:rPr>
          <w:rFonts w:ascii="Times New Roman" w:cs="Times New Roman" w:eastAsia="Times New Roman" w:hAnsi="Times New Roman"/>
          <w:sz w:val="20"/>
          <w:szCs w:val="20"/>
          <w:color w:val="4C4C4E"/>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97" w:lineRule="exact"/>
        <w:rPr>
          <w:sz w:val="20"/>
          <w:szCs w:val="20"/>
          <w:color w:val="auto"/>
        </w:rPr>
      </w:pPr>
    </w:p>
    <w:p>
      <w:pPr>
        <w:jc w:val="both"/>
        <w:ind w:right="240" w:firstLine="245"/>
        <w:spacing w:after="0" w:line="252" w:lineRule="auto"/>
        <w:rPr>
          <w:sz w:val="20"/>
          <w:szCs w:val="20"/>
          <w:color w:val="auto"/>
        </w:rPr>
      </w:pPr>
      <w:r>
        <w:rPr>
          <w:rFonts w:ascii="Times New Roman" w:cs="Times New Roman" w:eastAsia="Times New Roman" w:hAnsi="Times New Roman"/>
          <w:sz w:val="20"/>
          <w:szCs w:val="20"/>
          <w:color w:val="4C4C4E"/>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94" w:lineRule="exact"/>
        <w:rPr>
          <w:sz w:val="20"/>
          <w:szCs w:val="20"/>
          <w:color w:val="auto"/>
        </w:rPr>
      </w:pPr>
    </w:p>
    <w:p>
      <w:pPr>
        <w:ind w:right="120" w:firstLine="245"/>
        <w:spacing w:after="0" w:line="249" w:lineRule="auto"/>
        <w:rPr>
          <w:sz w:val="20"/>
          <w:szCs w:val="20"/>
          <w:color w:val="auto"/>
        </w:rPr>
      </w:pPr>
      <w:r>
        <w:rPr>
          <w:rFonts w:ascii="Times New Roman" w:cs="Times New Roman" w:eastAsia="Times New Roman" w:hAnsi="Times New Roman"/>
          <w:sz w:val="20"/>
          <w:szCs w:val="20"/>
          <w:color w:val="4C4C4E"/>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67</w:t>
      </w:r>
    </w:p>
    <w:p>
      <w:pPr>
        <w:sectPr>
          <w:pgSz w:w="11880" w:h="15480" w:orient="portrait"/>
          <w:cols w:equalWidth="0" w:num="1">
            <w:col w:w="10800"/>
          </w:cols>
          <w:pgMar w:left="540" w:top="764" w:right="54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4C4C4E"/>
        </w:rPr>
        <w:t>Portfolio and Investment Activity</w:t>
      </w:r>
    </w:p>
    <w:p>
      <w:pPr>
        <w:spacing w:after="0" w:line="124" w:lineRule="exact"/>
        <w:rPr>
          <w:sz w:val="20"/>
          <w:szCs w:val="20"/>
          <w:color w:val="auto"/>
        </w:rPr>
      </w:pPr>
    </w:p>
    <w:p>
      <w:pPr>
        <w:ind w:right="140" w:firstLine="245"/>
        <w:spacing w:after="0" w:line="252" w:lineRule="auto"/>
        <w:rPr>
          <w:sz w:val="20"/>
          <w:szCs w:val="20"/>
          <w:color w:val="auto"/>
        </w:rPr>
      </w:pPr>
      <w:r>
        <w:rPr>
          <w:rFonts w:ascii="Times New Roman" w:cs="Times New Roman" w:eastAsia="Times New Roman" w:hAnsi="Times New Roman"/>
          <w:sz w:val="20"/>
          <w:szCs w:val="20"/>
          <w:color w:val="4C4C4E"/>
        </w:rPr>
        <w:t>As of December 31, 2025, our portfolio based on fair value consisted of 89.2% first-lien debt investments, 0.9% second-lien debt investments, 1.8% mezzanine debt investments, 5.2% equity and other investments and 2.9% structured credit investments. As of December 31, 2024, our portfolio based on fair value consisted of 93.9% first-lien debt investments, 0.6% second-lien debt investments, 1.1% mezzanine debt investments, 4.4% equity and other investments and less than 0.1% structured credit investments.</w:t>
      </w:r>
    </w:p>
    <w:p>
      <w:pPr>
        <w:spacing w:after="0" w:line="194"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As of December 31, 2025 and December 31, 2024, our weighted average total yield of debt and income producing securities at fair value (which includes interest income and amortization of fees and discounts) was 11.1% and 12.3%, respectively, and our weighted average total yield of debt and income-producing securities at amortized cost (which includes interest income and amortization of fees and discounts) was 11.3% and 12.5%, respectively.</w:t>
      </w:r>
    </w:p>
    <w:p>
      <w:pPr>
        <w:spacing w:after="0" w:line="194"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4C4C4E"/>
        </w:rPr>
        <w:t>As of December 31, 2025 and December 31, 2024, we had investments in 143 portfolio companies (including 36 structured credit investments, which include each series of collateralized loan obligation as a separate portfolio company investment) and 116 portfolio companies (including one structured credit investment, which include each series of collateralized loan obligation as a separate portfolio company investment), respectively, with an aggregate fair value of $3,347.3 million and $3,518.4 million, respectively.</w:t>
      </w:r>
    </w:p>
    <w:p>
      <w:pPr>
        <w:spacing w:after="0" w:line="194"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4C4C4E"/>
        </w:rPr>
        <w:t>For the year ended December 31, 2025, the principal amount of new investments funded was $894.0 million in sixty-five new portfolio companies and sixteen existing portfolio companies. For this period, we had $1,196.1 million aggregate principal amount in exits and repayments.</w:t>
      </w:r>
    </w:p>
    <w:p>
      <w:pPr>
        <w:spacing w:after="0" w:line="188" w:lineRule="exact"/>
        <w:rPr>
          <w:sz w:val="20"/>
          <w:szCs w:val="20"/>
          <w:color w:val="auto"/>
        </w:rPr>
      </w:pPr>
    </w:p>
    <w:p>
      <w:pPr>
        <w:ind w:right="120" w:firstLine="245"/>
        <w:spacing w:after="0" w:line="258" w:lineRule="auto"/>
        <w:rPr>
          <w:sz w:val="20"/>
          <w:szCs w:val="20"/>
          <w:color w:val="auto"/>
        </w:rPr>
      </w:pPr>
      <w:r>
        <w:rPr>
          <w:rFonts w:ascii="Times New Roman" w:cs="Times New Roman" w:eastAsia="Times New Roman" w:hAnsi="Times New Roman"/>
          <w:sz w:val="20"/>
          <w:szCs w:val="20"/>
          <w:color w:val="4C4C4E"/>
        </w:rPr>
        <w:t>For the year ended December 31, 2024, the principal amount of new investments funded was $838.9 million in thirty-four new portfolio companies and twenty-one existing portfolio companies. For this period, we had $793.7 million aggregate principal amount in exits and repayments.</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68</w:t>
      </w:r>
    </w:p>
    <w:p>
      <w:pPr>
        <w:sectPr>
          <w:pgSz w:w="11880" w:h="15480" w:orient="portrait"/>
          <w:cols w:equalWidth="0" w:num="1">
            <w:col w:w="10760"/>
          </w:cols>
          <w:pgMar w:left="540" w:top="746" w:right="580" w:bottom="0" w:gutter="0" w:footer="0" w:header="0"/>
          <w:type w:val="continuous"/>
        </w:sectPr>
      </w:pPr>
    </w:p>
    <w:bookmarkStart w:id="68" w:name="page69"/>
    <w:bookmarkEnd w:id="68"/>
    <w:p>
      <w:pPr>
        <w:ind w:right="280" w:firstLine="245"/>
        <w:spacing w:after="0" w:line="277" w:lineRule="auto"/>
        <w:rPr>
          <w:sz w:val="20"/>
          <w:szCs w:val="20"/>
          <w:color w:val="auto"/>
        </w:rPr>
      </w:pPr>
      <w:r>
        <w:rPr>
          <w:rFonts w:ascii="Times New Roman" w:cs="Times New Roman" w:eastAsia="Times New Roman" w:hAnsi="Times New Roman"/>
          <w:sz w:val="20"/>
          <w:szCs w:val="20"/>
          <w:color w:val="4C4C4E"/>
        </w:rPr>
        <w:t>Our investment activity for the years ended December 31, 2025, December 31, 2024 and December 31, 2023 is presented below (information presented herein is at par value unless otherwise indicated).</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1440" w:type="dxa"/>
            <w:vAlign w:val="bottom"/>
            <w:tcBorders>
              <w:bottom w:val="single" w:sz="8" w:color="4C4C4E"/>
            </w:tcBorders>
          </w:tcPr>
          <w:p>
            <w:pPr>
              <w:ind w:left="6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360" w:type="dxa"/>
            <w:vAlign w:val="bottom"/>
          </w:tcPr>
          <w:p>
            <w:pPr>
              <w:spacing w:after="0"/>
              <w:rPr>
                <w:sz w:val="17"/>
                <w:szCs w:val="17"/>
                <w:color w:val="auto"/>
              </w:rPr>
            </w:pPr>
          </w:p>
        </w:tc>
        <w:tc>
          <w:tcPr>
            <w:tcW w:w="1340" w:type="dxa"/>
            <w:vAlign w:val="bottom"/>
            <w:tcBorders>
              <w:bottom w:val="single" w:sz="8" w:color="4C4C4E"/>
            </w:tcBorders>
          </w:tcPr>
          <w:p>
            <w:pPr>
              <w:ind w:left="2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260" w:type="dxa"/>
            <w:vAlign w:val="bottom"/>
          </w:tcPr>
          <w:p>
            <w:pPr>
              <w:spacing w:after="0"/>
              <w:rPr>
                <w:sz w:val="17"/>
                <w:szCs w:val="17"/>
                <w:color w:val="auto"/>
              </w:rPr>
            </w:pPr>
          </w:p>
        </w:tc>
        <w:tc>
          <w:tcPr>
            <w:tcW w:w="1420" w:type="dxa"/>
            <w:vAlign w:val="bottom"/>
            <w:tcBorders>
              <w:bottom w:val="single" w:sz="8" w:color="4C4C4E"/>
            </w:tcBorders>
          </w:tcPr>
          <w:p>
            <w:pPr>
              <w:ind w:left="100"/>
              <w:spacing w:after="0"/>
              <w:rPr>
                <w:sz w:val="20"/>
                <w:szCs w:val="20"/>
                <w:color w:val="auto"/>
              </w:rPr>
            </w:pPr>
            <w:r>
              <w:rPr>
                <w:rFonts w:ascii="Times New Roman" w:cs="Times New Roman" w:eastAsia="Times New Roman" w:hAnsi="Times New Roman"/>
                <w:sz w:val="16"/>
                <w:szCs w:val="16"/>
                <w:b w:val="1"/>
                <w:bCs w:val="1"/>
                <w:color w:val="4C4C4E"/>
              </w:rPr>
              <w:t>December 31, 2023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-8890</wp:posOffset>
                </wp:positionV>
                <wp:extent cx="2952115" cy="16383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115" cy="163830"/>
                        </a:xfrm>
                        <a:prstGeom prst="rect">
                          <a:avLst/>
                        </a:prstGeom>
                        <a:solidFill>
                          <a:srgbClr val="D8EEF4"/>
                        </a:solidFill>
                      </wps:spPr>
                      <wps:bodyPr/>
                    </wps:wsp>
                  </a:graphicData>
                </a:graphic>
              </wp:anchor>
            </w:drawing>
          </mc:Choice>
          <mc:Fallback>
            <w:pict>
              <v:rect id="Shape 18" o:spid="_x0000_s1043" style="position:absolute;margin-left:27pt;margin-top:-0.6999pt;width:232.4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3295015</wp:posOffset>
                </wp:positionH>
                <wp:positionV relativeFrom="paragraph">
                  <wp:posOffset>0</wp:posOffset>
                </wp:positionV>
                <wp:extent cx="906780" cy="1549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6780" cy="154940"/>
                        </a:xfrm>
                        <a:prstGeom prst="rect">
                          <a:avLst/>
                        </a:prstGeom>
                        <a:solidFill>
                          <a:srgbClr val="D8EEF4"/>
                        </a:solidFill>
                      </wps:spPr>
                      <wps:bodyPr/>
                    </wps:wsp>
                  </a:graphicData>
                </a:graphic>
              </wp:anchor>
            </w:drawing>
          </mc:Choice>
          <mc:Fallback>
            <w:pict>
              <v:rect id="Shape 19" o:spid="_x0000_s1044" style="position:absolute;margin-left:259.45pt;margin-top:0pt;width:71.4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4201795</wp:posOffset>
                </wp:positionH>
                <wp:positionV relativeFrom="paragraph">
                  <wp:posOffset>-8890</wp:posOffset>
                </wp:positionV>
                <wp:extent cx="231775" cy="16383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775" cy="163830"/>
                        </a:xfrm>
                        <a:prstGeom prst="rect">
                          <a:avLst/>
                        </a:prstGeom>
                        <a:solidFill>
                          <a:srgbClr val="D8EEF4"/>
                        </a:solidFill>
                      </wps:spPr>
                      <wps:bodyPr/>
                    </wps:wsp>
                  </a:graphicData>
                </a:graphic>
              </wp:anchor>
            </w:drawing>
          </mc:Choice>
          <mc:Fallback>
            <w:pict>
              <v:rect id="Shape 20" o:spid="_x0000_s1045" style="position:absolute;margin-left:330.85pt;margin-top:-0.6999pt;width:18.2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4433570</wp:posOffset>
                </wp:positionH>
                <wp:positionV relativeFrom="paragraph">
                  <wp:posOffset>0</wp:posOffset>
                </wp:positionV>
                <wp:extent cx="847725" cy="15494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154940"/>
                        </a:xfrm>
                        <a:prstGeom prst="rect">
                          <a:avLst/>
                        </a:prstGeom>
                        <a:solidFill>
                          <a:srgbClr val="D8EEF4"/>
                        </a:solidFill>
                      </wps:spPr>
                      <wps:bodyPr/>
                    </wps:wsp>
                  </a:graphicData>
                </a:graphic>
              </wp:anchor>
            </w:drawing>
          </mc:Choice>
          <mc:Fallback>
            <w:pict>
              <v:rect id="Shape 21" o:spid="_x0000_s1046" style="position:absolute;margin-left:349.1pt;margin-top:0pt;width:66.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5281295</wp:posOffset>
                </wp:positionH>
                <wp:positionV relativeFrom="paragraph">
                  <wp:posOffset>-8890</wp:posOffset>
                </wp:positionV>
                <wp:extent cx="165100" cy="16383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100" cy="163830"/>
                        </a:xfrm>
                        <a:prstGeom prst="rect">
                          <a:avLst/>
                        </a:prstGeom>
                        <a:solidFill>
                          <a:srgbClr val="D8EEF4"/>
                        </a:solidFill>
                      </wps:spPr>
                      <wps:bodyPr/>
                    </wps:wsp>
                  </a:graphicData>
                </a:graphic>
              </wp:anchor>
            </w:drawing>
          </mc:Choice>
          <mc:Fallback>
            <w:pict>
              <v:rect id="Shape 22" o:spid="_x0000_s1047" style="position:absolute;margin-left:415.85pt;margin-top:-0.6999pt;width:13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5446395</wp:posOffset>
                </wp:positionH>
                <wp:positionV relativeFrom="paragraph">
                  <wp:posOffset>0</wp:posOffset>
                </wp:positionV>
                <wp:extent cx="904240" cy="1549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240" cy="154940"/>
                        </a:xfrm>
                        <a:prstGeom prst="rect">
                          <a:avLst/>
                        </a:prstGeom>
                        <a:solidFill>
                          <a:srgbClr val="D8EEF4"/>
                        </a:solidFill>
                      </wps:spPr>
                      <wps:bodyPr/>
                    </wps:wsp>
                  </a:graphicData>
                </a:graphic>
              </wp:anchor>
            </w:drawing>
          </mc:Choice>
          <mc:Fallback>
            <w:pict>
              <v:rect id="Shape 23" o:spid="_x0000_s1048" style="position:absolute;margin-left:428.85pt;margin-top:0pt;width:71.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6350635</wp:posOffset>
                </wp:positionH>
                <wp:positionV relativeFrom="paragraph">
                  <wp:posOffset>-8890</wp:posOffset>
                </wp:positionV>
                <wp:extent cx="164465" cy="16383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163830"/>
                        </a:xfrm>
                        <a:prstGeom prst="rect">
                          <a:avLst/>
                        </a:prstGeom>
                        <a:solidFill>
                          <a:srgbClr val="D8EEF4"/>
                        </a:solidFill>
                      </wps:spPr>
                      <wps:bodyPr/>
                    </wps:wsp>
                  </a:graphicData>
                </a:graphic>
              </wp:anchor>
            </w:drawing>
          </mc:Choice>
          <mc:Fallback>
            <w:pict>
              <v:rect id="Shape 24" o:spid="_x0000_s1049" style="position:absolute;margin-left:500.05pt;margin-top:-0.6999pt;width:12.9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drawing>
          <wp:anchor simplePos="0" relativeHeight="251657728" behindDoc="1" locked="0" layoutInCell="0" allowOverlap="1">
            <wp:simplePos x="0" y="0"/>
            <wp:positionH relativeFrom="column">
              <wp:posOffset>3275965</wp:posOffset>
            </wp:positionH>
            <wp:positionV relativeFrom="paragraph">
              <wp:posOffset>-158115</wp:posOffset>
            </wp:positionV>
            <wp:extent cx="309308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extLst>
                    </a:blip>
                    <a:srcRect/>
                    <a:stretch>
                      <a:fillRect/>
                    </a:stretch>
                  </pic:blipFill>
                  <pic:spPr bwMode="auto">
                    <a:xfrm>
                      <a:off x="0" y="0"/>
                      <a:ext cx="3093085" cy="38100"/>
                    </a:xfrm>
                    <a:prstGeom prst="rect">
                      <a:avLst/>
                    </a:prstGeom>
                    <a:noFill/>
                  </pic:spPr>
                </pic:pic>
              </a:graphicData>
            </a:graphic>
          </wp:anchor>
        </w:drawing>
      </w:r>
    </w:p>
    <w:p>
      <w:pPr>
        <w:sectPr>
          <w:pgSz w:w="11880" w:h="15480" w:orient="portrait"/>
          <w:cols w:equalWidth="0" w:num="1">
            <w:col w:w="10780"/>
          </w:cols>
          <w:pgMar w:left="540" w:top="750" w:right="560" w:bottom="0" w:gutter="0" w:footer="0" w:header="0"/>
        </w:sectPr>
      </w:pPr>
    </w:p>
    <w:p>
      <w:pPr>
        <w:ind w:left="540"/>
        <w:spacing w:after="0"/>
        <w:rPr>
          <w:sz w:val="20"/>
          <w:szCs w:val="20"/>
          <w:color w:val="auto"/>
        </w:rPr>
      </w:pPr>
      <w:r>
        <w:rPr>
          <w:rFonts w:ascii="Times New Roman" w:cs="Times New Roman" w:eastAsia="Times New Roman" w:hAnsi="Times New Roman"/>
          <w:sz w:val="20"/>
          <w:szCs w:val="20"/>
          <w:b w:val="1"/>
          <w:bCs w:val="1"/>
          <w:color w:val="4C4C4E"/>
        </w:rPr>
        <w:t>New investment commitments:</w:t>
      </w:r>
    </w:p>
    <w:p>
      <w:pPr>
        <w:ind w:left="740"/>
        <w:spacing w:after="0" w:line="219" w:lineRule="auto"/>
        <w:rPr>
          <w:sz w:val="20"/>
          <w:szCs w:val="20"/>
          <w:color w:val="auto"/>
        </w:rPr>
      </w:pPr>
      <w:r>
        <w:rPr>
          <w:rFonts w:ascii="Times New Roman" w:cs="Times New Roman" w:eastAsia="Times New Roman" w:hAnsi="Times New Roman"/>
          <w:sz w:val="20"/>
          <w:szCs w:val="20"/>
          <w:color w:val="4C4C4E"/>
        </w:rPr>
        <w:t xml:space="preserve">Gross originations </w:t>
      </w:r>
      <w:r>
        <w:rPr>
          <w:rFonts w:ascii="Times New Roman" w:cs="Times New Roman" w:eastAsia="Times New Roman" w:hAnsi="Times New Roman"/>
          <w:sz w:val="26"/>
          <w:szCs w:val="26"/>
          <w:color w:val="4C4C4E"/>
          <w:vertAlign w:val="superscript"/>
        </w:rPr>
        <w:t>(1)</w:t>
      </w:r>
    </w:p>
    <w:p>
      <w:pPr>
        <w:ind w:left="940" w:right="1160" w:hanging="199"/>
        <w:spacing w:after="0" w:line="229" w:lineRule="auto"/>
        <w:rPr>
          <w:sz w:val="20"/>
          <w:szCs w:val="20"/>
          <w:color w:val="auto"/>
        </w:rPr>
      </w:pPr>
      <w:r>
        <w:rPr>
          <w:rFonts w:ascii="Times New Roman" w:cs="Times New Roman" w:eastAsia="Times New Roman" w:hAnsi="Times New Roman"/>
          <w:sz w:val="20"/>
          <w:szCs w:val="20"/>
          <w:color w:val="4C4C4E"/>
        </w:rPr>
        <w:t xml:space="preserve">Less: Syndications/sell downs </w:t>
      </w:r>
      <w:r>
        <w:rPr>
          <w:rFonts w:ascii="Times New Roman" w:cs="Times New Roman" w:eastAsia="Times New Roman" w:hAnsi="Times New Roman"/>
          <w:sz w:val="26"/>
          <w:szCs w:val="26"/>
          <w:color w:val="4C4C4E"/>
          <w:vertAlign w:val="superscript"/>
        </w:rPr>
        <w:t>(1)</w:t>
      </w:r>
      <w:r>
        <w:rPr>
          <w:rFonts w:ascii="Times New Roman" w:cs="Times New Roman" w:eastAsia="Times New Roman" w:hAnsi="Times New Roman"/>
          <w:sz w:val="20"/>
          <w:szCs w:val="20"/>
          <w:color w:val="4C4C4E"/>
        </w:rPr>
        <w:t xml:space="preserve"> Total new investment commitments</w:t>
      </w:r>
    </w:p>
    <w:p>
      <w:pPr>
        <w:ind w:left="540"/>
        <w:spacing w:after="0"/>
        <w:rPr>
          <w:sz w:val="20"/>
          <w:szCs w:val="20"/>
          <w:color w:val="auto"/>
        </w:rPr>
      </w:pPr>
      <w:r>
        <w:rPr>
          <w:rFonts w:ascii="Times New Roman" w:cs="Times New Roman" w:eastAsia="Times New Roman" w:hAnsi="Times New Roman"/>
          <w:sz w:val="20"/>
          <w:szCs w:val="20"/>
          <w:b w:val="1"/>
          <w:bCs w:val="1"/>
          <w:color w:val="4C4C4E"/>
        </w:rPr>
        <w:t>Principal amount of investments funded:</w:t>
      </w:r>
    </w:p>
    <w:p>
      <w:pPr>
        <w:spacing w:after="0" w:line="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First-lien</w:t>
      </w:r>
    </w:p>
    <w:p>
      <w:pPr>
        <w:spacing w:after="0" w:line="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Second-lien</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Mezzanine</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Equity and other</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Structured Credit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-1270</wp:posOffset>
                </wp:positionV>
                <wp:extent cx="2952115" cy="16383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115" cy="163830"/>
                        </a:xfrm>
                        <a:prstGeom prst="rect">
                          <a:avLst/>
                        </a:prstGeom>
                        <a:solidFill>
                          <a:srgbClr val="D8EEF4"/>
                        </a:solidFill>
                      </wps:spPr>
                      <wps:bodyPr/>
                    </wps:wsp>
                  </a:graphicData>
                </a:graphic>
              </wp:anchor>
            </w:drawing>
          </mc:Choice>
          <mc:Fallback>
            <w:pict>
              <v:rect id="Shape 26" o:spid="_x0000_s1051" style="position:absolute;margin-left:27pt;margin-top:-0.0999pt;width:232.4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ind w:left="940"/>
        <w:spacing w:after="0"/>
        <w:rPr>
          <w:sz w:val="20"/>
          <w:szCs w:val="20"/>
          <w:color w:val="auto"/>
        </w:rPr>
      </w:pPr>
      <w:r>
        <w:rPr>
          <w:rFonts w:ascii="Times New Roman" w:cs="Times New Roman" w:eastAsia="Times New Roman" w:hAnsi="Times New Roman"/>
          <w:sz w:val="20"/>
          <w:szCs w:val="20"/>
          <w:color w:val="4C4C4E"/>
        </w:rPr>
        <w:t>Total</w:t>
      </w:r>
    </w:p>
    <w:p>
      <w:pPr>
        <w:spacing w:after="0" w:line="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4C4C4E"/>
        </w:rPr>
        <w:t>Principal amount of investments sold or repaid:</w:t>
      </w:r>
    </w:p>
    <w:p>
      <w:pPr>
        <w:spacing w:after="0" w:line="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First-lien</w:t>
      </w:r>
    </w:p>
    <w:p>
      <w:pPr>
        <w:spacing w:after="0" w:line="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Second-lien</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Mezzanine</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Equity and other</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4C4C4E"/>
        </w:rPr>
        <w:t>Structured Credit</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4C4C4E"/>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7620</wp:posOffset>
                </wp:positionV>
                <wp:extent cx="2952115" cy="31051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115" cy="310515"/>
                        </a:xfrm>
                        <a:prstGeom prst="rect">
                          <a:avLst/>
                        </a:prstGeom>
                        <a:solidFill>
                          <a:srgbClr val="D8EEF4"/>
                        </a:solidFill>
                      </wps:spPr>
                      <wps:bodyPr/>
                    </wps:wsp>
                  </a:graphicData>
                </a:graphic>
              </wp:anchor>
            </w:drawing>
          </mc:Choice>
          <mc:Fallback>
            <w:pict>
              <v:rect id="Shape 27" o:spid="_x0000_s1052" style="position:absolute;margin-left:27pt;margin-top:0.6pt;width:232.45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9" w:lineRule="exact"/>
        <w:rPr>
          <w:sz w:val="20"/>
          <w:szCs w:val="20"/>
          <w:color w:val="auto"/>
        </w:rPr>
      </w:pPr>
    </w:p>
    <w:p>
      <w:pPr>
        <w:ind w:left="700" w:right="720" w:hanging="149"/>
        <w:spacing w:after="0" w:line="224" w:lineRule="auto"/>
        <w:rPr>
          <w:sz w:val="20"/>
          <w:szCs w:val="20"/>
          <w:color w:val="auto"/>
        </w:rPr>
      </w:pPr>
      <w:r>
        <w:rPr>
          <w:rFonts w:ascii="Times New Roman" w:cs="Times New Roman" w:eastAsia="Times New Roman" w:hAnsi="Times New Roman"/>
          <w:sz w:val="20"/>
          <w:szCs w:val="20"/>
          <w:b w:val="1"/>
          <w:bCs w:val="1"/>
          <w:color w:val="4C4C4E"/>
        </w:rPr>
        <w:t xml:space="preserve">Number of new investment commitments in new portfolio companies </w:t>
      </w:r>
      <w:r>
        <w:rPr>
          <w:rFonts w:ascii="Times New Roman" w:cs="Times New Roman" w:eastAsia="Times New Roman" w:hAnsi="Times New Roman"/>
          <w:sz w:val="26"/>
          <w:szCs w:val="26"/>
          <w:b w:val="1"/>
          <w:bCs w:val="1"/>
          <w:color w:val="4C4C4E"/>
          <w:vertAlign w:val="superscript"/>
        </w:rPr>
        <w:t>(2)</w:t>
      </w:r>
    </w:p>
    <w:p>
      <w:pPr>
        <w:spacing w:after="0" w:line="1" w:lineRule="exact"/>
        <w:rPr>
          <w:sz w:val="20"/>
          <w:szCs w:val="20"/>
          <w:color w:val="auto"/>
        </w:rPr>
      </w:pPr>
    </w:p>
    <w:p>
      <w:pPr>
        <w:ind w:left="700" w:right="300" w:hanging="149"/>
        <w:spacing w:after="0" w:line="215" w:lineRule="auto"/>
        <w:rPr>
          <w:sz w:val="20"/>
          <w:szCs w:val="20"/>
          <w:color w:val="auto"/>
        </w:rPr>
      </w:pPr>
      <w:r>
        <w:rPr>
          <w:rFonts w:ascii="Times New Roman" w:cs="Times New Roman" w:eastAsia="Times New Roman" w:hAnsi="Times New Roman"/>
          <w:sz w:val="20"/>
          <w:szCs w:val="20"/>
          <w:b w:val="1"/>
          <w:bCs w:val="1"/>
          <w:color w:val="4C4C4E"/>
        </w:rPr>
        <w:t xml:space="preserve">Average new investment commitment amount in new portfolio companies </w:t>
      </w:r>
      <w:r>
        <w:rPr>
          <w:rFonts w:ascii="Times New Roman" w:cs="Times New Roman" w:eastAsia="Times New Roman" w:hAnsi="Times New Roman"/>
          <w:sz w:val="26"/>
          <w:szCs w:val="26"/>
          <w:b w:val="1"/>
          <w:bCs w:val="1"/>
          <w:color w:val="4C4C4E"/>
          <w:vertAlign w:val="superscript"/>
        </w:rPr>
        <w:t>(2)</w:t>
      </w:r>
    </w:p>
    <w:p>
      <w:pPr>
        <w:jc w:val="both"/>
        <w:ind w:left="700" w:right="760" w:hanging="149"/>
        <w:spacing w:after="0" w:line="222" w:lineRule="auto"/>
        <w:rPr>
          <w:sz w:val="20"/>
          <w:szCs w:val="20"/>
          <w:color w:val="auto"/>
        </w:rPr>
      </w:pPr>
      <w:r>
        <w:rPr>
          <w:rFonts w:ascii="Times New Roman" w:cs="Times New Roman" w:eastAsia="Times New Roman" w:hAnsi="Times New Roman"/>
          <w:sz w:val="20"/>
          <w:szCs w:val="20"/>
          <w:b w:val="1"/>
          <w:bCs w:val="1"/>
          <w:color w:val="4C4C4E"/>
        </w:rPr>
        <w:t xml:space="preserve">Weighted average term for new investment commitments in new portfolio companies (in years) </w:t>
      </w:r>
      <w:r>
        <w:rPr>
          <w:rFonts w:ascii="Times New Roman" w:cs="Times New Roman" w:eastAsia="Times New Roman" w:hAnsi="Times New Roman"/>
          <w:sz w:val="26"/>
          <w:szCs w:val="26"/>
          <w:b w:val="1"/>
          <w:bCs w:val="1"/>
          <w:color w:val="4C4C4E"/>
          <w:vertAlign w:val="superscript"/>
        </w:rPr>
        <w:t>(2)</w:t>
      </w:r>
    </w:p>
    <w:p>
      <w:pPr>
        <w:spacing w:after="0" w:line="2" w:lineRule="exact"/>
        <w:rPr>
          <w:sz w:val="20"/>
          <w:szCs w:val="20"/>
          <w:color w:val="auto"/>
        </w:rPr>
      </w:pPr>
    </w:p>
    <w:p>
      <w:pPr>
        <w:ind w:left="700" w:right="260" w:hanging="149"/>
        <w:spacing w:after="0" w:line="246" w:lineRule="auto"/>
        <w:rPr>
          <w:sz w:val="20"/>
          <w:szCs w:val="20"/>
          <w:color w:val="auto"/>
        </w:rPr>
      </w:pPr>
      <w:r>
        <w:rPr>
          <w:rFonts w:ascii="Times New Roman" w:cs="Times New Roman" w:eastAsia="Times New Roman" w:hAnsi="Times New Roman"/>
          <w:sz w:val="20"/>
          <w:szCs w:val="20"/>
          <w:b w:val="1"/>
          <w:bCs w:val="1"/>
          <w:color w:val="4C4C4E"/>
        </w:rPr>
        <w:t>Percentage of new debt investment commitments at floating rates</w:t>
      </w:r>
    </w:p>
    <w:p>
      <w:pPr>
        <w:spacing w:after="0" w:line="1" w:lineRule="exact"/>
        <w:rPr>
          <w:sz w:val="20"/>
          <w:szCs w:val="20"/>
          <w:color w:val="auto"/>
        </w:rPr>
      </w:pPr>
    </w:p>
    <w:p>
      <w:pPr>
        <w:ind w:left="700" w:right="260" w:hanging="149"/>
        <w:spacing w:after="0" w:line="247" w:lineRule="auto"/>
        <w:rPr>
          <w:sz w:val="20"/>
          <w:szCs w:val="20"/>
          <w:color w:val="auto"/>
        </w:rPr>
      </w:pPr>
      <w:r>
        <w:rPr>
          <w:rFonts w:ascii="Times New Roman" w:cs="Times New Roman" w:eastAsia="Times New Roman" w:hAnsi="Times New Roman"/>
          <w:sz w:val="20"/>
          <w:szCs w:val="20"/>
          <w:b w:val="1"/>
          <w:bCs w:val="1"/>
          <w:color w:val="4C4C4E"/>
        </w:rPr>
        <w:t>Percentage of new debt investment commitments at fixed rates</w:t>
      </w:r>
    </w:p>
    <w:p>
      <w:pPr>
        <w:spacing w:after="0" w:line="1" w:lineRule="exact"/>
        <w:rPr>
          <w:sz w:val="20"/>
          <w:szCs w:val="20"/>
          <w:color w:val="auto"/>
        </w:rPr>
      </w:pPr>
    </w:p>
    <w:p>
      <w:pPr>
        <w:ind w:left="700" w:right="1200" w:hanging="149"/>
        <w:spacing w:after="0" w:line="247" w:lineRule="auto"/>
        <w:rPr>
          <w:sz w:val="20"/>
          <w:szCs w:val="20"/>
          <w:color w:val="auto"/>
        </w:rPr>
      </w:pPr>
      <w:r>
        <w:rPr>
          <w:rFonts w:ascii="Times New Roman" w:cs="Times New Roman" w:eastAsia="Times New Roman" w:hAnsi="Times New Roman"/>
          <w:sz w:val="20"/>
          <w:szCs w:val="20"/>
          <w:b w:val="1"/>
          <w:bCs w:val="1"/>
          <w:color w:val="4C4C4E"/>
        </w:rPr>
        <w:t>Weighted average interest rate of new investment commitments</w:t>
      </w:r>
    </w:p>
    <w:p>
      <w:pPr>
        <w:spacing w:after="0" w:line="1" w:lineRule="exact"/>
        <w:rPr>
          <w:sz w:val="20"/>
          <w:szCs w:val="20"/>
          <w:color w:val="auto"/>
        </w:rPr>
      </w:pPr>
    </w:p>
    <w:p>
      <w:pPr>
        <w:ind w:left="700" w:hanging="149"/>
        <w:spacing w:after="0" w:line="247" w:lineRule="auto"/>
        <w:rPr>
          <w:sz w:val="20"/>
          <w:szCs w:val="20"/>
          <w:color w:val="auto"/>
        </w:rPr>
      </w:pPr>
      <w:r>
        <w:rPr>
          <w:rFonts w:ascii="Times New Roman" w:cs="Times New Roman" w:eastAsia="Times New Roman" w:hAnsi="Times New Roman"/>
          <w:sz w:val="20"/>
          <w:szCs w:val="20"/>
          <w:b w:val="1"/>
          <w:bCs w:val="1"/>
          <w:color w:val="4C4C4E"/>
        </w:rPr>
        <w:t>Weighted average spread over reference rate of new floating rate investment commitments</w:t>
      </w:r>
    </w:p>
    <w:p>
      <w:pPr>
        <w:spacing w:after="0" w:line="1" w:lineRule="exact"/>
        <w:rPr>
          <w:sz w:val="20"/>
          <w:szCs w:val="20"/>
          <w:color w:val="auto"/>
        </w:rPr>
      </w:pPr>
    </w:p>
    <w:p>
      <w:pPr>
        <w:ind w:left="700" w:right="500" w:hanging="149"/>
        <w:spacing w:after="0" w:line="254" w:lineRule="auto"/>
        <w:rPr>
          <w:sz w:val="20"/>
          <w:szCs w:val="20"/>
          <w:color w:val="auto"/>
        </w:rPr>
      </w:pPr>
      <w:r>
        <w:rPr>
          <w:rFonts w:ascii="Times New Roman" w:cs="Times New Roman" w:eastAsia="Times New Roman" w:hAnsi="Times New Roman"/>
          <w:sz w:val="20"/>
          <w:szCs w:val="20"/>
          <w:b w:val="1"/>
          <w:bCs w:val="1"/>
          <w:color w:val="4C4C4E"/>
        </w:rPr>
        <w:t>Weighted average interest rate on investments fully sold or paid down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-2945765</wp:posOffset>
                </wp:positionH>
                <wp:positionV relativeFrom="paragraph">
                  <wp:posOffset>12700</wp:posOffset>
                </wp:positionV>
                <wp:extent cx="6171565" cy="15494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154940"/>
                        </a:xfrm>
                        <a:prstGeom prst="rect">
                          <a:avLst/>
                        </a:prstGeom>
                        <a:solidFill>
                          <a:srgbClr val="D8EEF4"/>
                        </a:solidFill>
                      </wps:spPr>
                      <wps:bodyPr/>
                    </wps:wsp>
                  </a:graphicData>
                </a:graphic>
              </wp:anchor>
            </w:drawing>
          </mc:Choice>
          <mc:Fallback>
            <w:pict>
              <v:rect id="Shape 28" o:spid="_x0000_s1053" style="position:absolute;margin-left:-231.9499pt;margin-top:1pt;width:485.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-2945765</wp:posOffset>
                </wp:positionH>
                <wp:positionV relativeFrom="paragraph">
                  <wp:posOffset>12700</wp:posOffset>
                </wp:positionV>
                <wp:extent cx="6171565" cy="15494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154940"/>
                        </a:xfrm>
                        <a:prstGeom prst="rect">
                          <a:avLst/>
                        </a:prstGeom>
                        <a:solidFill>
                          <a:srgbClr val="D8EEF4"/>
                        </a:solidFill>
                      </wps:spPr>
                      <wps:bodyPr/>
                    </wps:wsp>
                  </a:graphicData>
                </a:graphic>
              </wp:anchor>
            </w:drawing>
          </mc:Choice>
          <mc:Fallback>
            <w:pict>
              <v:rect id="Shape 29" o:spid="_x0000_s1054" style="position:absolute;margin-left:-231.9499pt;margin-top:1pt;width:485.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-2945765</wp:posOffset>
                </wp:positionH>
                <wp:positionV relativeFrom="paragraph">
                  <wp:posOffset>12700</wp:posOffset>
                </wp:positionV>
                <wp:extent cx="6171565" cy="15494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154940"/>
                        </a:xfrm>
                        <a:prstGeom prst="rect">
                          <a:avLst/>
                        </a:prstGeom>
                        <a:solidFill>
                          <a:srgbClr val="D8EEF4"/>
                        </a:solidFill>
                      </wps:spPr>
                      <wps:bodyPr/>
                    </wps:wsp>
                  </a:graphicData>
                </a:graphic>
              </wp:anchor>
            </w:drawing>
          </mc:Choice>
          <mc:Fallback>
            <w:pict>
              <v:rect id="Shape 30" o:spid="_x0000_s1055" style="position:absolute;margin-left:-231.9499pt;margin-top:1pt;width:485.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-2945765</wp:posOffset>
                </wp:positionH>
                <wp:positionV relativeFrom="paragraph">
                  <wp:posOffset>322580</wp:posOffset>
                </wp:positionV>
                <wp:extent cx="6171565" cy="15494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154940"/>
                        </a:xfrm>
                        <a:prstGeom prst="rect">
                          <a:avLst/>
                        </a:prstGeom>
                        <a:solidFill>
                          <a:srgbClr val="D8EEF4"/>
                        </a:solidFill>
                      </wps:spPr>
                      <wps:bodyPr/>
                    </wps:wsp>
                  </a:graphicData>
                </a:graphic>
              </wp:anchor>
            </w:drawing>
          </mc:Choice>
          <mc:Fallback>
            <w:pict>
              <v:rect id="Shape 31" o:spid="_x0000_s1056" style="position:absolute;margin-left:-231.9499pt;margin-top:25.4pt;width:485.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-2945765</wp:posOffset>
                </wp:positionH>
                <wp:positionV relativeFrom="paragraph">
                  <wp:posOffset>-141605</wp:posOffset>
                </wp:positionV>
                <wp:extent cx="6171565" cy="15430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154305"/>
                        </a:xfrm>
                        <a:prstGeom prst="rect">
                          <a:avLst/>
                        </a:prstGeom>
                        <a:solidFill>
                          <a:srgbClr val="D8EEF4"/>
                        </a:solidFill>
                      </wps:spPr>
                      <wps:bodyPr/>
                    </wps:wsp>
                  </a:graphicData>
                </a:graphic>
              </wp:anchor>
            </w:drawing>
          </mc:Choice>
          <mc:Fallback>
            <w:pict>
              <v:rect id="Shape 32" o:spid="_x0000_s1057" style="position:absolute;margin-left:-231.9499pt;margin-top:-11.1499pt;width:485.9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-2945765</wp:posOffset>
                </wp:positionH>
                <wp:positionV relativeFrom="paragraph">
                  <wp:posOffset>167640</wp:posOffset>
                </wp:positionV>
                <wp:extent cx="6171565" cy="15494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154940"/>
                        </a:xfrm>
                        <a:prstGeom prst="rect">
                          <a:avLst/>
                        </a:prstGeom>
                        <a:solidFill>
                          <a:srgbClr val="D8EEF4"/>
                        </a:solidFill>
                      </wps:spPr>
                      <wps:bodyPr/>
                    </wps:wsp>
                  </a:graphicData>
                </a:graphic>
              </wp:anchor>
            </w:drawing>
          </mc:Choice>
          <mc:Fallback>
            <w:pict>
              <v:rect id="Shape 33" o:spid="_x0000_s1058" style="position:absolute;margin-left:-231.9499pt;margin-top:13.2pt;width:485.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-2945765</wp:posOffset>
                </wp:positionH>
                <wp:positionV relativeFrom="paragraph">
                  <wp:posOffset>477520</wp:posOffset>
                </wp:positionV>
                <wp:extent cx="6171565" cy="15494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154940"/>
                        </a:xfrm>
                        <a:prstGeom prst="rect">
                          <a:avLst/>
                        </a:prstGeom>
                        <a:solidFill>
                          <a:srgbClr val="D8EEF4"/>
                        </a:solidFill>
                      </wps:spPr>
                      <wps:bodyPr/>
                    </wps:wsp>
                  </a:graphicData>
                </a:graphic>
              </wp:anchor>
            </w:drawing>
          </mc:Choice>
          <mc:Fallback>
            <w:pict>
              <v:rect id="Shape 34" o:spid="_x0000_s1059" style="position:absolute;margin-left:-231.9499pt;margin-top:37.6pt;width:485.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-2945765</wp:posOffset>
                </wp:positionH>
                <wp:positionV relativeFrom="paragraph">
                  <wp:posOffset>12700</wp:posOffset>
                </wp:positionV>
                <wp:extent cx="6171565" cy="44704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47040"/>
                        </a:xfrm>
                        <a:prstGeom prst="rect">
                          <a:avLst/>
                        </a:prstGeom>
                        <a:solidFill>
                          <a:srgbClr val="D8EEF4"/>
                        </a:solidFill>
                      </wps:spPr>
                      <wps:bodyPr/>
                    </wps:wsp>
                  </a:graphicData>
                </a:graphic>
              </wp:anchor>
            </w:drawing>
          </mc:Choice>
          <mc:Fallback>
            <w:pict>
              <v:rect id="Shape 35" o:spid="_x0000_s1060" style="position:absolute;margin-left:-231.9499pt;margin-top:1pt;width:485.95pt;height:3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-2945765</wp:posOffset>
                </wp:positionH>
                <wp:positionV relativeFrom="paragraph">
                  <wp:posOffset>760730</wp:posOffset>
                </wp:positionV>
                <wp:extent cx="6171565" cy="30099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300990"/>
                        </a:xfrm>
                        <a:prstGeom prst="rect">
                          <a:avLst/>
                        </a:prstGeom>
                        <a:solidFill>
                          <a:srgbClr val="D8EEF4"/>
                        </a:solidFill>
                      </wps:spPr>
                      <wps:bodyPr/>
                    </wps:wsp>
                  </a:graphicData>
                </a:graphic>
              </wp:anchor>
            </w:drawing>
          </mc:Choice>
          <mc:Fallback>
            <w:pict>
              <v:rect id="Shape 36" o:spid="_x0000_s1061" style="position:absolute;margin-left:-231.9499pt;margin-top:59.9pt;width:485.9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-2945765</wp:posOffset>
                </wp:positionH>
                <wp:positionV relativeFrom="paragraph">
                  <wp:posOffset>1362710</wp:posOffset>
                </wp:positionV>
                <wp:extent cx="6171565" cy="30099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300990"/>
                        </a:xfrm>
                        <a:prstGeom prst="rect">
                          <a:avLst/>
                        </a:prstGeom>
                        <a:solidFill>
                          <a:srgbClr val="D8EEF4"/>
                        </a:solidFill>
                      </wps:spPr>
                      <wps:bodyPr/>
                    </wps:wsp>
                  </a:graphicData>
                </a:graphic>
              </wp:anchor>
            </w:drawing>
          </mc:Choice>
          <mc:Fallback>
            <w:pict>
              <v:rect id="Shape 37" o:spid="_x0000_s1062" style="position:absolute;margin-left:-231.9499pt;margin-top:107.3pt;width:485.9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6"/>
              </w:rPr>
              <w:t>7,118.2</w:t>
            </w:r>
          </w:p>
        </w:tc>
        <w:tc>
          <w:tcPr>
            <w:tcW w:w="26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15,354.7</w:t>
            </w:r>
          </w:p>
        </w:tc>
        <w:tc>
          <w:tcPr>
            <w:tcW w:w="260" w:type="dxa"/>
            <w:vAlign w:val="bottom"/>
          </w:tcPr>
          <w:p>
            <w:pPr>
              <w:spacing w:after="0"/>
              <w:rPr>
                <w:sz w:val="21"/>
                <w:szCs w:val="21"/>
                <w:color w:val="auto"/>
              </w:rPr>
            </w:pP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6,516.6</w:t>
            </w:r>
          </w:p>
        </w:tc>
        <w:tc>
          <w:tcPr>
            <w:tcW w:w="260" w:type="dxa"/>
            <w:vAlign w:val="bottom"/>
          </w:tcPr>
          <w:p>
            <w:pPr>
              <w:spacing w:after="0"/>
              <w:rPr>
                <w:sz w:val="21"/>
                <w:szCs w:val="21"/>
                <w:color w:val="auto"/>
              </w:rPr>
            </w:pPr>
          </w:p>
        </w:tc>
      </w:tr>
      <w:tr>
        <w:trPr>
          <w:trHeight w:val="249"/>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6"/>
              </w:rPr>
              <w:t>6,036.0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4C4C4E"/>
            </w:tcBorders>
          </w:tcPr>
          <w:p>
            <w:pPr>
              <w:spacing w:after="0"/>
              <w:rPr>
                <w:sz w:val="21"/>
                <w:szCs w:val="21"/>
                <w:color w:val="auto"/>
              </w:rPr>
            </w:pPr>
          </w:p>
        </w:tc>
        <w:tc>
          <w:tcPr>
            <w:tcW w:w="9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14,111.8</w:t>
            </w:r>
          </w:p>
        </w:tc>
        <w:tc>
          <w:tcPr>
            <w:tcW w:w="260" w:type="dxa"/>
            <w:vAlign w:val="bottom"/>
          </w:tcPr>
          <w:p>
            <w:pPr>
              <w:spacing w:after="0"/>
              <w:rPr>
                <w:sz w:val="21"/>
                <w:szCs w:val="21"/>
                <w:color w:val="auto"/>
              </w:rPr>
            </w:pPr>
          </w:p>
        </w:tc>
        <w:tc>
          <w:tcPr>
            <w:tcW w:w="500" w:type="dxa"/>
            <w:vAlign w:val="bottom"/>
            <w:tcBorders>
              <w:bottom w:val="single" w:sz="8" w:color="4C4C4E"/>
            </w:tcBorders>
          </w:tcPr>
          <w:p>
            <w:pPr>
              <w:spacing w:after="0"/>
              <w:rPr>
                <w:sz w:val="21"/>
                <w:szCs w:val="21"/>
                <w:color w:val="auto"/>
              </w:rPr>
            </w:pPr>
          </w:p>
        </w:tc>
        <w:tc>
          <w:tcPr>
            <w:tcW w:w="9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5,558.0</w:t>
            </w:r>
          </w:p>
        </w:tc>
        <w:tc>
          <w:tcPr>
            <w:tcW w:w="260" w:type="dxa"/>
            <w:vAlign w:val="bottom"/>
          </w:tcPr>
          <w:p>
            <w:pPr>
              <w:spacing w:after="0"/>
              <w:rPr>
                <w:sz w:val="21"/>
                <w:szCs w:val="21"/>
                <w:color w:val="auto"/>
              </w:rPr>
            </w:pPr>
          </w:p>
        </w:tc>
      </w:tr>
      <w:tr>
        <w:trPr>
          <w:trHeight w:val="261"/>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6"/>
              </w:rPr>
              <w:t>1,082.2</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1,242.9</w:t>
            </w:r>
          </w:p>
        </w:tc>
        <w:tc>
          <w:tcPr>
            <w:tcW w:w="260" w:type="dxa"/>
            <w:vAlign w:val="bottom"/>
          </w:tcPr>
          <w:p>
            <w:pPr>
              <w:spacing w:after="0"/>
              <w:rPr>
                <w:sz w:val="22"/>
                <w:szCs w:val="22"/>
                <w:color w:val="auto"/>
              </w:rPr>
            </w:pP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958.6</w:t>
            </w:r>
          </w:p>
        </w:tc>
        <w:tc>
          <w:tcPr>
            <w:tcW w:w="260" w:type="dxa"/>
            <w:vAlign w:val="bottom"/>
          </w:tcPr>
          <w:p>
            <w:pPr>
              <w:spacing w:after="0"/>
              <w:rPr>
                <w:sz w:val="22"/>
                <w:szCs w:val="22"/>
                <w:color w:val="auto"/>
              </w:rPr>
            </w:pPr>
          </w:p>
        </w:tc>
      </w:tr>
      <w:tr>
        <w:trPr>
          <w:trHeight w:val="460"/>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735.6</w:t>
            </w:r>
          </w:p>
        </w:tc>
        <w:tc>
          <w:tcPr>
            <w:tcW w:w="2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823.9</w:t>
            </w:r>
          </w:p>
        </w:tc>
        <w:tc>
          <w:tcPr>
            <w:tcW w:w="260" w:type="dxa"/>
            <w:vAlign w:val="bottom"/>
          </w:tcPr>
          <w:p>
            <w:pPr>
              <w:spacing w:after="0"/>
              <w:rPr>
                <w:sz w:val="24"/>
                <w:szCs w:val="24"/>
                <w:color w:val="auto"/>
              </w:rPr>
            </w:pP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753.4</w:t>
            </w:r>
          </w:p>
        </w:tc>
        <w:tc>
          <w:tcPr>
            <w:tcW w:w="260" w:type="dxa"/>
            <w:vAlign w:val="bottom"/>
          </w:tcPr>
          <w:p>
            <w:pPr>
              <w:spacing w:after="0"/>
              <w:rPr>
                <w:sz w:val="24"/>
                <w:szCs w:val="24"/>
                <w:color w:val="auto"/>
              </w:rPr>
            </w:pPr>
          </w:p>
        </w:tc>
      </w:tr>
      <w:tr>
        <w:trPr>
          <w:trHeight w:val="244"/>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18.9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2.1</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8.4</w:t>
            </w:r>
          </w:p>
        </w:tc>
        <w:tc>
          <w:tcPr>
            <w:tcW w:w="260" w:type="dxa"/>
            <w:vAlign w:val="bottom"/>
          </w:tcPr>
          <w:p>
            <w:pPr>
              <w:spacing w:after="0"/>
              <w:rPr>
                <w:sz w:val="21"/>
                <w:szCs w:val="21"/>
                <w:color w:val="auto"/>
              </w:rPr>
            </w:pPr>
          </w:p>
        </w:tc>
      </w:tr>
      <w:tr>
        <w:trPr>
          <w:trHeight w:val="244"/>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32.2</w:t>
            </w:r>
          </w:p>
        </w:tc>
        <w:tc>
          <w:tcPr>
            <w:tcW w:w="260" w:type="dxa"/>
            <w:vAlign w:val="bottom"/>
          </w:tcPr>
          <w:p>
            <w:pPr>
              <w:spacing w:after="0"/>
              <w:rPr>
                <w:sz w:val="21"/>
                <w:szCs w:val="21"/>
                <w:color w:val="auto"/>
              </w:rPr>
            </w:pPr>
          </w:p>
        </w:tc>
      </w:tr>
      <w:tr>
        <w:trPr>
          <w:trHeight w:val="244"/>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10.8</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12.8</w:t>
            </w:r>
          </w:p>
        </w:tc>
        <w:tc>
          <w:tcPr>
            <w:tcW w:w="260" w:type="dxa"/>
            <w:vAlign w:val="bottom"/>
          </w:tcPr>
          <w:p>
            <w:pPr>
              <w:spacing w:after="0"/>
              <w:rPr>
                <w:sz w:val="21"/>
                <w:szCs w:val="21"/>
                <w:color w:val="auto"/>
              </w:rPr>
            </w:pPr>
          </w:p>
        </w:tc>
      </w:tr>
      <w:tr>
        <w:trPr>
          <w:trHeight w:val="249"/>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114.9</w:t>
            </w:r>
          </w:p>
        </w:tc>
        <w:tc>
          <w:tcPr>
            <w:tcW w:w="260" w:type="dxa"/>
            <w:vAlign w:val="bottom"/>
            <w:tcBorders>
              <w:bottom w:val="single" w:sz="8" w:color="D8EEF4"/>
            </w:tcBorders>
          </w:tcPr>
          <w:p>
            <w:pPr>
              <w:spacing w:after="0"/>
              <w:rPr>
                <w:sz w:val="21"/>
                <w:szCs w:val="21"/>
                <w:color w:val="auto"/>
              </w:rPr>
            </w:pPr>
          </w:p>
        </w:tc>
        <w:tc>
          <w:tcPr>
            <w:tcW w:w="100" w:type="dxa"/>
            <w:vAlign w:val="bottom"/>
            <w:tcBorders>
              <w:bottom w:val="single" w:sz="8" w:color="D8EEF4"/>
            </w:tcBorders>
          </w:tcPr>
          <w:p>
            <w:pPr>
              <w:spacing w:after="0"/>
              <w:rPr>
                <w:sz w:val="21"/>
                <w:szCs w:val="21"/>
                <w:color w:val="auto"/>
              </w:rPr>
            </w:pPr>
          </w:p>
        </w:tc>
        <w:tc>
          <w:tcPr>
            <w:tcW w:w="360" w:type="dxa"/>
            <w:vAlign w:val="bottom"/>
            <w:tcBorders>
              <w:bottom w:val="single" w:sz="8" w:color="4C4C4E"/>
            </w:tcBorders>
          </w:tcPr>
          <w:p>
            <w:pPr>
              <w:spacing w:after="0"/>
              <w:rPr>
                <w:sz w:val="21"/>
                <w:szCs w:val="21"/>
                <w:color w:val="auto"/>
              </w:rPr>
            </w:pPr>
          </w:p>
        </w:tc>
        <w:tc>
          <w:tcPr>
            <w:tcW w:w="9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1.0</w:t>
            </w:r>
          </w:p>
        </w:tc>
        <w:tc>
          <w:tcPr>
            <w:tcW w:w="260" w:type="dxa"/>
            <w:vAlign w:val="bottom"/>
            <w:tcBorders>
              <w:bottom w:val="single" w:sz="8" w:color="D8EEF4"/>
            </w:tcBorders>
          </w:tcPr>
          <w:p>
            <w:pPr>
              <w:spacing w:after="0"/>
              <w:rPr>
                <w:sz w:val="21"/>
                <w:szCs w:val="21"/>
                <w:color w:val="auto"/>
              </w:rPr>
            </w:pPr>
          </w:p>
        </w:tc>
        <w:tc>
          <w:tcPr>
            <w:tcW w:w="500" w:type="dxa"/>
            <w:vAlign w:val="bottom"/>
            <w:tcBorders>
              <w:bottom w:val="single" w:sz="8" w:color="4C4C4E"/>
            </w:tcBorders>
          </w:tcPr>
          <w:p>
            <w:pPr>
              <w:spacing w:after="0"/>
              <w:rPr>
                <w:sz w:val="21"/>
                <w:szCs w:val="21"/>
                <w:color w:val="auto"/>
              </w:rPr>
            </w:pPr>
          </w:p>
        </w:tc>
        <w:tc>
          <w:tcPr>
            <w:tcW w:w="9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1.6</w:t>
            </w:r>
          </w:p>
        </w:tc>
        <w:tc>
          <w:tcPr>
            <w:tcW w:w="260" w:type="dxa"/>
            <w:vAlign w:val="bottom"/>
            <w:tcBorders>
              <w:bottom w:val="single" w:sz="8" w:color="D8EEF4"/>
            </w:tcBorders>
          </w:tcPr>
          <w:p>
            <w:pPr>
              <w:spacing w:after="0"/>
              <w:rPr>
                <w:sz w:val="21"/>
                <w:szCs w:val="21"/>
                <w:color w:val="auto"/>
              </w:rPr>
            </w:pPr>
          </w:p>
        </w:tc>
      </w:tr>
      <w:tr>
        <w:trPr>
          <w:trHeight w:val="239"/>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894.0</w:t>
            </w:r>
          </w:p>
        </w:tc>
        <w:tc>
          <w:tcPr>
            <w:tcW w:w="26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360" w:type="dxa"/>
            <w:vAlign w:val="bottom"/>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838.9</w:t>
            </w:r>
          </w:p>
        </w:tc>
        <w:tc>
          <w:tcPr>
            <w:tcW w:w="260" w:type="dxa"/>
            <w:vAlign w:val="bottom"/>
            <w:shd w:val="clear" w:color="auto" w:fill="D8EEF4"/>
          </w:tcPr>
          <w:p>
            <w:pPr>
              <w:spacing w:after="0"/>
              <w:rPr>
                <w:sz w:val="20"/>
                <w:szCs w:val="20"/>
                <w:color w:val="auto"/>
              </w:rPr>
            </w:pPr>
          </w:p>
        </w:tc>
        <w:tc>
          <w:tcPr>
            <w:tcW w:w="500" w:type="dxa"/>
            <w:vAlign w:val="bottom"/>
            <w:shd w:val="clear" w:color="auto" w:fill="D8EEF4"/>
          </w:tcPr>
          <w:p>
            <w:pPr>
              <w:jc w:val="right"/>
              <w:ind w:right="200"/>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808.4</w:t>
            </w:r>
          </w:p>
        </w:tc>
        <w:tc>
          <w:tcPr>
            <w:tcW w:w="260" w:type="dxa"/>
            <w:vAlign w:val="bottom"/>
            <w:shd w:val="clear" w:color="auto" w:fill="D8EEF4"/>
          </w:tcPr>
          <w:p>
            <w:pPr>
              <w:spacing w:after="0"/>
              <w:rPr>
                <w:sz w:val="20"/>
                <w:szCs w:val="20"/>
                <w:color w:val="auto"/>
              </w:rPr>
            </w:pPr>
          </w:p>
        </w:tc>
      </w:tr>
      <w:tr>
        <w:trPr>
          <w:trHeight w:val="483"/>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6"/>
              </w:rPr>
              <w:t>1,166.1</w:t>
            </w:r>
          </w:p>
        </w:tc>
        <w:tc>
          <w:tcPr>
            <w:tcW w:w="2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717.3</w:t>
            </w:r>
          </w:p>
        </w:tc>
        <w:tc>
          <w:tcPr>
            <w:tcW w:w="260" w:type="dxa"/>
            <w:vAlign w:val="bottom"/>
          </w:tcPr>
          <w:p>
            <w:pPr>
              <w:spacing w:after="0"/>
              <w:rPr>
                <w:sz w:val="24"/>
                <w:szCs w:val="24"/>
                <w:color w:val="auto"/>
              </w:rPr>
            </w:pP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460.3</w:t>
            </w:r>
          </w:p>
        </w:tc>
        <w:tc>
          <w:tcPr>
            <w:tcW w:w="260" w:type="dxa"/>
            <w:vAlign w:val="bottom"/>
          </w:tcPr>
          <w:p>
            <w:pPr>
              <w:spacing w:after="0"/>
              <w:rPr>
                <w:sz w:val="24"/>
                <w:szCs w:val="24"/>
                <w:color w:val="auto"/>
              </w:rPr>
            </w:pPr>
          </w:p>
        </w:tc>
      </w:tr>
      <w:tr>
        <w:trPr>
          <w:trHeight w:val="244"/>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w:t>
            </w:r>
          </w:p>
        </w:tc>
        <w:tc>
          <w:tcPr>
            <w:tcW w:w="50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4.9</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7.9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13.6</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6.0</w:t>
            </w:r>
          </w:p>
        </w:tc>
        <w:tc>
          <w:tcPr>
            <w:tcW w:w="260" w:type="dxa"/>
            <w:vAlign w:val="bottom"/>
          </w:tcPr>
          <w:p>
            <w:pPr>
              <w:spacing w:after="0"/>
              <w:rPr>
                <w:sz w:val="21"/>
                <w:szCs w:val="21"/>
                <w:color w:val="auto"/>
              </w:rPr>
            </w:pPr>
          </w:p>
        </w:tc>
      </w:tr>
      <w:tr>
        <w:trPr>
          <w:trHeight w:val="249"/>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18.7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4C4C4E"/>
            </w:tcBorders>
          </w:tcPr>
          <w:p>
            <w:pPr>
              <w:spacing w:after="0"/>
              <w:rPr>
                <w:sz w:val="21"/>
                <w:szCs w:val="21"/>
                <w:color w:val="auto"/>
              </w:rPr>
            </w:pPr>
          </w:p>
        </w:tc>
        <w:tc>
          <w:tcPr>
            <w:tcW w:w="9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57.9</w:t>
            </w:r>
          </w:p>
        </w:tc>
        <w:tc>
          <w:tcPr>
            <w:tcW w:w="260" w:type="dxa"/>
            <w:vAlign w:val="bottom"/>
          </w:tcPr>
          <w:p>
            <w:pPr>
              <w:spacing w:after="0"/>
              <w:rPr>
                <w:sz w:val="21"/>
                <w:szCs w:val="21"/>
                <w:color w:val="auto"/>
              </w:rPr>
            </w:pPr>
          </w:p>
        </w:tc>
        <w:tc>
          <w:tcPr>
            <w:tcW w:w="500" w:type="dxa"/>
            <w:vAlign w:val="bottom"/>
            <w:tcBorders>
              <w:bottom w:val="single" w:sz="8" w:color="4C4C4E"/>
            </w:tcBorders>
          </w:tcPr>
          <w:p>
            <w:pPr>
              <w:spacing w:after="0"/>
              <w:rPr>
                <w:sz w:val="21"/>
                <w:szCs w:val="21"/>
                <w:color w:val="auto"/>
              </w:rPr>
            </w:pPr>
          </w:p>
        </w:tc>
        <w:tc>
          <w:tcPr>
            <w:tcW w:w="9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2.8</w:t>
            </w:r>
          </w:p>
        </w:tc>
        <w:tc>
          <w:tcPr>
            <w:tcW w:w="260" w:type="dxa"/>
            <w:vAlign w:val="bottom"/>
          </w:tcPr>
          <w:p>
            <w:pPr>
              <w:spacing w:after="0"/>
              <w:rPr>
                <w:sz w:val="21"/>
                <w:szCs w:val="21"/>
                <w:color w:val="auto"/>
              </w:rPr>
            </w:pPr>
          </w:p>
        </w:tc>
      </w:tr>
      <w:tr>
        <w:trPr>
          <w:trHeight w:val="239"/>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6"/>
              </w:rPr>
              <w:t>1,196.1</w:t>
            </w:r>
          </w:p>
        </w:tc>
        <w:tc>
          <w:tcPr>
            <w:tcW w:w="260" w:type="dxa"/>
            <w:vAlign w:val="bottom"/>
            <w:tcBorders>
              <w:bottom w:val="single" w:sz="8" w:color="D8EEF4"/>
            </w:tcBorders>
          </w:tcPr>
          <w:p>
            <w:pPr>
              <w:spacing w:after="0"/>
              <w:rPr>
                <w:sz w:val="20"/>
                <w:szCs w:val="20"/>
                <w:color w:val="auto"/>
              </w:rPr>
            </w:pPr>
          </w:p>
        </w:tc>
        <w:tc>
          <w:tcPr>
            <w:tcW w:w="100" w:type="dxa"/>
            <w:vAlign w:val="bottom"/>
            <w:tcBorders>
              <w:bottom w:val="single" w:sz="8" w:color="D8EEF4"/>
            </w:tcBorders>
          </w:tcPr>
          <w:p>
            <w:pPr>
              <w:spacing w:after="0"/>
              <w:rPr>
                <w:sz w:val="20"/>
                <w:szCs w:val="20"/>
                <w:color w:val="auto"/>
              </w:rPr>
            </w:pPr>
          </w:p>
        </w:tc>
        <w:tc>
          <w:tcPr>
            <w:tcW w:w="360" w:type="dxa"/>
            <w:vAlign w:val="bottom"/>
            <w:tcBorders>
              <w:bottom w:val="single" w:sz="8" w:color="4C4C4E"/>
            </w:tcBorders>
          </w:tcPr>
          <w:p>
            <w:pPr>
              <w:jc w:val="right"/>
              <w:ind w:right="160"/>
              <w:spacing w:after="0"/>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793.7</w:t>
            </w:r>
          </w:p>
        </w:tc>
        <w:tc>
          <w:tcPr>
            <w:tcW w:w="260" w:type="dxa"/>
            <w:vAlign w:val="bottom"/>
            <w:tcBorders>
              <w:bottom w:val="single" w:sz="8" w:color="D8EEF4"/>
            </w:tcBorders>
          </w:tcPr>
          <w:p>
            <w:pPr>
              <w:spacing w:after="0"/>
              <w:rPr>
                <w:sz w:val="20"/>
                <w:szCs w:val="20"/>
                <w:color w:val="auto"/>
              </w:rPr>
            </w:pPr>
          </w:p>
        </w:tc>
        <w:tc>
          <w:tcPr>
            <w:tcW w:w="500" w:type="dxa"/>
            <w:vAlign w:val="bottom"/>
            <w:tcBorders>
              <w:bottom w:val="single" w:sz="8" w:color="4C4C4E"/>
            </w:tcBorders>
          </w:tcPr>
          <w:p>
            <w:pPr>
              <w:jc w:val="right"/>
              <w:ind w:right="200"/>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469.1</w:t>
            </w:r>
          </w:p>
        </w:tc>
        <w:tc>
          <w:tcPr>
            <w:tcW w:w="260" w:type="dxa"/>
            <w:vAlign w:val="bottom"/>
            <w:tcBorders>
              <w:bottom w:val="single" w:sz="8" w:color="D8EEF4"/>
            </w:tcBorders>
          </w:tcPr>
          <w:p>
            <w:pPr>
              <w:spacing w:after="0"/>
              <w:rPr>
                <w:sz w:val="20"/>
                <w:szCs w:val="20"/>
                <w:color w:val="auto"/>
              </w:rPr>
            </w:pPr>
          </w:p>
        </w:tc>
      </w:tr>
      <w:tr>
        <w:trPr>
          <w:trHeight w:val="469"/>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65</w:t>
            </w:r>
          </w:p>
        </w:tc>
        <w:tc>
          <w:tcPr>
            <w:tcW w:w="260" w:type="dxa"/>
            <w:vAlign w:val="bottom"/>
            <w:shd w:val="clear" w:color="auto" w:fill="D8EEF4"/>
          </w:tcPr>
          <w:p>
            <w:pPr>
              <w:spacing w:after="0"/>
              <w:rPr>
                <w:sz w:val="24"/>
                <w:szCs w:val="24"/>
                <w:color w:val="auto"/>
              </w:rPr>
            </w:pPr>
          </w:p>
        </w:tc>
        <w:tc>
          <w:tcPr>
            <w:tcW w:w="100" w:type="dxa"/>
            <w:vAlign w:val="bottom"/>
            <w:shd w:val="clear" w:color="auto" w:fill="D8EEF4"/>
          </w:tcPr>
          <w:p>
            <w:pPr>
              <w:spacing w:after="0"/>
              <w:rPr>
                <w:sz w:val="24"/>
                <w:szCs w:val="24"/>
                <w:color w:val="auto"/>
              </w:rPr>
            </w:pPr>
          </w:p>
        </w:tc>
        <w:tc>
          <w:tcPr>
            <w:tcW w:w="360" w:type="dxa"/>
            <w:vAlign w:val="bottom"/>
            <w:shd w:val="clear" w:color="auto" w:fill="D8EEF4"/>
          </w:tcPr>
          <w:p>
            <w:pPr>
              <w:spacing w:after="0"/>
              <w:rPr>
                <w:sz w:val="24"/>
                <w:szCs w:val="24"/>
                <w:color w:val="auto"/>
              </w:rPr>
            </w:pP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34</w:t>
            </w:r>
          </w:p>
        </w:tc>
        <w:tc>
          <w:tcPr>
            <w:tcW w:w="260" w:type="dxa"/>
            <w:vAlign w:val="bottom"/>
            <w:shd w:val="clear" w:color="auto" w:fill="D8EEF4"/>
          </w:tcPr>
          <w:p>
            <w:pPr>
              <w:spacing w:after="0"/>
              <w:rPr>
                <w:sz w:val="24"/>
                <w:szCs w:val="24"/>
                <w:color w:val="auto"/>
              </w:rPr>
            </w:pPr>
          </w:p>
        </w:tc>
        <w:tc>
          <w:tcPr>
            <w:tcW w:w="500" w:type="dxa"/>
            <w:vAlign w:val="bottom"/>
            <w:shd w:val="clear" w:color="auto" w:fill="D8EEF4"/>
          </w:tcPr>
          <w:p>
            <w:pPr>
              <w:spacing w:after="0"/>
              <w:rPr>
                <w:sz w:val="24"/>
                <w:szCs w:val="24"/>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w:t>
            </w:r>
          </w:p>
        </w:tc>
        <w:tc>
          <w:tcPr>
            <w:tcW w:w="260" w:type="dxa"/>
            <w:vAlign w:val="bottom"/>
            <w:shd w:val="clear" w:color="auto" w:fill="D8EEF4"/>
          </w:tcPr>
          <w:p>
            <w:pPr>
              <w:spacing w:after="0"/>
              <w:rPr>
                <w:sz w:val="24"/>
                <w:szCs w:val="24"/>
                <w:color w:val="auto"/>
              </w:rPr>
            </w:pPr>
          </w:p>
        </w:tc>
      </w:tr>
      <w:tr>
        <w:trPr>
          <w:trHeight w:val="491"/>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14.2</w:t>
            </w:r>
          </w:p>
        </w:tc>
        <w:tc>
          <w:tcPr>
            <w:tcW w:w="2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30.4</w:t>
            </w:r>
          </w:p>
        </w:tc>
        <w:tc>
          <w:tcPr>
            <w:tcW w:w="260" w:type="dxa"/>
            <w:vAlign w:val="bottom"/>
          </w:tcPr>
          <w:p>
            <w:pPr>
              <w:spacing w:after="0"/>
              <w:rPr>
                <w:sz w:val="24"/>
                <w:szCs w:val="24"/>
                <w:color w:val="auto"/>
              </w:rPr>
            </w:pP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29.2</w:t>
            </w:r>
          </w:p>
        </w:tc>
        <w:tc>
          <w:tcPr>
            <w:tcW w:w="260" w:type="dxa"/>
            <w:vAlign w:val="bottom"/>
          </w:tcPr>
          <w:p>
            <w:pPr>
              <w:spacing w:after="0"/>
              <w:rPr>
                <w:sz w:val="24"/>
                <w:szCs w:val="24"/>
                <w:color w:val="auto"/>
              </w:rPr>
            </w:pPr>
          </w:p>
        </w:tc>
      </w:tr>
      <w:tr>
        <w:trPr>
          <w:trHeight w:val="704"/>
        </w:trPr>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6.2</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6.0</w:t>
            </w:r>
          </w:p>
        </w:tc>
        <w:tc>
          <w:tcPr>
            <w:tcW w:w="260" w:type="dxa"/>
            <w:vAlign w:val="bottom"/>
          </w:tcPr>
          <w:p>
            <w:pPr>
              <w:spacing w:after="0"/>
              <w:rPr>
                <w:sz w:val="24"/>
                <w:szCs w:val="24"/>
                <w:color w:val="auto"/>
              </w:rPr>
            </w:pPr>
          </w:p>
        </w:tc>
      </w:tr>
      <w:tr>
        <w:trPr>
          <w:trHeight w:val="474"/>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97.8%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87.6%</w:t>
            </w:r>
          </w:p>
        </w:tc>
        <w:tc>
          <w:tcPr>
            <w:tcW w:w="50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99.5%</w:t>
            </w:r>
          </w:p>
        </w:tc>
      </w:tr>
      <w:tr>
        <w:trPr>
          <w:trHeight w:val="474"/>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12.4%</w:t>
            </w:r>
          </w:p>
        </w:tc>
        <w:tc>
          <w:tcPr>
            <w:tcW w:w="50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0.5%</w:t>
            </w:r>
          </w:p>
        </w:tc>
      </w:tr>
      <w:tr>
        <w:trPr>
          <w:trHeight w:val="474"/>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10.8%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10.9%</w:t>
            </w:r>
          </w:p>
        </w:tc>
        <w:tc>
          <w:tcPr>
            <w:tcW w:w="50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12.9%</w:t>
            </w:r>
          </w:p>
        </w:tc>
      </w:tr>
      <w:tr>
        <w:trPr>
          <w:trHeight w:val="474"/>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6.4%</w:t>
            </w:r>
          </w:p>
        </w:tc>
        <w:tc>
          <w:tcPr>
            <w:tcW w:w="50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7.6%</w:t>
            </w:r>
          </w:p>
        </w:tc>
      </w:tr>
      <w:tr>
        <w:trPr>
          <w:trHeight w:val="474"/>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11.9%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13.0%</w:t>
            </w:r>
          </w:p>
        </w:tc>
        <w:tc>
          <w:tcPr>
            <w:tcW w:w="50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13.7%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-3822700</wp:posOffset>
                </wp:positionV>
                <wp:extent cx="906145" cy="15494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6145" cy="154940"/>
                        </a:xfrm>
                        <a:prstGeom prst="rect">
                          <a:avLst/>
                        </a:prstGeom>
                        <a:solidFill>
                          <a:srgbClr val="D8EEF4"/>
                        </a:solidFill>
                      </wps:spPr>
                      <wps:bodyPr/>
                    </wps:wsp>
                  </a:graphicData>
                </a:graphic>
              </wp:anchor>
            </w:drawing>
          </mc:Choice>
          <mc:Fallback>
            <w:pict>
              <v:rect id="Shape 38" o:spid="_x0000_s1063" style="position:absolute;margin-left:-40.4999pt;margin-top:-301pt;width:71.3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-2564130</wp:posOffset>
                </wp:positionV>
                <wp:extent cx="906145" cy="30099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6145" cy="300990"/>
                        </a:xfrm>
                        <a:prstGeom prst="rect">
                          <a:avLst/>
                        </a:prstGeom>
                        <a:solidFill>
                          <a:srgbClr val="D8EEF4"/>
                        </a:solidFill>
                      </wps:spPr>
                      <wps:bodyPr/>
                    </wps:wsp>
                  </a:graphicData>
                </a:graphic>
              </wp:anchor>
            </w:drawing>
          </mc:Choice>
          <mc:Fallback>
            <w:pict>
              <v:rect id="Shape 39" o:spid="_x0000_s1064" style="position:absolute;margin-left:-40.4999pt;margin-top:-201.8999pt;width:71.3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-4921885</wp:posOffset>
                </wp:positionV>
                <wp:extent cx="90614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6145"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387.5499pt" to="30.85pt,-387.5499pt" o:allowincell="f" strokecolor="#4C4C4E" strokeweight="0.75pt"/>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-3827780</wp:posOffset>
                </wp:positionV>
                <wp:extent cx="90614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6145"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301.3999pt" to="30.85pt,-301.3999pt" o:allowincell="f" strokecolor="#4C4C4E" strokeweight="0.75pt"/>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-2733675</wp:posOffset>
                </wp:positionV>
                <wp:extent cx="90614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6145"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215.2499pt" to="30.85pt,-215.2499pt" o:allowincell="f" strokecolor="#4C4C4E" strokeweight="0.75pt"/>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-2569210</wp:posOffset>
                </wp:positionV>
                <wp:extent cx="90614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6145"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999pt,-202.2999pt" to="30.85pt,-202.2999pt" o:allowincell="f" strokecolor="#4C4C4E" strokeweight="0.75pt"/>
            </w:pict>
          </mc:Fallback>
        </mc:AlternateContent>
      </w:r>
    </w:p>
    <w:p>
      <w:pPr>
        <w:spacing w:after="0" w:line="193" w:lineRule="exact"/>
        <w:rPr>
          <w:sz w:val="20"/>
          <w:szCs w:val="20"/>
          <w:color w:val="auto"/>
        </w:rPr>
      </w:pPr>
    </w:p>
    <w:p>
      <w:pPr>
        <w:sectPr>
          <w:pgSz w:w="11880" w:h="15480" w:orient="portrait"/>
          <w:cols w:equalWidth="0" w:num="3">
            <w:col w:w="4980" w:space="200"/>
            <w:col w:w="100" w:space="720"/>
            <w:col w:w="4780"/>
          </w:cols>
          <w:pgMar w:left="540" w:top="750" w:right="560" w:bottom="0" w:gutter="0" w:footer="0" w:header="0"/>
          <w:type w:val="continuous"/>
        </w:sectPr>
      </w:pPr>
    </w:p>
    <w:p>
      <w:pPr>
        <w:ind w:left="500" w:hanging="500"/>
        <w:spacing w:after="0"/>
        <w:tabs>
          <w:tab w:leader="none" w:pos="500" w:val="left"/>
        </w:tabs>
        <w:numPr>
          <w:ilvl w:val="0"/>
          <w:numId w:val="5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Includes affiliates of Sixth Street.</w:t>
      </w:r>
    </w:p>
    <w:p>
      <w:pPr>
        <w:spacing w:after="0" w:line="28" w:lineRule="exact"/>
        <w:rPr>
          <w:rFonts w:ascii="Times New Roman" w:cs="Times New Roman" w:eastAsia="Times New Roman" w:hAnsi="Times New Roman"/>
          <w:sz w:val="20"/>
          <w:szCs w:val="20"/>
          <w:color w:val="4C4C4E"/>
        </w:rPr>
      </w:pPr>
    </w:p>
    <w:p>
      <w:pPr>
        <w:ind w:left="500" w:hanging="500"/>
        <w:spacing w:after="0" w:line="248" w:lineRule="auto"/>
        <w:tabs>
          <w:tab w:leader="none" w:pos="500" w:val="left"/>
        </w:tabs>
        <w:numPr>
          <w:ilvl w:val="0"/>
          <w:numId w:val="5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For the year ended December 31, 2025, includes 45 structured credit investments with a total principal amount of $114.9 million and a weighted average term of 12.3 years.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As of December 31, 2025 and December 31, 2024, our investments consisted of the following:</w:t>
      </w:r>
    </w:p>
    <w:p>
      <w:pPr>
        <w:spacing w:after="0" w:line="290"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840" w:type="dxa"/>
            <w:vAlign w:val="bottom"/>
            <w:vMerge w:val="restart"/>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20" w:type="dxa"/>
            <w:vAlign w:val="bottom"/>
          </w:tcPr>
          <w:p>
            <w:pPr>
              <w:spacing w:after="0"/>
              <w:rPr>
                <w:sz w:val="17"/>
                <w:szCs w:val="17"/>
                <w:color w:val="auto"/>
              </w:rPr>
            </w:pPr>
          </w:p>
        </w:tc>
        <w:tc>
          <w:tcPr>
            <w:tcW w:w="380" w:type="dxa"/>
            <w:vAlign w:val="bottom"/>
            <w:tcBorders>
              <w:bottom w:val="single" w:sz="8" w:color="4C4C4E"/>
            </w:tcBorders>
          </w:tcPr>
          <w:p>
            <w:pPr>
              <w:spacing w:after="0"/>
              <w:rPr>
                <w:sz w:val="17"/>
                <w:szCs w:val="17"/>
                <w:color w:val="auto"/>
              </w:rPr>
            </w:pPr>
          </w:p>
        </w:tc>
        <w:tc>
          <w:tcPr>
            <w:tcW w:w="2400" w:type="dxa"/>
            <w:vAlign w:val="bottom"/>
            <w:tcBorders>
              <w:bottom w:val="single" w:sz="8" w:color="4C4C4E"/>
            </w:tcBorders>
            <w:gridSpan w:val="4"/>
          </w:tcPr>
          <w:p>
            <w:pPr>
              <w:jc w:val="right"/>
              <w:ind w:right="663"/>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20" w:type="dxa"/>
            <w:vAlign w:val="bottom"/>
          </w:tcPr>
          <w:p>
            <w:pPr>
              <w:spacing w:after="0"/>
              <w:rPr>
                <w:sz w:val="17"/>
                <w:szCs w:val="17"/>
                <w:color w:val="auto"/>
              </w:rPr>
            </w:pPr>
          </w:p>
        </w:tc>
        <w:tc>
          <w:tcPr>
            <w:tcW w:w="400" w:type="dxa"/>
            <w:vAlign w:val="bottom"/>
            <w:tcBorders>
              <w:bottom w:val="single" w:sz="8" w:color="4C4C4E"/>
            </w:tcBorders>
          </w:tcPr>
          <w:p>
            <w:pPr>
              <w:spacing w:after="0"/>
              <w:rPr>
                <w:sz w:val="17"/>
                <w:szCs w:val="17"/>
                <w:color w:val="auto"/>
              </w:rPr>
            </w:pPr>
          </w:p>
        </w:tc>
        <w:tc>
          <w:tcPr>
            <w:tcW w:w="2400" w:type="dxa"/>
            <w:vAlign w:val="bottom"/>
            <w:tcBorders>
              <w:bottom w:val="single" w:sz="8" w:color="4C4C4E"/>
            </w:tcBorders>
            <w:gridSpan w:val="4"/>
          </w:tcPr>
          <w:p>
            <w:pPr>
              <w:jc w:val="right"/>
              <w:ind w:right="663"/>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40" w:type="dxa"/>
            <w:vAlign w:val="bottom"/>
            <w:tcBorders>
              <w:bottom w:val="single" w:sz="8" w:color="D8EEF4"/>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bottom w:val="single" w:sz="8" w:color="4C4C4E"/>
            </w:tcBorders>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4C4C4E"/>
              </w:rPr>
              <w:t>Amortized Cost</w:t>
            </w:r>
          </w:p>
        </w:tc>
        <w:tc>
          <w:tcPr>
            <w:tcW w:w="240" w:type="dxa"/>
            <w:vAlign w:val="bottom"/>
            <w:tcBorders>
              <w:bottom w:val="single" w:sz="8" w:color="D8EEF4"/>
            </w:tcBorders>
          </w:tcPr>
          <w:p>
            <w:pPr>
              <w:spacing w:after="0"/>
              <w:rPr>
                <w:sz w:val="16"/>
                <w:szCs w:val="16"/>
                <w:color w:val="auto"/>
              </w:rPr>
            </w:pPr>
          </w:p>
        </w:tc>
        <w:tc>
          <w:tcPr>
            <w:tcW w:w="180" w:type="dxa"/>
            <w:vAlign w:val="bottom"/>
            <w:tcBorders>
              <w:bottom w:val="single" w:sz="8" w:color="4C4C4E"/>
            </w:tcBorders>
          </w:tcPr>
          <w:p>
            <w:pPr>
              <w:spacing w:after="0"/>
              <w:rPr>
                <w:sz w:val="16"/>
                <w:szCs w:val="16"/>
                <w:color w:val="auto"/>
              </w:rPr>
            </w:pPr>
          </w:p>
        </w:tc>
        <w:tc>
          <w:tcPr>
            <w:tcW w:w="1100" w:type="dxa"/>
            <w:vAlign w:val="bottom"/>
            <w:tcBorders>
              <w:bottom w:val="single" w:sz="8" w:color="4C4C4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4C4C4E"/>
              </w:rPr>
              <w:t>Fair Value</w:t>
            </w:r>
          </w:p>
        </w:tc>
        <w:tc>
          <w:tcPr>
            <w:tcW w:w="220" w:type="dxa"/>
            <w:vAlign w:val="bottom"/>
            <w:tcBorders>
              <w:bottom w:val="single" w:sz="8" w:color="D8EEF4"/>
            </w:tcBorders>
          </w:tcPr>
          <w:p>
            <w:pPr>
              <w:spacing w:after="0"/>
              <w:rPr>
                <w:sz w:val="16"/>
                <w:szCs w:val="16"/>
                <w:color w:val="auto"/>
              </w:rPr>
            </w:pPr>
          </w:p>
        </w:tc>
        <w:tc>
          <w:tcPr>
            <w:tcW w:w="1280" w:type="dxa"/>
            <w:vAlign w:val="bottom"/>
            <w:tcBorders>
              <w:bottom w:val="single" w:sz="8" w:color="4C4C4E"/>
            </w:tcBorders>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4C4C4E"/>
              </w:rPr>
              <w:t>Amortized Cost</w:t>
            </w:r>
          </w:p>
        </w:tc>
        <w:tc>
          <w:tcPr>
            <w:tcW w:w="240" w:type="dxa"/>
            <w:vAlign w:val="bottom"/>
            <w:tcBorders>
              <w:bottom w:val="single" w:sz="8" w:color="D8EEF4"/>
            </w:tcBorders>
          </w:tcPr>
          <w:p>
            <w:pPr>
              <w:spacing w:after="0"/>
              <w:rPr>
                <w:sz w:val="16"/>
                <w:szCs w:val="16"/>
                <w:color w:val="auto"/>
              </w:rPr>
            </w:pPr>
          </w:p>
        </w:tc>
        <w:tc>
          <w:tcPr>
            <w:tcW w:w="180" w:type="dxa"/>
            <w:vAlign w:val="bottom"/>
            <w:tcBorders>
              <w:bottom w:val="single" w:sz="8" w:color="4C4C4E"/>
            </w:tcBorders>
          </w:tcPr>
          <w:p>
            <w:pPr>
              <w:spacing w:after="0"/>
              <w:rPr>
                <w:sz w:val="16"/>
                <w:szCs w:val="16"/>
                <w:color w:val="auto"/>
              </w:rPr>
            </w:pPr>
          </w:p>
        </w:tc>
        <w:tc>
          <w:tcPr>
            <w:tcW w:w="1100" w:type="dxa"/>
            <w:vAlign w:val="bottom"/>
            <w:tcBorders>
              <w:bottom w:val="single" w:sz="8" w:color="4C4C4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4C4C4E"/>
              </w:rPr>
              <w:t>Fair Value</w:t>
            </w:r>
          </w:p>
        </w:tc>
        <w:tc>
          <w:tcPr>
            <w:tcW w:w="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First-lien debt investments</w:t>
            </w:r>
          </w:p>
        </w:tc>
        <w:tc>
          <w:tcPr>
            <w:tcW w:w="400" w:type="dxa"/>
            <w:vAlign w:val="bottom"/>
            <w:gridSpan w:val="2"/>
            <w:shd w:val="clear" w:color="auto" w:fill="D8EEF4"/>
          </w:tcPr>
          <w:p>
            <w:pPr>
              <w:jc w:val="right"/>
              <w:ind w:right="218"/>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2,934.2</w:t>
            </w:r>
          </w:p>
        </w:tc>
        <w:tc>
          <w:tcPr>
            <w:tcW w:w="240" w:type="dxa"/>
            <w:vAlign w:val="bottom"/>
            <w:shd w:val="clear" w:color="auto" w:fill="D8EEF4"/>
          </w:tcPr>
          <w:p>
            <w:pPr>
              <w:spacing w:after="0"/>
              <w:rPr>
                <w:sz w:val="20"/>
                <w:szCs w:val="20"/>
                <w:color w:val="auto"/>
              </w:rPr>
            </w:pPr>
          </w:p>
        </w:tc>
        <w:tc>
          <w:tcPr>
            <w:tcW w:w="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2,984.4</w:t>
            </w:r>
          </w:p>
        </w:tc>
        <w:tc>
          <w:tcPr>
            <w:tcW w:w="220" w:type="dxa"/>
            <w:vAlign w:val="bottom"/>
            <w:shd w:val="clear" w:color="auto" w:fill="D8EEF4"/>
          </w:tcPr>
          <w:p>
            <w:pPr>
              <w:spacing w:after="0"/>
              <w:rPr>
                <w:sz w:val="20"/>
                <w:szCs w:val="20"/>
                <w:color w:val="auto"/>
              </w:rPr>
            </w:pPr>
          </w:p>
        </w:tc>
        <w:tc>
          <w:tcPr>
            <w:tcW w:w="400" w:type="dxa"/>
            <w:vAlign w:val="bottom"/>
            <w:shd w:val="clear" w:color="auto" w:fill="D8EEF4"/>
          </w:tcPr>
          <w:p>
            <w:pPr>
              <w:jc w:val="right"/>
              <w:ind w:right="207"/>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3,298.0</w:t>
            </w:r>
          </w:p>
        </w:tc>
        <w:tc>
          <w:tcPr>
            <w:tcW w:w="240" w:type="dxa"/>
            <w:vAlign w:val="bottom"/>
            <w:shd w:val="clear" w:color="auto" w:fill="D8EEF4"/>
          </w:tcPr>
          <w:p>
            <w:pPr>
              <w:spacing w:after="0"/>
              <w:rPr>
                <w:sz w:val="20"/>
                <w:szCs w:val="20"/>
                <w:color w:val="auto"/>
              </w:rPr>
            </w:pPr>
          </w:p>
        </w:tc>
        <w:tc>
          <w:tcPr>
            <w:tcW w:w="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3,302.5</w:t>
            </w:r>
          </w:p>
        </w:tc>
        <w:tc>
          <w:tcPr>
            <w:tcW w:w="6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4C4C4E"/>
              </w:rPr>
              <w:t>Second-lien debt investments</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69.6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53.2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Mezzanine debt investments</w:t>
            </w:r>
          </w:p>
        </w:tc>
        <w:tc>
          <w:tcPr>
            <w:tcW w:w="20" w:type="dxa"/>
            <w:vAlign w:val="bottom"/>
            <w:shd w:val="clear" w:color="auto" w:fill="D8EEF4"/>
          </w:tcPr>
          <w:p>
            <w:pPr>
              <w:spacing w:after="0"/>
              <w:rPr>
                <w:sz w:val="21"/>
                <w:szCs w:val="21"/>
                <w:color w:val="auto"/>
              </w:rPr>
            </w:pPr>
          </w:p>
        </w:tc>
        <w:tc>
          <w:tcPr>
            <w:tcW w:w="380" w:type="dxa"/>
            <w:vAlign w:val="bottom"/>
            <w:shd w:val="clear" w:color="auto" w:fill="D8EEF4"/>
          </w:tcPr>
          <w:p>
            <w:pPr>
              <w:spacing w:after="0"/>
              <w:rPr>
                <w:sz w:val="21"/>
                <w:szCs w:val="21"/>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61.1</w:t>
            </w:r>
          </w:p>
        </w:tc>
        <w:tc>
          <w:tcPr>
            <w:tcW w:w="24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61.7</w:t>
            </w:r>
          </w:p>
        </w:tc>
        <w:tc>
          <w:tcPr>
            <w:tcW w:w="220" w:type="dxa"/>
            <w:vAlign w:val="bottom"/>
            <w:shd w:val="clear" w:color="auto" w:fill="D8EEF4"/>
          </w:tcPr>
          <w:p>
            <w:pPr>
              <w:spacing w:after="0"/>
              <w:rPr>
                <w:sz w:val="21"/>
                <w:szCs w:val="21"/>
                <w:color w:val="auto"/>
              </w:rPr>
            </w:pPr>
          </w:p>
        </w:tc>
        <w:tc>
          <w:tcPr>
            <w:tcW w:w="400" w:type="dxa"/>
            <w:vAlign w:val="bottom"/>
            <w:shd w:val="clear" w:color="auto" w:fill="D8EEF4"/>
          </w:tcPr>
          <w:p>
            <w:pPr>
              <w:spacing w:after="0"/>
              <w:rPr>
                <w:sz w:val="21"/>
                <w:szCs w:val="21"/>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37.1</w:t>
            </w:r>
          </w:p>
        </w:tc>
        <w:tc>
          <w:tcPr>
            <w:tcW w:w="24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39.1</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4C4C4E"/>
              </w:rPr>
              <w:t>Equity and other investments</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159.8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172.6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149.4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155.5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Structured credit investments</w:t>
            </w:r>
          </w:p>
        </w:tc>
        <w:tc>
          <w:tcPr>
            <w:tcW w:w="20" w:type="dxa"/>
            <w:vAlign w:val="bottom"/>
            <w:shd w:val="clear" w:color="auto" w:fill="D8EEF4"/>
          </w:tcPr>
          <w:p>
            <w:pPr>
              <w:spacing w:after="0"/>
              <w:rPr>
                <w:sz w:val="21"/>
                <w:szCs w:val="21"/>
                <w:color w:val="auto"/>
              </w:rPr>
            </w:pPr>
          </w:p>
        </w:tc>
        <w:tc>
          <w:tcPr>
            <w:tcW w:w="380" w:type="dxa"/>
            <w:vAlign w:val="bottom"/>
            <w:tcBorders>
              <w:bottom w:val="single" w:sz="8" w:color="4C4C4E"/>
            </w:tcBorders>
            <w:shd w:val="clear" w:color="auto" w:fill="D8EEF4"/>
          </w:tcPr>
          <w:p>
            <w:pPr>
              <w:spacing w:after="0"/>
              <w:rPr>
                <w:sz w:val="21"/>
                <w:szCs w:val="21"/>
                <w:color w:val="auto"/>
              </w:rPr>
            </w:pPr>
          </w:p>
        </w:tc>
        <w:tc>
          <w:tcPr>
            <w:tcW w:w="8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98.6</w:t>
            </w:r>
          </w:p>
        </w:tc>
        <w:tc>
          <w:tcPr>
            <w:tcW w:w="240" w:type="dxa"/>
            <w:vAlign w:val="bottom"/>
            <w:shd w:val="clear" w:color="auto" w:fill="D8EEF4"/>
          </w:tcPr>
          <w:p>
            <w:pPr>
              <w:spacing w:after="0"/>
              <w:rPr>
                <w:sz w:val="21"/>
                <w:szCs w:val="21"/>
                <w:color w:val="auto"/>
              </w:rPr>
            </w:pPr>
          </w:p>
        </w:tc>
        <w:tc>
          <w:tcPr>
            <w:tcW w:w="180" w:type="dxa"/>
            <w:vAlign w:val="bottom"/>
            <w:tcBorders>
              <w:bottom w:val="single" w:sz="8" w:color="4C4C4E"/>
            </w:tcBorders>
            <w:shd w:val="clear" w:color="auto" w:fill="D8EEF4"/>
          </w:tcPr>
          <w:p>
            <w:pPr>
              <w:spacing w:after="0"/>
              <w:rPr>
                <w:sz w:val="21"/>
                <w:szCs w:val="21"/>
                <w:color w:val="auto"/>
              </w:rPr>
            </w:pPr>
          </w:p>
        </w:tc>
        <w:tc>
          <w:tcPr>
            <w:tcW w:w="1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97.9</w:t>
            </w:r>
          </w:p>
        </w:tc>
        <w:tc>
          <w:tcPr>
            <w:tcW w:w="220" w:type="dxa"/>
            <w:vAlign w:val="bottom"/>
            <w:shd w:val="clear" w:color="auto" w:fill="D8EEF4"/>
          </w:tcPr>
          <w:p>
            <w:pPr>
              <w:spacing w:after="0"/>
              <w:rPr>
                <w:sz w:val="21"/>
                <w:szCs w:val="21"/>
                <w:color w:val="auto"/>
              </w:rPr>
            </w:pPr>
          </w:p>
        </w:tc>
        <w:tc>
          <w:tcPr>
            <w:tcW w:w="400" w:type="dxa"/>
            <w:vAlign w:val="bottom"/>
            <w:tcBorders>
              <w:bottom w:val="single" w:sz="8" w:color="4C4C4E"/>
            </w:tcBorders>
            <w:shd w:val="clear" w:color="auto" w:fill="D8EEF4"/>
          </w:tcPr>
          <w:p>
            <w:pPr>
              <w:spacing w:after="0"/>
              <w:rPr>
                <w:sz w:val="21"/>
                <w:szCs w:val="21"/>
                <w:color w:val="auto"/>
              </w:rPr>
            </w:pPr>
          </w:p>
        </w:tc>
        <w:tc>
          <w:tcPr>
            <w:tcW w:w="8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w:t>
            </w:r>
          </w:p>
        </w:tc>
        <w:tc>
          <w:tcPr>
            <w:tcW w:w="240" w:type="dxa"/>
            <w:vAlign w:val="bottom"/>
            <w:shd w:val="clear" w:color="auto" w:fill="D8EEF4"/>
          </w:tcPr>
          <w:p>
            <w:pPr>
              <w:spacing w:after="0"/>
              <w:rPr>
                <w:sz w:val="21"/>
                <w:szCs w:val="21"/>
                <w:color w:val="auto"/>
              </w:rPr>
            </w:pPr>
          </w:p>
        </w:tc>
        <w:tc>
          <w:tcPr>
            <w:tcW w:w="180" w:type="dxa"/>
            <w:vAlign w:val="bottom"/>
            <w:tcBorders>
              <w:bottom w:val="single" w:sz="8" w:color="4C4C4E"/>
            </w:tcBorders>
            <w:shd w:val="clear" w:color="auto" w:fill="D8EEF4"/>
          </w:tcPr>
          <w:p>
            <w:pPr>
              <w:spacing w:after="0"/>
              <w:rPr>
                <w:sz w:val="21"/>
                <w:szCs w:val="21"/>
                <w:color w:val="auto"/>
              </w:rPr>
            </w:pPr>
          </w:p>
        </w:tc>
        <w:tc>
          <w:tcPr>
            <w:tcW w:w="1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20" w:type="dxa"/>
            <w:vAlign w:val="bottom"/>
          </w:tcPr>
          <w:p>
            <w:pPr>
              <w:spacing w:after="0"/>
              <w:rPr>
                <w:sz w:val="20"/>
                <w:szCs w:val="20"/>
                <w:color w:val="auto"/>
              </w:rPr>
            </w:pPr>
          </w:p>
        </w:tc>
        <w:tc>
          <w:tcPr>
            <w:tcW w:w="380" w:type="dxa"/>
            <w:vAlign w:val="bottom"/>
            <w:tcBorders>
              <w:bottom w:val="single" w:sz="8" w:color="4C4C4E"/>
            </w:tcBorders>
          </w:tcPr>
          <w:p>
            <w:pPr>
              <w:jc w:val="right"/>
              <w:ind w:right="218"/>
              <w:spacing w:after="0"/>
              <w:rPr>
                <w:sz w:val="20"/>
                <w:szCs w:val="20"/>
                <w:color w:val="auto"/>
              </w:rPr>
            </w:pPr>
            <w:r>
              <w:rPr>
                <w:rFonts w:ascii="Times New Roman" w:cs="Times New Roman" w:eastAsia="Times New Roman" w:hAnsi="Times New Roman"/>
                <w:sz w:val="17"/>
                <w:szCs w:val="17"/>
                <w:color w:val="4C4C4E"/>
                <w:w w:val="70"/>
              </w:rPr>
              <w:t>$</w:t>
            </w:r>
          </w:p>
        </w:tc>
        <w:tc>
          <w:tcPr>
            <w:tcW w:w="8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3,323.3</w:t>
            </w:r>
          </w:p>
        </w:tc>
        <w:tc>
          <w:tcPr>
            <w:tcW w:w="240" w:type="dxa"/>
            <w:vAlign w:val="bottom"/>
          </w:tcPr>
          <w:p>
            <w:pPr>
              <w:spacing w:after="0"/>
              <w:rPr>
                <w:sz w:val="20"/>
                <w:szCs w:val="20"/>
                <w:color w:val="auto"/>
              </w:rPr>
            </w:pPr>
          </w:p>
        </w:tc>
        <w:tc>
          <w:tcPr>
            <w:tcW w:w="1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3,347.3</w:t>
            </w:r>
          </w:p>
        </w:tc>
        <w:tc>
          <w:tcPr>
            <w:tcW w:w="220" w:type="dxa"/>
            <w:vAlign w:val="bottom"/>
          </w:tcPr>
          <w:p>
            <w:pPr>
              <w:spacing w:after="0"/>
              <w:rPr>
                <w:sz w:val="20"/>
                <w:szCs w:val="20"/>
                <w:color w:val="auto"/>
              </w:rPr>
            </w:pPr>
          </w:p>
        </w:tc>
        <w:tc>
          <w:tcPr>
            <w:tcW w:w="400" w:type="dxa"/>
            <w:vAlign w:val="bottom"/>
            <w:tcBorders>
              <w:bottom w:val="single" w:sz="8" w:color="4C4C4E"/>
            </w:tcBorders>
          </w:tcPr>
          <w:p>
            <w:pPr>
              <w:jc w:val="right"/>
              <w:ind w:right="207"/>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3,539.2</w:t>
            </w:r>
          </w:p>
        </w:tc>
        <w:tc>
          <w:tcPr>
            <w:tcW w:w="240" w:type="dxa"/>
            <w:vAlign w:val="bottom"/>
          </w:tcPr>
          <w:p>
            <w:pPr>
              <w:spacing w:after="0"/>
              <w:rPr>
                <w:sz w:val="20"/>
                <w:szCs w:val="20"/>
                <w:color w:val="auto"/>
              </w:rPr>
            </w:pPr>
          </w:p>
        </w:tc>
        <w:tc>
          <w:tcPr>
            <w:tcW w:w="1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3,518.4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380" w:type="dxa"/>
            <w:vAlign w:val="bottom"/>
            <w:tcBorders>
              <w:bottom w:val="single" w:sz="8" w:color="4C4C4E"/>
            </w:tcBorders>
          </w:tcPr>
          <w:p>
            <w:pPr>
              <w:spacing w:after="0" w:line="20" w:lineRule="exact"/>
              <w:rPr>
                <w:sz w:val="1"/>
                <w:szCs w:val="1"/>
                <w:color w:val="auto"/>
              </w:rPr>
            </w:pPr>
          </w:p>
        </w:tc>
        <w:tc>
          <w:tcPr>
            <w:tcW w:w="88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110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4C4C4E"/>
            </w:tcBorders>
          </w:tcPr>
          <w:p>
            <w:pPr>
              <w:spacing w:after="0" w:line="20" w:lineRule="exact"/>
              <w:rPr>
                <w:sz w:val="1"/>
                <w:szCs w:val="1"/>
                <w:color w:val="auto"/>
              </w:rPr>
            </w:pPr>
          </w:p>
        </w:tc>
        <w:tc>
          <w:tcPr>
            <w:tcW w:w="88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110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780"/>
          </w:cols>
          <w:pgMar w:left="540" w:top="750" w:right="560" w:bottom="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69</w:t>
      </w:r>
    </w:p>
    <w:p>
      <w:pPr>
        <w:sectPr>
          <w:pgSz w:w="11880" w:h="15480" w:orient="portrait"/>
          <w:cols w:equalWidth="0" w:num="1">
            <w:col w:w="10780"/>
          </w:cols>
          <w:pgMar w:left="540" w:top="750" w:right="560" w:bottom="0" w:gutter="0" w:footer="0" w:header="0"/>
          <w:type w:val="continuous"/>
        </w:sectPr>
      </w:pPr>
    </w:p>
    <w:bookmarkStart w:id="69" w:name="page70"/>
    <w:bookmarkEnd w:id="69"/>
    <w:p>
      <w:pPr>
        <w:ind w:right="340" w:firstLine="245"/>
        <w:spacing w:after="0" w:line="277" w:lineRule="auto"/>
        <w:rPr>
          <w:sz w:val="20"/>
          <w:szCs w:val="20"/>
          <w:color w:val="auto"/>
        </w:rPr>
      </w:pPr>
      <w:r>
        <w:rPr>
          <w:rFonts w:ascii="Times New Roman" w:cs="Times New Roman" w:eastAsia="Times New Roman" w:hAnsi="Times New Roman"/>
          <w:sz w:val="20"/>
          <w:szCs w:val="20"/>
          <w:color w:val="4C4C4E"/>
        </w:rPr>
        <w:t>The following tables show the fair value and amortized cost of our performing and non-accrual investments as of December 31, 2025 and December 31, 2024:</w:t>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2680" w:type="dxa"/>
            <w:vAlign w:val="bottom"/>
            <w:tcBorders>
              <w:bottom w:val="single" w:sz="8" w:color="4C4C4E"/>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340" w:type="dxa"/>
            <w:vAlign w:val="bottom"/>
          </w:tcPr>
          <w:p>
            <w:pPr>
              <w:spacing w:after="0"/>
              <w:rPr>
                <w:sz w:val="17"/>
                <w:szCs w:val="17"/>
                <w:color w:val="auto"/>
              </w:rPr>
            </w:pPr>
          </w:p>
        </w:tc>
        <w:tc>
          <w:tcPr>
            <w:tcW w:w="2660" w:type="dxa"/>
            <w:vAlign w:val="bottom"/>
            <w:tcBorders>
              <w:bottom w:val="single" w:sz="8" w:color="4C4C4E"/>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0" w:type="dxa"/>
            <w:vAlign w:val="bottom"/>
          </w:tcPr>
          <w:p>
            <w:pPr>
              <w:spacing w:after="0"/>
              <w:rPr>
                <w:sz w:val="1"/>
                <w:szCs w:val="1"/>
                <w:color w:val="auto"/>
              </w:rPr>
            </w:pPr>
          </w:p>
        </w:tc>
      </w:tr>
      <w:tr>
        <w:trPr>
          <w:trHeight w:val="193"/>
        </w:trPr>
        <w:tc>
          <w:tcPr>
            <w:tcW w:w="3820" w:type="dxa"/>
            <w:vAlign w:val="bottom"/>
            <w:vMerge w:val="continue"/>
          </w:tcPr>
          <w:p>
            <w:pPr>
              <w:spacing w:after="0"/>
              <w:rPr>
                <w:sz w:val="16"/>
                <w:szCs w:val="16"/>
                <w:color w:val="auto"/>
              </w:rPr>
            </w:pPr>
          </w:p>
        </w:tc>
        <w:tc>
          <w:tcPr>
            <w:tcW w:w="1280" w:type="dxa"/>
            <w:vAlign w:val="bottom"/>
            <w:tcBorders>
              <w:bottom w:val="single" w:sz="8" w:color="4C4C4E"/>
            </w:tcBorders>
          </w:tcPr>
          <w:p>
            <w:pPr>
              <w:ind w:left="260"/>
              <w:spacing w:after="0"/>
              <w:rPr>
                <w:sz w:val="20"/>
                <w:szCs w:val="20"/>
                <w:color w:val="auto"/>
              </w:rPr>
            </w:pPr>
            <w:r>
              <w:rPr>
                <w:rFonts w:ascii="Times New Roman" w:cs="Times New Roman" w:eastAsia="Times New Roman" w:hAnsi="Times New Roman"/>
                <w:sz w:val="16"/>
                <w:szCs w:val="16"/>
                <w:b w:val="1"/>
                <w:bCs w:val="1"/>
                <w:color w:val="4C4C4E"/>
              </w:rPr>
              <w:t>Fair Value</w:t>
            </w:r>
          </w:p>
        </w:tc>
        <w:tc>
          <w:tcPr>
            <w:tcW w:w="220" w:type="dxa"/>
            <w:vAlign w:val="bottom"/>
          </w:tcPr>
          <w:p>
            <w:pPr>
              <w:spacing w:after="0"/>
              <w:rPr>
                <w:sz w:val="16"/>
                <w:szCs w:val="16"/>
                <w:color w:val="auto"/>
              </w:rPr>
            </w:pPr>
          </w:p>
        </w:tc>
        <w:tc>
          <w:tcPr>
            <w:tcW w:w="1180" w:type="dxa"/>
            <w:vAlign w:val="bottom"/>
            <w:tcBorders>
              <w:bottom w:val="single" w:sz="8" w:color="4C4C4E"/>
            </w:tcBorders>
          </w:tcPr>
          <w:p>
            <w:pPr>
              <w:ind w:left="200"/>
              <w:spacing w:after="0"/>
              <w:rPr>
                <w:sz w:val="20"/>
                <w:szCs w:val="20"/>
                <w:color w:val="auto"/>
              </w:rPr>
            </w:pPr>
            <w:r>
              <w:rPr>
                <w:rFonts w:ascii="Times New Roman" w:cs="Times New Roman" w:eastAsia="Times New Roman" w:hAnsi="Times New Roman"/>
                <w:sz w:val="16"/>
                <w:szCs w:val="16"/>
                <w:b w:val="1"/>
                <w:bCs w:val="1"/>
                <w:color w:val="4C4C4E"/>
              </w:rPr>
              <w:t>Percentage</w:t>
            </w:r>
          </w:p>
        </w:tc>
        <w:tc>
          <w:tcPr>
            <w:tcW w:w="340" w:type="dxa"/>
            <w:vAlign w:val="bottom"/>
          </w:tcPr>
          <w:p>
            <w:pPr>
              <w:spacing w:after="0"/>
              <w:rPr>
                <w:sz w:val="16"/>
                <w:szCs w:val="16"/>
                <w:color w:val="auto"/>
              </w:rPr>
            </w:pPr>
          </w:p>
        </w:tc>
        <w:tc>
          <w:tcPr>
            <w:tcW w:w="1260" w:type="dxa"/>
            <w:vAlign w:val="bottom"/>
            <w:tcBorders>
              <w:bottom w:val="single" w:sz="8" w:color="4C4C4E"/>
            </w:tcBorders>
          </w:tcPr>
          <w:p>
            <w:pPr>
              <w:ind w:left="260"/>
              <w:spacing w:after="0"/>
              <w:rPr>
                <w:sz w:val="20"/>
                <w:szCs w:val="20"/>
                <w:color w:val="auto"/>
              </w:rPr>
            </w:pPr>
            <w:r>
              <w:rPr>
                <w:rFonts w:ascii="Times New Roman" w:cs="Times New Roman" w:eastAsia="Times New Roman" w:hAnsi="Times New Roman"/>
                <w:sz w:val="16"/>
                <w:szCs w:val="16"/>
                <w:b w:val="1"/>
                <w:bCs w:val="1"/>
                <w:color w:val="4C4C4E"/>
              </w:rPr>
              <w:t>Fair Value</w:t>
            </w:r>
          </w:p>
        </w:tc>
        <w:tc>
          <w:tcPr>
            <w:tcW w:w="240" w:type="dxa"/>
            <w:vAlign w:val="bottom"/>
          </w:tcPr>
          <w:p>
            <w:pPr>
              <w:spacing w:after="0"/>
              <w:rPr>
                <w:sz w:val="16"/>
                <w:szCs w:val="16"/>
                <w:color w:val="auto"/>
              </w:rPr>
            </w:pPr>
          </w:p>
        </w:tc>
        <w:tc>
          <w:tcPr>
            <w:tcW w:w="1160" w:type="dxa"/>
            <w:vAlign w:val="bottom"/>
            <w:tcBorders>
              <w:bottom w:val="single" w:sz="8" w:color="4C4C4E"/>
            </w:tcBorders>
          </w:tcPr>
          <w:p>
            <w:pPr>
              <w:ind w:left="200"/>
              <w:spacing w:after="0"/>
              <w:rPr>
                <w:sz w:val="20"/>
                <w:szCs w:val="20"/>
                <w:color w:val="auto"/>
              </w:rPr>
            </w:pPr>
            <w:r>
              <w:rPr>
                <w:rFonts w:ascii="Times New Roman" w:cs="Times New Roman" w:eastAsia="Times New Roman" w:hAnsi="Times New Roman"/>
                <w:sz w:val="16"/>
                <w:szCs w:val="16"/>
                <w:b w:val="1"/>
                <w:bCs w:val="1"/>
                <w:color w:val="4C4C4E"/>
              </w:rPr>
              <w:t>Percentage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-8890</wp:posOffset>
                </wp:positionV>
                <wp:extent cx="2426970" cy="16383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26970" cy="163830"/>
                        </a:xfrm>
                        <a:prstGeom prst="rect">
                          <a:avLst/>
                        </a:prstGeom>
                        <a:solidFill>
                          <a:srgbClr val="D8EEF4"/>
                        </a:solidFill>
                      </wps:spPr>
                      <wps:bodyPr/>
                    </wps:wsp>
                  </a:graphicData>
                </a:graphic>
              </wp:anchor>
            </w:drawing>
          </mc:Choice>
          <mc:Fallback>
            <w:pict>
              <v:rect id="Shape 44" o:spid="_x0000_s1069" style="position:absolute;margin-left:27pt;margin-top:-0.6999pt;width:191.1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3576955</wp:posOffset>
                </wp:positionH>
                <wp:positionV relativeFrom="paragraph">
                  <wp:posOffset>-9525</wp:posOffset>
                </wp:positionV>
                <wp:extent cx="144145" cy="16446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145" cy="164465"/>
                        </a:xfrm>
                        <a:prstGeom prst="rect">
                          <a:avLst/>
                        </a:prstGeom>
                        <a:solidFill>
                          <a:srgbClr val="D8EEF4"/>
                        </a:solidFill>
                      </wps:spPr>
                      <wps:bodyPr/>
                    </wps:wsp>
                  </a:graphicData>
                </a:graphic>
              </wp:anchor>
            </w:drawing>
          </mc:Choice>
          <mc:Fallback>
            <w:pict>
              <v:rect id="Shape 45" o:spid="_x0000_s1070" style="position:absolute;margin-left:281.65pt;margin-top:-0.7499pt;width:11.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3721735</wp:posOffset>
                </wp:positionH>
                <wp:positionV relativeFrom="paragraph">
                  <wp:posOffset>0</wp:posOffset>
                </wp:positionV>
                <wp:extent cx="744220" cy="15494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154940"/>
                        </a:xfrm>
                        <a:prstGeom prst="rect">
                          <a:avLst/>
                        </a:prstGeom>
                        <a:solidFill>
                          <a:srgbClr val="D8EEF4"/>
                        </a:solidFill>
                      </wps:spPr>
                      <wps:bodyPr/>
                    </wps:wsp>
                  </a:graphicData>
                </a:graphic>
              </wp:anchor>
            </w:drawing>
          </mc:Choice>
          <mc:Fallback>
            <w:pict>
              <v:rect id="Shape 46" o:spid="_x0000_s1071" style="position:absolute;margin-left:293.05pt;margin-top:0pt;width:58.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4465955</wp:posOffset>
                </wp:positionH>
                <wp:positionV relativeFrom="paragraph">
                  <wp:posOffset>-8890</wp:posOffset>
                </wp:positionV>
                <wp:extent cx="219075" cy="16383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 cy="163830"/>
                        </a:xfrm>
                        <a:prstGeom prst="rect">
                          <a:avLst/>
                        </a:prstGeom>
                        <a:solidFill>
                          <a:srgbClr val="D8EEF4"/>
                        </a:solidFill>
                      </wps:spPr>
                      <wps:bodyPr/>
                    </wps:wsp>
                  </a:graphicData>
                </a:graphic>
              </wp:anchor>
            </w:drawing>
          </mc:Choice>
          <mc:Fallback>
            <w:pict>
              <v:rect id="Shape 47" o:spid="_x0000_s1072" style="position:absolute;margin-left:351.65pt;margin-top:-0.6999pt;width:17.2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5492115</wp:posOffset>
                </wp:positionH>
                <wp:positionV relativeFrom="paragraph">
                  <wp:posOffset>-9525</wp:posOffset>
                </wp:positionV>
                <wp:extent cx="144145" cy="16446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145" cy="164465"/>
                        </a:xfrm>
                        <a:prstGeom prst="rect">
                          <a:avLst/>
                        </a:prstGeom>
                        <a:solidFill>
                          <a:srgbClr val="D8EEF4"/>
                        </a:solidFill>
                      </wps:spPr>
                      <wps:bodyPr/>
                    </wps:wsp>
                  </a:graphicData>
                </a:graphic>
              </wp:anchor>
            </w:drawing>
          </mc:Choice>
          <mc:Fallback>
            <w:pict>
              <v:rect id="Shape 48" o:spid="_x0000_s1073" style="position:absolute;margin-left:432.45pt;margin-top:-0.7499pt;width:11.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5636260</wp:posOffset>
                </wp:positionH>
                <wp:positionV relativeFrom="paragraph">
                  <wp:posOffset>0</wp:posOffset>
                </wp:positionV>
                <wp:extent cx="744220" cy="15494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154940"/>
                        </a:xfrm>
                        <a:prstGeom prst="rect">
                          <a:avLst/>
                        </a:prstGeom>
                        <a:solidFill>
                          <a:srgbClr val="D8EEF4"/>
                        </a:solidFill>
                      </wps:spPr>
                      <wps:bodyPr/>
                    </wps:wsp>
                  </a:graphicData>
                </a:graphic>
              </wp:anchor>
            </w:drawing>
          </mc:Choice>
          <mc:Fallback>
            <w:pict>
              <v:rect id="Shape 49" o:spid="_x0000_s1074" style="position:absolute;margin-left:443.8pt;margin-top:0pt;width:58.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tbl>
      <w:tblPr>
        <w:tblLayout w:type="fixed"/>
        <w:tblInd w:w="5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4C4C4E"/>
              </w:rPr>
              <w:t>Performing</w:t>
            </w:r>
          </w:p>
        </w:tc>
        <w:tc>
          <w:tcPr>
            <w:tcW w:w="380" w:type="dxa"/>
            <w:vAlign w:val="bottom"/>
            <w:shd w:val="clear" w:color="auto" w:fill="D8EEF4"/>
          </w:tcPr>
          <w:p>
            <w:pPr>
              <w:jc w:val="right"/>
              <w:ind w:right="184"/>
              <w:spacing w:after="0"/>
              <w:rPr>
                <w:sz w:val="20"/>
                <w:szCs w:val="20"/>
                <w:color w:val="auto"/>
              </w:rPr>
            </w:pPr>
            <w:r>
              <w:rPr>
                <w:rFonts w:ascii="Times New Roman" w:cs="Times New Roman" w:eastAsia="Times New Roman" w:hAnsi="Times New Roman"/>
                <w:sz w:val="20"/>
                <w:szCs w:val="20"/>
                <w:color w:val="4C4C4E"/>
                <w:w w:val="79"/>
              </w:rPr>
              <w:t>$</w:t>
            </w:r>
          </w:p>
        </w:tc>
        <w:tc>
          <w:tcPr>
            <w:tcW w:w="9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3,327.3</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C4C4E"/>
              </w:rPr>
              <w:t>99.4%</w:t>
            </w:r>
          </w:p>
        </w:tc>
        <w:tc>
          <w:tcPr>
            <w:tcW w:w="380" w:type="dxa"/>
            <w:vAlign w:val="bottom"/>
            <w:shd w:val="clear" w:color="auto" w:fill="D8EEF4"/>
          </w:tcPr>
          <w:p>
            <w:pPr>
              <w:jc w:val="right"/>
              <w:ind w:right="184"/>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3,469.4</w:t>
            </w:r>
          </w:p>
        </w:tc>
        <w:tc>
          <w:tcPr>
            <w:tcW w:w="20" w:type="dxa"/>
            <w:vAlign w:val="bottom"/>
            <w:shd w:val="clear" w:color="auto" w:fill="D8EEF4"/>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98.6%</w:t>
            </w:r>
          </w:p>
        </w:tc>
        <w:tc>
          <w:tcPr>
            <w:tcW w:w="0" w:type="dxa"/>
            <w:vAlign w:val="bottom"/>
          </w:tcPr>
          <w:p>
            <w:pPr>
              <w:spacing w:after="0"/>
              <w:rPr>
                <w:sz w:val="1"/>
                <w:szCs w:val="1"/>
                <w:color w:val="auto"/>
              </w:rPr>
            </w:pPr>
          </w:p>
        </w:tc>
      </w:tr>
      <w:tr>
        <w:trPr>
          <w:trHeight w:val="244"/>
        </w:trPr>
        <w:tc>
          <w:tcPr>
            <w:tcW w:w="3820" w:type="dxa"/>
            <w:vAlign w:val="bottom"/>
            <w:tcBorders>
              <w:bottom w:val="single" w:sz="8" w:color="D8EEF4"/>
            </w:tcBorders>
          </w:tcPr>
          <w:p>
            <w:pPr>
              <w:spacing w:after="0" w:line="243" w:lineRule="exact"/>
              <w:rPr>
                <w:sz w:val="20"/>
                <w:szCs w:val="20"/>
                <w:color w:val="auto"/>
              </w:rPr>
            </w:pPr>
            <w:r>
              <w:rPr>
                <w:rFonts w:ascii="Times New Roman" w:cs="Times New Roman" w:eastAsia="Times New Roman" w:hAnsi="Times New Roman"/>
                <w:sz w:val="20"/>
                <w:szCs w:val="20"/>
                <w:color w:val="4C4C4E"/>
              </w:rPr>
              <w:t xml:space="preserve">Non-accrual </w:t>
            </w:r>
            <w:r>
              <w:rPr>
                <w:rFonts w:ascii="Times New Roman" w:cs="Times New Roman" w:eastAsia="Times New Roman" w:hAnsi="Times New Roman"/>
                <w:sz w:val="26"/>
                <w:szCs w:val="26"/>
                <w:color w:val="4C4C4E"/>
                <w:vertAlign w:val="superscript"/>
              </w:rPr>
              <w:t>(1)</w:t>
            </w:r>
          </w:p>
        </w:tc>
        <w:tc>
          <w:tcPr>
            <w:tcW w:w="380" w:type="dxa"/>
            <w:vAlign w:val="bottom"/>
            <w:tcBorders>
              <w:bottom w:val="single" w:sz="8" w:color="4C4C4E"/>
            </w:tcBorders>
          </w:tcPr>
          <w:p>
            <w:pPr>
              <w:spacing w:after="0"/>
              <w:rPr>
                <w:sz w:val="21"/>
                <w:szCs w:val="21"/>
                <w:color w:val="auto"/>
              </w:rPr>
            </w:pPr>
          </w:p>
        </w:tc>
        <w:tc>
          <w:tcPr>
            <w:tcW w:w="9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20.0</w:t>
            </w:r>
          </w:p>
        </w:tc>
        <w:tc>
          <w:tcPr>
            <w:tcW w:w="220" w:type="dxa"/>
            <w:vAlign w:val="bottom"/>
            <w:tcBorders>
              <w:bottom w:val="single" w:sz="8" w:color="D8EEF4"/>
            </w:tcBorders>
          </w:tcPr>
          <w:p>
            <w:pPr>
              <w:spacing w:after="0"/>
              <w:rPr>
                <w:sz w:val="21"/>
                <w:szCs w:val="21"/>
                <w:color w:val="auto"/>
              </w:rPr>
            </w:pPr>
          </w:p>
        </w:tc>
        <w:tc>
          <w:tcPr>
            <w:tcW w:w="11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340" w:type="dxa"/>
            <w:vAlign w:val="bottom"/>
          </w:tcPr>
          <w:p>
            <w:pPr>
              <w:spacing w:after="0"/>
              <w:rPr>
                <w:sz w:val="21"/>
                <w:szCs w:val="21"/>
                <w:color w:val="auto"/>
              </w:rPr>
            </w:pPr>
          </w:p>
        </w:tc>
        <w:tc>
          <w:tcPr>
            <w:tcW w:w="380" w:type="dxa"/>
            <w:vAlign w:val="bottom"/>
            <w:tcBorders>
              <w:bottom w:val="single" w:sz="8" w:color="4C4C4E"/>
            </w:tcBorders>
          </w:tcPr>
          <w:p>
            <w:pPr>
              <w:spacing w:after="0"/>
              <w:rPr>
                <w:sz w:val="21"/>
                <w:szCs w:val="21"/>
                <w:color w:val="auto"/>
              </w:rPr>
            </w:pPr>
          </w:p>
        </w:tc>
        <w:tc>
          <w:tcPr>
            <w:tcW w:w="8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49.0</w:t>
            </w:r>
          </w:p>
        </w:tc>
        <w:tc>
          <w:tcPr>
            <w:tcW w:w="20" w:type="dxa"/>
            <w:vAlign w:val="bottom"/>
          </w:tcPr>
          <w:p>
            <w:pPr>
              <w:spacing w:after="0"/>
              <w:rPr>
                <w:sz w:val="21"/>
                <w:szCs w:val="21"/>
                <w:color w:val="auto"/>
              </w:rPr>
            </w:pPr>
          </w:p>
        </w:tc>
        <w:tc>
          <w:tcPr>
            <w:tcW w:w="220" w:type="dxa"/>
            <w:vAlign w:val="bottom"/>
            <w:tcBorders>
              <w:bottom w:val="single" w:sz="8" w:color="D8EEF4"/>
            </w:tcBorders>
          </w:tcPr>
          <w:p>
            <w:pPr>
              <w:spacing w:after="0"/>
              <w:rPr>
                <w:sz w:val="21"/>
                <w:szCs w:val="21"/>
                <w:color w:val="auto"/>
              </w:rPr>
            </w:pPr>
          </w:p>
        </w:tc>
        <w:tc>
          <w:tcPr>
            <w:tcW w:w="11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380" w:type="dxa"/>
            <w:vAlign w:val="bottom"/>
            <w:shd w:val="clear" w:color="auto" w:fill="D8EEF4"/>
          </w:tcPr>
          <w:p>
            <w:pPr>
              <w:jc w:val="right"/>
              <w:ind w:right="184"/>
              <w:spacing w:after="0"/>
              <w:rPr>
                <w:sz w:val="20"/>
                <w:szCs w:val="20"/>
                <w:color w:val="auto"/>
              </w:rPr>
            </w:pPr>
            <w:r>
              <w:rPr>
                <w:rFonts w:ascii="Times New Roman" w:cs="Times New Roman" w:eastAsia="Times New Roman" w:hAnsi="Times New Roman"/>
                <w:sz w:val="20"/>
                <w:szCs w:val="20"/>
                <w:color w:val="4C4C4E"/>
                <w:w w:val="79"/>
              </w:rPr>
              <w:t>$</w:t>
            </w:r>
          </w:p>
        </w:tc>
        <w:tc>
          <w:tcPr>
            <w:tcW w:w="9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3,347.3</w:t>
            </w:r>
          </w:p>
        </w:tc>
        <w:tc>
          <w:tcPr>
            <w:tcW w:w="220" w:type="dxa"/>
            <w:vAlign w:val="bottom"/>
            <w:shd w:val="clear" w:color="auto" w:fill="D8EEF4"/>
          </w:tcPr>
          <w:p>
            <w:pPr>
              <w:spacing w:after="0"/>
              <w:rPr>
                <w:sz w:val="20"/>
                <w:szCs w:val="20"/>
                <w:color w:val="auto"/>
              </w:rPr>
            </w:pPr>
          </w:p>
        </w:tc>
        <w:tc>
          <w:tcPr>
            <w:tcW w:w="1520" w:type="dxa"/>
            <w:vAlign w:val="bottom"/>
            <w:tcBorders>
              <w:left w:val="single" w:sz="8" w:color="D8EEF4"/>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4C4C4E"/>
              </w:rPr>
              <w:t>100.0%</w:t>
            </w:r>
          </w:p>
        </w:tc>
        <w:tc>
          <w:tcPr>
            <w:tcW w:w="380" w:type="dxa"/>
            <w:vAlign w:val="bottom"/>
            <w:shd w:val="clear" w:color="auto" w:fill="D8EEF4"/>
          </w:tcPr>
          <w:p>
            <w:pPr>
              <w:jc w:val="right"/>
              <w:ind w:right="184"/>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3,518.4</w:t>
            </w: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1380" w:type="dxa"/>
            <w:vAlign w:val="bottom"/>
            <w:tcBorders>
              <w:left w:val="single" w:sz="8" w:color="D8EEF4"/>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100.0%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80" w:type="dxa"/>
            <w:vAlign w:val="bottom"/>
            <w:tcBorders>
              <w:top w:val="single" w:sz="8" w:color="4C4C4E"/>
              <w:bottom w:val="single" w:sz="8" w:color="4C4C4E"/>
            </w:tcBorders>
          </w:tcPr>
          <w:p>
            <w:pPr>
              <w:spacing w:after="0" w:line="20" w:lineRule="exact"/>
              <w:rPr>
                <w:sz w:val="1"/>
                <w:szCs w:val="1"/>
                <w:color w:val="auto"/>
              </w:rPr>
            </w:pPr>
          </w:p>
        </w:tc>
        <w:tc>
          <w:tcPr>
            <w:tcW w:w="900" w:type="dxa"/>
            <w:vAlign w:val="bottom"/>
            <w:tcBorders>
              <w:top w:val="single" w:sz="8" w:color="4C4C4E"/>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4C4C4E"/>
              <w:bottom w:val="single" w:sz="8" w:color="4C4C4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4C4C4E"/>
              <w:bottom w:val="single" w:sz="8" w:color="4C4C4E"/>
            </w:tcBorders>
          </w:tcPr>
          <w:p>
            <w:pPr>
              <w:spacing w:after="0" w:line="20" w:lineRule="exact"/>
              <w:rPr>
                <w:sz w:val="1"/>
                <w:szCs w:val="1"/>
                <w:color w:val="auto"/>
              </w:rPr>
            </w:pPr>
          </w:p>
        </w:tc>
        <w:tc>
          <w:tcPr>
            <w:tcW w:w="88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4C4C4E"/>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380" w:type="dxa"/>
            <w:vAlign w:val="bottom"/>
          </w:tcPr>
          <w:p>
            <w:pPr>
              <w:spacing w:after="0"/>
              <w:rPr>
                <w:sz w:val="24"/>
                <w:szCs w:val="24"/>
                <w:color w:val="auto"/>
              </w:rPr>
            </w:pPr>
          </w:p>
        </w:tc>
        <w:tc>
          <w:tcPr>
            <w:tcW w:w="2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380" w:type="dxa"/>
            <w:vAlign w:val="bottom"/>
          </w:tcPr>
          <w:p>
            <w:pPr>
              <w:spacing w:after="0"/>
              <w:rPr>
                <w:sz w:val="24"/>
                <w:szCs w:val="24"/>
                <w:color w:val="auto"/>
              </w:rPr>
            </w:pPr>
          </w:p>
        </w:tc>
        <w:tc>
          <w:tcPr>
            <w:tcW w:w="250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0" w:type="dxa"/>
            <w:vAlign w:val="bottom"/>
          </w:tcPr>
          <w:p>
            <w:pPr>
              <w:spacing w:after="0"/>
              <w:rPr>
                <w:sz w:val="1"/>
                <w:szCs w:val="1"/>
                <w:color w:val="auto"/>
              </w:rPr>
            </w:pPr>
          </w:p>
        </w:tc>
      </w:tr>
      <w:tr>
        <w:trPr>
          <w:trHeight w:val="179"/>
        </w:trPr>
        <w:tc>
          <w:tcPr>
            <w:tcW w:w="3820" w:type="dxa"/>
            <w:vAlign w:val="bottom"/>
            <w:tcBorders>
              <w:bottom w:val="single" w:sz="8" w:color="D8EEF4"/>
            </w:tcBorders>
            <w:vMerge w:val="continue"/>
          </w:tcPr>
          <w:p>
            <w:pPr>
              <w:spacing w:after="0"/>
              <w:rPr>
                <w:sz w:val="15"/>
                <w:szCs w:val="15"/>
                <w:color w:val="auto"/>
              </w:rPr>
            </w:pPr>
          </w:p>
        </w:tc>
        <w:tc>
          <w:tcPr>
            <w:tcW w:w="1280" w:type="dxa"/>
            <w:vAlign w:val="bottom"/>
            <w:tcBorders>
              <w:top w:val="single" w:sz="8" w:color="4C4C4E"/>
              <w:bottom w:val="single" w:sz="8" w:color="4C4C4E"/>
            </w:tcBorders>
            <w:gridSpan w:val="2"/>
          </w:tcPr>
          <w:p>
            <w:pPr>
              <w:jc w:val="right"/>
              <w:ind w:right="3"/>
              <w:spacing w:after="0" w:line="179" w:lineRule="exact"/>
              <w:rPr>
                <w:sz w:val="20"/>
                <w:szCs w:val="20"/>
                <w:color w:val="auto"/>
              </w:rPr>
            </w:pPr>
            <w:r>
              <w:rPr>
                <w:rFonts w:ascii="Times New Roman" w:cs="Times New Roman" w:eastAsia="Times New Roman" w:hAnsi="Times New Roman"/>
                <w:sz w:val="16"/>
                <w:szCs w:val="16"/>
                <w:b w:val="1"/>
                <w:bCs w:val="1"/>
                <w:color w:val="4C4C4E"/>
              </w:rPr>
              <w:t>Amortized Cost</w:t>
            </w:r>
          </w:p>
        </w:tc>
        <w:tc>
          <w:tcPr>
            <w:tcW w:w="220" w:type="dxa"/>
            <w:vAlign w:val="bottom"/>
            <w:tcBorders>
              <w:top w:val="single" w:sz="8" w:color="4C4C4E"/>
              <w:bottom w:val="single" w:sz="8" w:color="D8EEF4"/>
            </w:tcBorders>
          </w:tcPr>
          <w:p>
            <w:pPr>
              <w:spacing w:after="0"/>
              <w:rPr>
                <w:sz w:val="15"/>
                <w:szCs w:val="15"/>
                <w:color w:val="auto"/>
              </w:rPr>
            </w:pPr>
          </w:p>
        </w:tc>
        <w:tc>
          <w:tcPr>
            <w:tcW w:w="1180" w:type="dxa"/>
            <w:vAlign w:val="bottom"/>
            <w:tcBorders>
              <w:top w:val="single" w:sz="8" w:color="4C4C4E"/>
              <w:bottom w:val="single" w:sz="8" w:color="4C4C4E"/>
            </w:tcBorders>
          </w:tcPr>
          <w:p>
            <w:pPr>
              <w:jc w:val="right"/>
              <w:ind w:right="123"/>
              <w:spacing w:after="0" w:line="179" w:lineRule="exact"/>
              <w:rPr>
                <w:sz w:val="20"/>
                <w:szCs w:val="20"/>
                <w:color w:val="auto"/>
              </w:rPr>
            </w:pPr>
            <w:r>
              <w:rPr>
                <w:rFonts w:ascii="Times New Roman" w:cs="Times New Roman" w:eastAsia="Times New Roman" w:hAnsi="Times New Roman"/>
                <w:sz w:val="16"/>
                <w:szCs w:val="16"/>
                <w:b w:val="1"/>
                <w:bCs w:val="1"/>
                <w:color w:val="4C4C4E"/>
              </w:rPr>
              <w:t>Percentage</w:t>
            </w:r>
          </w:p>
        </w:tc>
        <w:tc>
          <w:tcPr>
            <w:tcW w:w="340" w:type="dxa"/>
            <w:vAlign w:val="bottom"/>
          </w:tcPr>
          <w:p>
            <w:pPr>
              <w:spacing w:after="0"/>
              <w:rPr>
                <w:sz w:val="15"/>
                <w:szCs w:val="15"/>
                <w:color w:val="auto"/>
              </w:rPr>
            </w:pPr>
          </w:p>
        </w:tc>
        <w:tc>
          <w:tcPr>
            <w:tcW w:w="1260" w:type="dxa"/>
            <w:vAlign w:val="bottom"/>
            <w:tcBorders>
              <w:top w:val="single" w:sz="8" w:color="4C4C4E"/>
              <w:bottom w:val="single" w:sz="8" w:color="4C4C4E"/>
            </w:tcBorders>
            <w:gridSpan w:val="2"/>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4C4C4E"/>
              </w:rPr>
              <w:t>Amortized Cost</w:t>
            </w:r>
          </w:p>
        </w:tc>
        <w:tc>
          <w:tcPr>
            <w:tcW w:w="20" w:type="dxa"/>
            <w:vAlign w:val="bottom"/>
            <w:tcBorders>
              <w:top w:val="single" w:sz="8" w:color="4C4C4E"/>
            </w:tcBorders>
          </w:tcPr>
          <w:p>
            <w:pPr>
              <w:spacing w:after="0"/>
              <w:rPr>
                <w:sz w:val="15"/>
                <w:szCs w:val="15"/>
                <w:color w:val="auto"/>
              </w:rPr>
            </w:pPr>
          </w:p>
        </w:tc>
        <w:tc>
          <w:tcPr>
            <w:tcW w:w="220" w:type="dxa"/>
            <w:vAlign w:val="bottom"/>
            <w:tcBorders>
              <w:top w:val="single" w:sz="8" w:color="4C4C4E"/>
              <w:bottom w:val="single" w:sz="8" w:color="D8EEF4"/>
            </w:tcBorders>
          </w:tcPr>
          <w:p>
            <w:pPr>
              <w:spacing w:after="0"/>
              <w:rPr>
                <w:sz w:val="15"/>
                <w:szCs w:val="15"/>
                <w:color w:val="auto"/>
              </w:rPr>
            </w:pPr>
          </w:p>
        </w:tc>
        <w:tc>
          <w:tcPr>
            <w:tcW w:w="1160" w:type="dxa"/>
            <w:vAlign w:val="bottom"/>
            <w:tcBorders>
              <w:top w:val="single" w:sz="8" w:color="4C4C4E"/>
              <w:bottom w:val="single" w:sz="8" w:color="4C4C4E"/>
            </w:tcBorders>
          </w:tcPr>
          <w:p>
            <w:pPr>
              <w:jc w:val="right"/>
              <w:ind w:right="103"/>
              <w:spacing w:after="0" w:line="179" w:lineRule="exact"/>
              <w:rPr>
                <w:sz w:val="20"/>
                <w:szCs w:val="20"/>
                <w:color w:val="auto"/>
              </w:rPr>
            </w:pPr>
            <w:r>
              <w:rPr>
                <w:rFonts w:ascii="Times New Roman" w:cs="Times New Roman" w:eastAsia="Times New Roman" w:hAnsi="Times New Roman"/>
                <w:sz w:val="16"/>
                <w:szCs w:val="16"/>
                <w:b w:val="1"/>
                <w:bCs w:val="1"/>
                <w:color w:val="4C4C4E"/>
              </w:rPr>
              <w:t>Percentage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Performing</w:t>
            </w:r>
          </w:p>
        </w:tc>
        <w:tc>
          <w:tcPr>
            <w:tcW w:w="380" w:type="dxa"/>
            <w:vAlign w:val="bottom"/>
            <w:shd w:val="clear" w:color="auto" w:fill="D8EEF4"/>
          </w:tcPr>
          <w:p>
            <w:pPr>
              <w:jc w:val="right"/>
              <w:ind w:right="184"/>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00" w:type="dxa"/>
            <w:vAlign w:val="bottom"/>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3,254.5</w:t>
            </w:r>
          </w:p>
        </w:tc>
        <w:tc>
          <w:tcPr>
            <w:tcW w:w="220" w:type="dxa"/>
            <w:vAlign w:val="bottom"/>
            <w:shd w:val="clear" w:color="auto" w:fill="D8EEF4"/>
          </w:tcPr>
          <w:p>
            <w:pPr>
              <w:spacing w:after="0"/>
              <w:rPr>
                <w:sz w:val="19"/>
                <w:szCs w:val="19"/>
                <w:color w:val="auto"/>
              </w:rPr>
            </w:pPr>
          </w:p>
        </w:tc>
        <w:tc>
          <w:tcPr>
            <w:tcW w:w="1520" w:type="dxa"/>
            <w:vAlign w:val="bottom"/>
            <w:tcBorders>
              <w:left w:val="single" w:sz="8" w:color="D8EEF4"/>
            </w:tcBorders>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4C4C4E"/>
              </w:rPr>
              <w:t>97.9%</w:t>
            </w:r>
          </w:p>
        </w:tc>
        <w:tc>
          <w:tcPr>
            <w:tcW w:w="380" w:type="dxa"/>
            <w:vAlign w:val="bottom"/>
            <w:shd w:val="clear" w:color="auto" w:fill="D8EEF4"/>
          </w:tcPr>
          <w:p>
            <w:pPr>
              <w:jc w:val="right"/>
              <w:ind w:right="184"/>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00" w:type="dxa"/>
            <w:vAlign w:val="bottom"/>
            <w:gridSpan w:val="2"/>
            <w:shd w:val="clear" w:color="auto" w:fill="D8EE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rPr>
              <w:t>3,410.1</w:t>
            </w:r>
          </w:p>
        </w:tc>
        <w:tc>
          <w:tcPr>
            <w:tcW w:w="220" w:type="dxa"/>
            <w:vAlign w:val="bottom"/>
            <w:shd w:val="clear" w:color="auto" w:fill="D8EEF4"/>
          </w:tcPr>
          <w:p>
            <w:pPr>
              <w:spacing w:after="0"/>
              <w:rPr>
                <w:sz w:val="19"/>
                <w:szCs w:val="19"/>
                <w:color w:val="auto"/>
              </w:rPr>
            </w:pPr>
          </w:p>
        </w:tc>
        <w:tc>
          <w:tcPr>
            <w:tcW w:w="1380" w:type="dxa"/>
            <w:vAlign w:val="bottom"/>
            <w:tcBorders>
              <w:left w:val="single" w:sz="8" w:color="D8EEF4"/>
            </w:tcBorders>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4C4C4E"/>
              </w:rPr>
              <w:t>96.4%</w:t>
            </w:r>
          </w:p>
        </w:tc>
        <w:tc>
          <w:tcPr>
            <w:tcW w:w="0" w:type="dxa"/>
            <w:vAlign w:val="bottom"/>
          </w:tcPr>
          <w:p>
            <w:pPr>
              <w:spacing w:after="0"/>
              <w:rPr>
                <w:sz w:val="1"/>
                <w:szCs w:val="1"/>
                <w:color w:val="auto"/>
              </w:rPr>
            </w:pPr>
          </w:p>
        </w:tc>
      </w:tr>
      <w:tr>
        <w:trPr>
          <w:trHeight w:val="230"/>
        </w:trPr>
        <w:tc>
          <w:tcPr>
            <w:tcW w:w="382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C4C4E"/>
              </w:rPr>
              <w:t xml:space="preserve">Non-accrual </w:t>
            </w:r>
            <w:r>
              <w:rPr>
                <w:rFonts w:ascii="Times New Roman" w:cs="Times New Roman" w:eastAsia="Times New Roman" w:hAnsi="Times New Roman"/>
                <w:sz w:val="26"/>
                <w:szCs w:val="26"/>
                <w:color w:val="4C4C4E"/>
                <w:vertAlign w:val="superscript"/>
              </w:rPr>
              <w:t>(1)</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68.8</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2.1</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4C4C4E"/>
              </w:rPr>
              <w:t>129.1</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380" w:type="dxa"/>
            <w:vAlign w:val="bottom"/>
            <w:shd w:val="clear" w:color="auto" w:fill="4C4C4E"/>
          </w:tcPr>
          <w:p>
            <w:pPr>
              <w:spacing w:after="0" w:line="20" w:lineRule="exact"/>
              <w:rPr>
                <w:sz w:val="1"/>
                <w:szCs w:val="1"/>
                <w:color w:val="auto"/>
              </w:rPr>
            </w:pPr>
          </w:p>
        </w:tc>
        <w:tc>
          <w:tcPr>
            <w:tcW w:w="900" w:type="dxa"/>
            <w:vAlign w:val="bottom"/>
            <w:shd w:val="clear" w:color="auto" w:fill="4C4C4E"/>
          </w:tcPr>
          <w:p>
            <w:pPr>
              <w:spacing w:after="0" w:line="20" w:lineRule="exact"/>
              <w:rPr>
                <w:sz w:val="1"/>
                <w:szCs w:val="1"/>
                <w:color w:val="auto"/>
              </w:rPr>
            </w:pPr>
          </w:p>
        </w:tc>
        <w:tc>
          <w:tcPr>
            <w:tcW w:w="220" w:type="dxa"/>
            <w:vAlign w:val="bottom"/>
            <w:vMerge w:val="restart"/>
            <w:shd w:val="clear" w:color="auto" w:fill="D8EEF4"/>
          </w:tcPr>
          <w:p>
            <w:pPr>
              <w:spacing w:after="0" w:line="20" w:lineRule="exact"/>
              <w:rPr>
                <w:sz w:val="1"/>
                <w:szCs w:val="1"/>
                <w:color w:val="auto"/>
              </w:rPr>
            </w:pPr>
          </w:p>
        </w:tc>
        <w:tc>
          <w:tcPr>
            <w:tcW w:w="1180" w:type="dxa"/>
            <w:vAlign w:val="bottom"/>
            <w:tcBorders>
              <w:left w:val="single" w:sz="8" w:color="4C4C4E"/>
            </w:tcBorders>
            <w:shd w:val="clear" w:color="auto" w:fill="4C4C4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4C4C4E"/>
          </w:tcPr>
          <w:p>
            <w:pPr>
              <w:spacing w:after="0" w:line="20" w:lineRule="exact"/>
              <w:rPr>
                <w:sz w:val="1"/>
                <w:szCs w:val="1"/>
                <w:color w:val="auto"/>
              </w:rPr>
            </w:pPr>
          </w:p>
        </w:tc>
        <w:tc>
          <w:tcPr>
            <w:tcW w:w="880" w:type="dxa"/>
            <w:vAlign w:val="bottom"/>
            <w:shd w:val="clear" w:color="auto" w:fill="4C4C4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shd w:val="clear" w:color="auto" w:fill="D8EEF4"/>
          </w:tcPr>
          <w:p>
            <w:pPr>
              <w:spacing w:after="0" w:line="20" w:lineRule="exact"/>
              <w:rPr>
                <w:sz w:val="1"/>
                <w:szCs w:val="1"/>
                <w:color w:val="auto"/>
              </w:rPr>
            </w:pPr>
          </w:p>
        </w:tc>
        <w:tc>
          <w:tcPr>
            <w:tcW w:w="1160" w:type="dxa"/>
            <w:vAlign w:val="bottom"/>
            <w:tcBorders>
              <w:left w:val="single" w:sz="8" w:color="4C4C4E"/>
            </w:tcBorders>
            <w:shd w:val="clear" w:color="auto" w:fill="4C4C4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20" w:type="dxa"/>
            <w:vAlign w:val="bottom"/>
            <w:vMerge w:val="continue"/>
            <w:shd w:val="clear" w:color="auto" w:fill="D8EEF4"/>
          </w:tcPr>
          <w:p>
            <w:pPr>
              <w:spacing w:after="0"/>
              <w:rPr>
                <w:sz w:val="19"/>
                <w:szCs w:val="19"/>
                <w:color w:val="auto"/>
              </w:rPr>
            </w:pPr>
          </w:p>
        </w:tc>
        <w:tc>
          <w:tcPr>
            <w:tcW w:w="380" w:type="dxa"/>
            <w:vAlign w:val="bottom"/>
            <w:shd w:val="clear" w:color="auto" w:fill="D8EEF4"/>
          </w:tcPr>
          <w:p>
            <w:pPr>
              <w:jc w:val="right"/>
              <w:ind w:right="184"/>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00" w:type="dxa"/>
            <w:vAlign w:val="bottom"/>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3,323.3</w:t>
            </w:r>
          </w:p>
        </w:tc>
        <w:tc>
          <w:tcPr>
            <w:tcW w:w="220" w:type="dxa"/>
            <w:vAlign w:val="bottom"/>
            <w:vMerge w:val="continue"/>
            <w:shd w:val="clear" w:color="auto" w:fill="D8EEF4"/>
          </w:tcPr>
          <w:p>
            <w:pPr>
              <w:spacing w:after="0"/>
              <w:rPr>
                <w:sz w:val="19"/>
                <w:szCs w:val="19"/>
                <w:color w:val="auto"/>
              </w:rPr>
            </w:pPr>
          </w:p>
        </w:tc>
        <w:tc>
          <w:tcPr>
            <w:tcW w:w="1520" w:type="dxa"/>
            <w:vAlign w:val="bottom"/>
            <w:tcBorders>
              <w:left w:val="single" w:sz="8" w:color="D8EEF4"/>
            </w:tcBorders>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4C4C4E"/>
              </w:rPr>
              <w:t>100.0%</w:t>
            </w:r>
          </w:p>
        </w:tc>
        <w:tc>
          <w:tcPr>
            <w:tcW w:w="380" w:type="dxa"/>
            <w:vAlign w:val="bottom"/>
            <w:shd w:val="clear" w:color="auto" w:fill="D8EEF4"/>
          </w:tcPr>
          <w:p>
            <w:pPr>
              <w:jc w:val="right"/>
              <w:ind w:right="184"/>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00" w:type="dxa"/>
            <w:vAlign w:val="bottom"/>
            <w:gridSpan w:val="2"/>
            <w:shd w:val="clear" w:color="auto" w:fill="D8EE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rPr>
              <w:t>3,539.2</w:t>
            </w:r>
          </w:p>
        </w:tc>
        <w:tc>
          <w:tcPr>
            <w:tcW w:w="220" w:type="dxa"/>
            <w:vAlign w:val="bottom"/>
            <w:vMerge w:val="continue"/>
            <w:shd w:val="clear" w:color="auto" w:fill="D8EEF4"/>
          </w:tcPr>
          <w:p>
            <w:pPr>
              <w:spacing w:after="0"/>
              <w:rPr>
                <w:sz w:val="19"/>
                <w:szCs w:val="19"/>
                <w:color w:val="auto"/>
              </w:rPr>
            </w:pPr>
          </w:p>
        </w:tc>
        <w:tc>
          <w:tcPr>
            <w:tcW w:w="1380" w:type="dxa"/>
            <w:vAlign w:val="bottom"/>
            <w:tcBorders>
              <w:left w:val="single" w:sz="8" w:color="D8EEF4"/>
            </w:tcBorders>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4C4C4E"/>
              </w:rPr>
              <w:t>100.0%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80" w:type="dxa"/>
            <w:vAlign w:val="bottom"/>
            <w:tcBorders>
              <w:top w:val="single" w:sz="8" w:color="4C4C4E"/>
              <w:bottom w:val="single" w:sz="8" w:color="4C4C4E"/>
            </w:tcBorders>
          </w:tcPr>
          <w:p>
            <w:pPr>
              <w:spacing w:after="0" w:line="20" w:lineRule="exact"/>
              <w:rPr>
                <w:sz w:val="1"/>
                <w:szCs w:val="1"/>
                <w:color w:val="auto"/>
              </w:rPr>
            </w:pPr>
          </w:p>
        </w:tc>
        <w:tc>
          <w:tcPr>
            <w:tcW w:w="900" w:type="dxa"/>
            <w:vAlign w:val="bottom"/>
            <w:tcBorders>
              <w:top w:val="single" w:sz="8" w:color="4C4C4E"/>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4C4C4E"/>
              <w:bottom w:val="single" w:sz="8" w:color="4C4C4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4C4C4E"/>
              <w:bottom w:val="single" w:sz="8" w:color="4C4C4E"/>
            </w:tcBorders>
          </w:tcPr>
          <w:p>
            <w:pPr>
              <w:spacing w:after="0" w:line="20" w:lineRule="exact"/>
              <w:rPr>
                <w:sz w:val="1"/>
                <w:szCs w:val="1"/>
                <w:color w:val="auto"/>
              </w:rPr>
            </w:pPr>
          </w:p>
        </w:tc>
        <w:tc>
          <w:tcPr>
            <w:tcW w:w="88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4C4C4E"/>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3721735</wp:posOffset>
                </wp:positionH>
                <wp:positionV relativeFrom="paragraph">
                  <wp:posOffset>-1057910</wp:posOffset>
                </wp:positionV>
                <wp:extent cx="744220" cy="15494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154940"/>
                        </a:xfrm>
                        <a:prstGeom prst="rect">
                          <a:avLst/>
                        </a:prstGeom>
                        <a:solidFill>
                          <a:srgbClr val="D8EEF4"/>
                        </a:solidFill>
                      </wps:spPr>
                      <wps:bodyPr/>
                    </wps:wsp>
                  </a:graphicData>
                </a:graphic>
              </wp:anchor>
            </w:drawing>
          </mc:Choice>
          <mc:Fallback>
            <w:pict>
              <v:rect id="Shape 50" o:spid="_x0000_s1075" style="position:absolute;margin-left:293.05pt;margin-top:-83.2999pt;width:58.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4465955</wp:posOffset>
                </wp:positionH>
                <wp:positionV relativeFrom="paragraph">
                  <wp:posOffset>-1067435</wp:posOffset>
                </wp:positionV>
                <wp:extent cx="219075" cy="16446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 cy="164465"/>
                        </a:xfrm>
                        <a:prstGeom prst="rect">
                          <a:avLst/>
                        </a:prstGeom>
                        <a:solidFill>
                          <a:srgbClr val="D8EEF4"/>
                        </a:solidFill>
                      </wps:spPr>
                      <wps:bodyPr/>
                    </wps:wsp>
                  </a:graphicData>
                </a:graphic>
              </wp:anchor>
            </w:drawing>
          </mc:Choice>
          <mc:Fallback>
            <w:pict>
              <v:rect id="Shape 51" o:spid="_x0000_s1076" style="position:absolute;margin-left:351.65pt;margin-top:-84.0499pt;width:17.2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5636260</wp:posOffset>
                </wp:positionH>
                <wp:positionV relativeFrom="paragraph">
                  <wp:posOffset>-1057910</wp:posOffset>
                </wp:positionV>
                <wp:extent cx="744220" cy="15494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154940"/>
                        </a:xfrm>
                        <a:prstGeom prst="rect">
                          <a:avLst/>
                        </a:prstGeom>
                        <a:solidFill>
                          <a:srgbClr val="D8EEF4"/>
                        </a:solidFill>
                      </wps:spPr>
                      <wps:bodyPr/>
                    </wps:wsp>
                  </a:graphicData>
                </a:graphic>
              </wp:anchor>
            </w:drawing>
          </mc:Choice>
          <mc:Fallback>
            <w:pict>
              <v:rect id="Shape 52" o:spid="_x0000_s1077" style="position:absolute;margin-left:443.8pt;margin-top:-83.2999pt;width:58.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3721100</wp:posOffset>
                </wp:positionH>
                <wp:positionV relativeFrom="paragraph">
                  <wp:posOffset>-476250</wp:posOffset>
                </wp:positionV>
                <wp:extent cx="744220" cy="14605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146050"/>
                        </a:xfrm>
                        <a:prstGeom prst="rect">
                          <a:avLst/>
                        </a:prstGeom>
                        <a:solidFill>
                          <a:srgbClr val="D8EEF4"/>
                        </a:solidFill>
                      </wps:spPr>
                      <wps:bodyPr/>
                    </wps:wsp>
                  </a:graphicData>
                </a:graphic>
              </wp:anchor>
            </w:drawing>
          </mc:Choice>
          <mc:Fallback>
            <w:pict>
              <v:rect id="Shape 53" o:spid="_x0000_s1078" style="position:absolute;margin-left:293pt;margin-top:-37.4999pt;width:58.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4465955</wp:posOffset>
                </wp:positionH>
                <wp:positionV relativeFrom="paragraph">
                  <wp:posOffset>-485140</wp:posOffset>
                </wp:positionV>
                <wp:extent cx="219075" cy="15557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 cy="155575"/>
                        </a:xfrm>
                        <a:prstGeom prst="rect">
                          <a:avLst/>
                        </a:prstGeom>
                        <a:solidFill>
                          <a:srgbClr val="D8EEF4"/>
                        </a:solidFill>
                      </wps:spPr>
                      <wps:bodyPr/>
                    </wps:wsp>
                  </a:graphicData>
                </a:graphic>
              </wp:anchor>
            </w:drawing>
          </mc:Choice>
          <mc:Fallback>
            <w:pict>
              <v:rect id="Shape 54" o:spid="_x0000_s1079" style="position:absolute;margin-left:351.65pt;margin-top:-38.1999pt;width:17.2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5636260</wp:posOffset>
                </wp:positionH>
                <wp:positionV relativeFrom="paragraph">
                  <wp:posOffset>-476250</wp:posOffset>
                </wp:positionV>
                <wp:extent cx="744220" cy="14605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146050"/>
                        </a:xfrm>
                        <a:prstGeom prst="rect">
                          <a:avLst/>
                        </a:prstGeom>
                        <a:solidFill>
                          <a:srgbClr val="D8EEF4"/>
                        </a:solidFill>
                      </wps:spPr>
                      <wps:bodyPr/>
                    </wps:wsp>
                  </a:graphicData>
                </a:graphic>
              </wp:anchor>
            </w:drawing>
          </mc:Choice>
          <mc:Fallback>
            <w:pict>
              <v:rect id="Shape 55" o:spid="_x0000_s1080" style="position:absolute;margin-left:443.8pt;margin-top:-37.4999pt;width:58.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3721100</wp:posOffset>
                </wp:positionH>
                <wp:positionV relativeFrom="paragraph">
                  <wp:posOffset>-174625</wp:posOffset>
                </wp:positionV>
                <wp:extent cx="744220" cy="14605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146050"/>
                        </a:xfrm>
                        <a:prstGeom prst="rect">
                          <a:avLst/>
                        </a:prstGeom>
                        <a:solidFill>
                          <a:srgbClr val="D8EEF4"/>
                        </a:solidFill>
                      </wps:spPr>
                      <wps:bodyPr/>
                    </wps:wsp>
                  </a:graphicData>
                </a:graphic>
              </wp:anchor>
            </w:drawing>
          </mc:Choice>
          <mc:Fallback>
            <w:pict>
              <v:rect id="Shape 56" o:spid="_x0000_s1081" style="position:absolute;margin-left:293pt;margin-top:-13.7499pt;width:58.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4465955</wp:posOffset>
                </wp:positionH>
                <wp:positionV relativeFrom="paragraph">
                  <wp:posOffset>-183515</wp:posOffset>
                </wp:positionV>
                <wp:extent cx="219075" cy="15557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 cy="155575"/>
                        </a:xfrm>
                        <a:prstGeom prst="rect">
                          <a:avLst/>
                        </a:prstGeom>
                        <a:solidFill>
                          <a:srgbClr val="D8EEF4"/>
                        </a:solidFill>
                      </wps:spPr>
                      <wps:bodyPr/>
                    </wps:wsp>
                  </a:graphicData>
                </a:graphic>
              </wp:anchor>
            </w:drawing>
          </mc:Choice>
          <mc:Fallback>
            <w:pict>
              <v:rect id="Shape 57" o:spid="_x0000_s1082" style="position:absolute;margin-left:351.65pt;margin-top:-14.4499pt;width:17.2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5636260</wp:posOffset>
                </wp:positionH>
                <wp:positionV relativeFrom="paragraph">
                  <wp:posOffset>-174625</wp:posOffset>
                </wp:positionV>
                <wp:extent cx="744220" cy="14605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146050"/>
                        </a:xfrm>
                        <a:prstGeom prst="rect">
                          <a:avLst/>
                        </a:prstGeom>
                        <a:solidFill>
                          <a:srgbClr val="D8EEF4"/>
                        </a:solidFill>
                      </wps:spPr>
                      <wps:bodyPr/>
                    </wps:wsp>
                  </a:graphicData>
                </a:graphic>
              </wp:anchor>
            </w:drawing>
          </mc:Choice>
          <mc:Fallback>
            <w:pict>
              <v:rect id="Shape 58" o:spid="_x0000_s1083" style="position:absolute;margin-left:443.8pt;margin-top:-13.7499pt;width:58.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191" w:lineRule="exact"/>
        <w:rPr>
          <w:sz w:val="20"/>
          <w:szCs w:val="20"/>
          <w:color w:val="auto"/>
        </w:rPr>
      </w:pPr>
    </w:p>
    <w:p>
      <w:pPr>
        <w:ind w:left="500" w:right="180" w:hanging="500"/>
        <w:spacing w:after="0" w:line="246" w:lineRule="auto"/>
        <w:tabs>
          <w:tab w:leader="none" w:pos="500" w:val="left"/>
        </w:tabs>
        <w:numPr>
          <w:ilvl w:val="0"/>
          <w:numId w:val="53"/>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20"/>
          <w:szCs w:val="20"/>
          <w:i w:val="1"/>
          <w:iCs w:val="1"/>
          <w:color w:val="4C4C4E"/>
        </w:rPr>
        <w:t>“–Critical Accounting Estimates – Interest</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and Dividend Income Recognition.”</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weighted average yields and interest rates of our performing debt investments at fair value as of December 31, 2025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December 31, 2024 were as follows:</w:t>
      </w:r>
    </w:p>
    <w:tbl>
      <w:tblPr>
        <w:tblLayout w:type="fixed"/>
        <w:tblInd w:w="108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1840" w:type="dxa"/>
            <w:vAlign w:val="bottom"/>
            <w:gridSpan w:val="2"/>
          </w:tcPr>
          <w:p>
            <w:pPr>
              <w:jc w:val="right"/>
              <w:ind w:right="460"/>
              <w:spacing w:after="0" w:line="178" w:lineRule="exact"/>
              <w:rPr>
                <w:sz w:val="20"/>
                <w:szCs w:val="20"/>
                <w:color w:val="auto"/>
              </w:rPr>
            </w:pPr>
            <w:r>
              <w:rPr>
                <w:rFonts w:ascii="Times New Roman" w:cs="Times New Roman" w:eastAsia="Times New Roman" w:hAnsi="Times New Roman"/>
                <w:sz w:val="16"/>
                <w:szCs w:val="16"/>
                <w:b w:val="1"/>
                <w:bCs w:val="1"/>
                <w:color w:val="4C4C4E"/>
              </w:rPr>
              <w:t>December 31, 2025</w:t>
            </w:r>
          </w:p>
        </w:tc>
        <w:tc>
          <w:tcPr>
            <w:tcW w:w="1720" w:type="dxa"/>
            <w:vAlign w:val="bottom"/>
            <w:gridSpan w:val="2"/>
          </w:tcPr>
          <w:p>
            <w:pPr>
              <w:jc w:val="right"/>
              <w:ind w:right="320"/>
              <w:spacing w:after="0" w:line="178" w:lineRule="exact"/>
              <w:rPr>
                <w:sz w:val="20"/>
                <w:szCs w:val="20"/>
                <w:color w:val="auto"/>
              </w:rPr>
            </w:pPr>
            <w:r>
              <w:rPr>
                <w:rFonts w:ascii="Times New Roman" w:cs="Times New Roman" w:eastAsia="Times New Roman" w:hAnsi="Times New Roman"/>
                <w:sz w:val="16"/>
                <w:szCs w:val="16"/>
                <w:b w:val="1"/>
                <w:bCs w:val="1"/>
                <w:color w:val="4C4C4E"/>
              </w:rPr>
              <w:t>December 31, 2024</w:t>
            </w:r>
          </w:p>
        </w:tc>
      </w:tr>
      <w:tr>
        <w:trPr>
          <w:trHeight w:val="206"/>
        </w:trPr>
        <w:tc>
          <w:tcPr>
            <w:tcW w:w="5080" w:type="dxa"/>
            <w:vAlign w:val="bottom"/>
            <w:tcBorders>
              <w:top w:val="single" w:sz="8" w:color="D8EEF4"/>
              <w:right w:val="single" w:sz="8" w:color="D8EEF4"/>
            </w:tcBorders>
            <w:shd w:val="clear" w:color="auto" w:fill="D8EEF4"/>
          </w:tcPr>
          <w:p>
            <w:pPr>
              <w:spacing w:after="0" w:line="206" w:lineRule="exact"/>
              <w:rPr>
                <w:sz w:val="20"/>
                <w:szCs w:val="20"/>
                <w:color w:val="auto"/>
              </w:rPr>
            </w:pPr>
            <w:r>
              <w:rPr>
                <w:rFonts w:ascii="Times New Roman" w:cs="Times New Roman" w:eastAsia="Times New Roman" w:hAnsi="Times New Roman"/>
                <w:sz w:val="20"/>
                <w:szCs w:val="20"/>
                <w:color w:val="4C4C4E"/>
              </w:rPr>
              <w:t>Weighted average total yield of debt and income</w:t>
            </w:r>
          </w:p>
        </w:tc>
        <w:tc>
          <w:tcPr>
            <w:tcW w:w="1480" w:type="dxa"/>
            <w:vAlign w:val="bottom"/>
            <w:tcBorders>
              <w:top w:val="single" w:sz="8" w:color="4C4C4E"/>
            </w:tcBorders>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top w:val="single" w:sz="8" w:color="4C4C4E"/>
            </w:tcBorders>
          </w:tcPr>
          <w:p>
            <w:pPr>
              <w:spacing w:after="0"/>
              <w:rPr>
                <w:sz w:val="17"/>
                <w:szCs w:val="17"/>
                <w:color w:val="auto"/>
              </w:rPr>
            </w:pPr>
          </w:p>
        </w:tc>
        <w:tc>
          <w:tcPr>
            <w:tcW w:w="220" w:type="dxa"/>
            <w:vAlign w:val="bottom"/>
          </w:tcPr>
          <w:p>
            <w:pPr>
              <w:spacing w:after="0"/>
              <w:rPr>
                <w:sz w:val="17"/>
                <w:szCs w:val="17"/>
                <w:color w:val="auto"/>
              </w:rPr>
            </w:pPr>
          </w:p>
        </w:tc>
      </w:tr>
      <w:tr>
        <w:trPr>
          <w:trHeight w:val="250"/>
        </w:trPr>
        <w:tc>
          <w:tcPr>
            <w:tcW w:w="5080" w:type="dxa"/>
            <w:vAlign w:val="bottom"/>
            <w:tcBorders>
              <w:right w:val="single" w:sz="8" w:color="D8EEF4"/>
            </w:tcBorders>
            <w:shd w:val="clear" w:color="auto" w:fill="D8EEF4"/>
          </w:tcPr>
          <w:p>
            <w:pPr>
              <w:ind w:left="160"/>
              <w:spacing w:after="0" w:line="250" w:lineRule="exact"/>
              <w:rPr>
                <w:sz w:val="20"/>
                <w:szCs w:val="20"/>
                <w:color w:val="auto"/>
              </w:rPr>
            </w:pPr>
            <w:r>
              <w:rPr>
                <w:rFonts w:ascii="Times New Roman" w:cs="Times New Roman" w:eastAsia="Times New Roman" w:hAnsi="Times New Roman"/>
                <w:sz w:val="20"/>
                <w:szCs w:val="20"/>
                <w:color w:val="4C4C4E"/>
              </w:rPr>
              <w:t xml:space="preserve">producing securities </w:t>
            </w:r>
            <w:r>
              <w:rPr>
                <w:rFonts w:ascii="Times New Roman" w:cs="Times New Roman" w:eastAsia="Times New Roman" w:hAnsi="Times New Roman"/>
                <w:sz w:val="26"/>
                <w:szCs w:val="26"/>
                <w:color w:val="4C4C4E"/>
                <w:vertAlign w:val="superscript"/>
              </w:rPr>
              <w:t>(1)</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C4C4E"/>
              </w:rPr>
              <w:t>11.1%</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12.3%</w:t>
            </w:r>
          </w:p>
        </w:tc>
      </w:tr>
      <w:tr>
        <w:trPr>
          <w:trHeight w:val="210"/>
        </w:trPr>
        <w:tc>
          <w:tcPr>
            <w:tcW w:w="50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4C4C4E"/>
              </w:rPr>
              <w:t>Weighted average interest rate of debt and income</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0"/>
        </w:trPr>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color w:val="4C4C4E"/>
              </w:rPr>
              <w:t>producing securities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C4C4E"/>
              </w:rPr>
              <w:t>10.6%</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11.8%</w:t>
            </w:r>
          </w:p>
        </w:tc>
      </w:tr>
      <w:tr>
        <w:trPr>
          <w:trHeight w:val="210"/>
        </w:trPr>
        <w:tc>
          <w:tcPr>
            <w:tcW w:w="5080" w:type="dxa"/>
            <w:vAlign w:val="bottom"/>
            <w:tcBorders>
              <w:right w:val="single" w:sz="8" w:color="D8EEF4"/>
            </w:tcBorders>
            <w:shd w:val="clear" w:color="auto" w:fill="D8EEF4"/>
          </w:tcPr>
          <w:p>
            <w:pPr>
              <w:spacing w:after="0" w:line="210" w:lineRule="exact"/>
              <w:rPr>
                <w:sz w:val="20"/>
                <w:szCs w:val="20"/>
                <w:color w:val="auto"/>
              </w:rPr>
            </w:pPr>
            <w:r>
              <w:rPr>
                <w:rFonts w:ascii="Times New Roman" w:cs="Times New Roman" w:eastAsia="Times New Roman" w:hAnsi="Times New Roman"/>
                <w:sz w:val="20"/>
                <w:szCs w:val="20"/>
                <w:color w:val="4C4C4E"/>
              </w:rPr>
              <w:t>Weighted average spread over reference rate of all floating</w:t>
            </w:r>
          </w:p>
        </w:tc>
        <w:tc>
          <w:tcPr>
            <w:tcW w:w="1480" w:type="dxa"/>
            <w:vAlign w:val="bottom"/>
            <w:shd w:val="clear" w:color="auto" w:fill="D8EEF4"/>
          </w:tcPr>
          <w:p>
            <w:pPr>
              <w:spacing w:after="0"/>
              <w:rPr>
                <w:sz w:val="18"/>
                <w:szCs w:val="18"/>
                <w:color w:val="auto"/>
              </w:rPr>
            </w:pPr>
          </w:p>
        </w:tc>
        <w:tc>
          <w:tcPr>
            <w:tcW w:w="360" w:type="dxa"/>
            <w:vAlign w:val="bottom"/>
            <w:shd w:val="clear" w:color="auto" w:fill="D8EEF4"/>
          </w:tcPr>
          <w:p>
            <w:pPr>
              <w:spacing w:after="0"/>
              <w:rPr>
                <w:sz w:val="18"/>
                <w:szCs w:val="18"/>
                <w:color w:val="auto"/>
              </w:rPr>
            </w:pPr>
          </w:p>
        </w:tc>
        <w:tc>
          <w:tcPr>
            <w:tcW w:w="1500" w:type="dxa"/>
            <w:vAlign w:val="bottom"/>
            <w:shd w:val="clear" w:color="auto" w:fill="D8EEF4"/>
          </w:tcPr>
          <w:p>
            <w:pPr>
              <w:spacing w:after="0"/>
              <w:rPr>
                <w:sz w:val="18"/>
                <w:szCs w:val="18"/>
                <w:color w:val="auto"/>
              </w:rPr>
            </w:pPr>
          </w:p>
        </w:tc>
        <w:tc>
          <w:tcPr>
            <w:tcW w:w="220" w:type="dxa"/>
            <w:vAlign w:val="bottom"/>
            <w:shd w:val="clear" w:color="auto" w:fill="D8EEF4"/>
          </w:tcPr>
          <w:p>
            <w:pPr>
              <w:spacing w:after="0"/>
              <w:rPr>
                <w:sz w:val="18"/>
                <w:szCs w:val="18"/>
                <w:color w:val="auto"/>
              </w:rPr>
            </w:pPr>
          </w:p>
        </w:tc>
      </w:tr>
      <w:tr>
        <w:trPr>
          <w:trHeight w:val="250"/>
        </w:trPr>
        <w:tc>
          <w:tcPr>
            <w:tcW w:w="5080" w:type="dxa"/>
            <w:vAlign w:val="bottom"/>
            <w:tcBorders>
              <w:right w:val="single" w:sz="8" w:color="D8EEF4"/>
            </w:tcBorders>
            <w:shd w:val="clear" w:color="auto" w:fill="D8EEF4"/>
          </w:tcPr>
          <w:p>
            <w:pPr>
              <w:ind w:left="160"/>
              <w:spacing w:after="0"/>
              <w:rPr>
                <w:sz w:val="20"/>
                <w:szCs w:val="20"/>
                <w:color w:val="auto"/>
              </w:rPr>
            </w:pPr>
            <w:r>
              <w:rPr>
                <w:rFonts w:ascii="Times New Roman" w:cs="Times New Roman" w:eastAsia="Times New Roman" w:hAnsi="Times New Roman"/>
                <w:sz w:val="20"/>
                <w:szCs w:val="20"/>
                <w:color w:val="4C4C4E"/>
              </w:rPr>
              <w:t>rate investments</w:t>
            </w:r>
          </w:p>
        </w:tc>
        <w:tc>
          <w:tcPr>
            <w:tcW w:w="1840" w:type="dxa"/>
            <w:vAlign w:val="bottom"/>
            <w:gridSpan w:val="2"/>
            <w:shd w:val="clear" w:color="auto" w:fill="D8EEF4"/>
          </w:tcPr>
          <w:p>
            <w:pPr>
              <w:jc w:val="right"/>
              <w:ind w:right="200"/>
              <w:spacing w:after="0"/>
              <w:rPr>
                <w:sz w:val="20"/>
                <w:szCs w:val="20"/>
                <w:color w:val="auto"/>
              </w:rPr>
            </w:pPr>
            <w:r>
              <w:rPr>
                <w:rFonts w:ascii="Times New Roman" w:cs="Times New Roman" w:eastAsia="Times New Roman" w:hAnsi="Times New Roman"/>
                <w:sz w:val="20"/>
                <w:szCs w:val="20"/>
                <w:color w:val="4C4C4E"/>
              </w:rPr>
              <w:t>7.1%</w:t>
            </w:r>
          </w:p>
        </w:tc>
        <w:tc>
          <w:tcPr>
            <w:tcW w:w="1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rPr>
              <w:t>7.7%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3897630</wp:posOffset>
                </wp:positionH>
                <wp:positionV relativeFrom="paragraph">
                  <wp:posOffset>-875665</wp:posOffset>
                </wp:positionV>
                <wp:extent cx="951230" cy="29210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292100"/>
                        </a:xfrm>
                        <a:prstGeom prst="rect">
                          <a:avLst/>
                        </a:prstGeom>
                        <a:solidFill>
                          <a:srgbClr val="D8EEF4"/>
                        </a:solidFill>
                      </wps:spPr>
                      <wps:bodyPr/>
                    </wps:wsp>
                  </a:graphicData>
                </a:graphic>
              </wp:anchor>
            </w:drawing>
          </mc:Choice>
          <mc:Fallback>
            <w:pict>
              <v:rect id="Shape 59" o:spid="_x0000_s1084" style="position:absolute;margin-left:306.9pt;margin-top:-68.9499pt;width:74.9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4848860</wp:posOffset>
                </wp:positionH>
                <wp:positionV relativeFrom="paragraph">
                  <wp:posOffset>-885190</wp:posOffset>
                </wp:positionV>
                <wp:extent cx="236855" cy="30162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855" cy="301625"/>
                        </a:xfrm>
                        <a:prstGeom prst="rect">
                          <a:avLst/>
                        </a:prstGeom>
                        <a:solidFill>
                          <a:srgbClr val="D8EEF4"/>
                        </a:solidFill>
                      </wps:spPr>
                      <wps:bodyPr/>
                    </wps:wsp>
                  </a:graphicData>
                </a:graphic>
              </wp:anchor>
            </w:drawing>
          </mc:Choice>
          <mc:Fallback>
            <w:pict>
              <v:rect id="Shape 60" o:spid="_x0000_s1085" style="position:absolute;margin-left:381.8pt;margin-top:-69.6999pt;width:18.65pt;height:2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5085715</wp:posOffset>
                </wp:positionH>
                <wp:positionV relativeFrom="paragraph">
                  <wp:posOffset>-875665</wp:posOffset>
                </wp:positionV>
                <wp:extent cx="951230" cy="29210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292100"/>
                        </a:xfrm>
                        <a:prstGeom prst="rect">
                          <a:avLst/>
                        </a:prstGeom>
                        <a:solidFill>
                          <a:srgbClr val="D8EEF4"/>
                        </a:solidFill>
                      </wps:spPr>
                      <wps:bodyPr/>
                    </wps:wsp>
                  </a:graphicData>
                </a:graphic>
              </wp:anchor>
            </w:drawing>
          </mc:Choice>
          <mc:Fallback>
            <w:pict>
              <v:rect id="Shape 61" o:spid="_x0000_s1086" style="position:absolute;margin-left:400.45pt;margin-top:-68.9499pt;width:74.9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6036945</wp:posOffset>
                </wp:positionH>
                <wp:positionV relativeFrom="paragraph">
                  <wp:posOffset>-885825</wp:posOffset>
                </wp:positionV>
                <wp:extent cx="134620" cy="30162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620" cy="301625"/>
                        </a:xfrm>
                        <a:prstGeom prst="rect">
                          <a:avLst/>
                        </a:prstGeom>
                        <a:solidFill>
                          <a:srgbClr val="D8EEF4"/>
                        </a:solidFill>
                      </wps:spPr>
                      <wps:bodyPr/>
                    </wps:wsp>
                  </a:graphicData>
                </a:graphic>
              </wp:anchor>
            </w:drawing>
          </mc:Choice>
          <mc:Fallback>
            <w:pict>
              <v:rect id="Shape 62" o:spid="_x0000_s1087" style="position:absolute;margin-left:475.35pt;margin-top:-69.7499pt;width:10.6pt;height:2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190" w:lineRule="exact"/>
        <w:rPr>
          <w:sz w:val="20"/>
          <w:szCs w:val="20"/>
          <w:color w:val="auto"/>
        </w:rPr>
      </w:pPr>
    </w:p>
    <w:p>
      <w:pPr>
        <w:ind w:left="500" w:hanging="500"/>
        <w:spacing w:after="0"/>
        <w:tabs>
          <w:tab w:leader="none" w:pos="500" w:val="left"/>
        </w:tabs>
        <w:numPr>
          <w:ilvl w:val="0"/>
          <w:numId w:val="5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Weighted average total portfolio yield at fair value was 10.5% at December 31, 2025 and 11.6% at December 31, 2024.</w:t>
      </w:r>
    </w:p>
    <w:p>
      <w:pPr>
        <w:spacing w:after="0" w:line="316" w:lineRule="exact"/>
        <w:rPr>
          <w:sz w:val="20"/>
          <w:szCs w:val="20"/>
          <w:color w:val="auto"/>
        </w:rPr>
      </w:pPr>
    </w:p>
    <w:p>
      <w:pPr>
        <w:ind w:right="120" w:firstLine="245"/>
        <w:spacing w:after="0" w:line="278" w:lineRule="auto"/>
        <w:rPr>
          <w:sz w:val="20"/>
          <w:szCs w:val="20"/>
          <w:color w:val="auto"/>
        </w:rPr>
      </w:pPr>
      <w:r>
        <w:rPr>
          <w:rFonts w:ascii="Times New Roman" w:cs="Times New Roman" w:eastAsia="Times New Roman" w:hAnsi="Times New Roman"/>
          <w:sz w:val="19"/>
          <w:szCs w:val="19"/>
          <w:color w:val="4C4C4E"/>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5" w:lineRule="exact"/>
        <w:rPr>
          <w:sz w:val="20"/>
          <w:szCs w:val="20"/>
          <w:color w:val="auto"/>
        </w:rPr>
      </w:pPr>
    </w:p>
    <w:p>
      <w:pPr>
        <w:ind w:left="500" w:hanging="255"/>
        <w:spacing w:after="0"/>
        <w:tabs>
          <w:tab w:leader="none" w:pos="500" w:val="left"/>
        </w:tabs>
        <w:numPr>
          <w:ilvl w:val="0"/>
          <w:numId w:val="55"/>
        </w:numPr>
        <w:rPr>
          <w:rFonts w:ascii="Arial" w:cs="Arial" w:eastAsia="Arial" w:hAnsi="Arial"/>
          <w:sz w:val="20"/>
          <w:szCs w:val="20"/>
          <w:color w:val="4C4C4E"/>
        </w:rPr>
      </w:pPr>
      <w:r>
        <w:rPr>
          <w:rFonts w:ascii="Times New Roman" w:cs="Times New Roman" w:eastAsia="Times New Roman" w:hAnsi="Times New Roman"/>
          <w:sz w:val="20"/>
          <w:szCs w:val="20"/>
          <w:color w:val="4C4C4E"/>
        </w:rPr>
        <w:t>assessment of success of the portfolio company in adhering to its business plan and compliance with covenants;</w:t>
      </w:r>
    </w:p>
    <w:p>
      <w:pPr>
        <w:spacing w:after="0" w:line="133" w:lineRule="exact"/>
        <w:rPr>
          <w:rFonts w:ascii="Arial" w:cs="Arial" w:eastAsia="Arial" w:hAnsi="Arial"/>
          <w:sz w:val="20"/>
          <w:szCs w:val="20"/>
          <w:color w:val="4C4C4E"/>
        </w:rPr>
      </w:pPr>
    </w:p>
    <w:p>
      <w:pPr>
        <w:ind w:left="500" w:right="580" w:hanging="255"/>
        <w:spacing w:after="0" w:line="276" w:lineRule="auto"/>
        <w:tabs>
          <w:tab w:leader="none" w:pos="500" w:val="left"/>
        </w:tabs>
        <w:numPr>
          <w:ilvl w:val="0"/>
          <w:numId w:val="55"/>
        </w:numPr>
        <w:rPr>
          <w:rFonts w:ascii="Arial" w:cs="Arial" w:eastAsia="Arial" w:hAnsi="Arial"/>
          <w:sz w:val="20"/>
          <w:szCs w:val="20"/>
          <w:color w:val="4C4C4E"/>
        </w:rPr>
      </w:pPr>
      <w:r>
        <w:rPr>
          <w:rFonts w:ascii="Times New Roman" w:cs="Times New Roman" w:eastAsia="Times New Roman" w:hAnsi="Times New Roman"/>
          <w:sz w:val="20"/>
          <w:szCs w:val="20"/>
          <w:color w:val="4C4C4E"/>
        </w:rPr>
        <w:t>periodic and regular contact with portfolio company management and, if appropriate, the financial or strategic sponsor, to discuss financial position, requirements and accomplishments;</w:t>
      </w:r>
    </w:p>
    <w:p>
      <w:pPr>
        <w:spacing w:after="0" w:line="64" w:lineRule="exact"/>
        <w:rPr>
          <w:rFonts w:ascii="Arial" w:cs="Arial" w:eastAsia="Arial" w:hAnsi="Arial"/>
          <w:sz w:val="20"/>
          <w:szCs w:val="20"/>
          <w:color w:val="4C4C4E"/>
        </w:rPr>
      </w:pPr>
    </w:p>
    <w:p>
      <w:pPr>
        <w:ind w:left="500" w:hanging="255"/>
        <w:spacing w:after="0"/>
        <w:tabs>
          <w:tab w:leader="none" w:pos="500" w:val="left"/>
        </w:tabs>
        <w:numPr>
          <w:ilvl w:val="0"/>
          <w:numId w:val="55"/>
        </w:numPr>
        <w:rPr>
          <w:rFonts w:ascii="Arial" w:cs="Arial" w:eastAsia="Arial" w:hAnsi="Arial"/>
          <w:sz w:val="20"/>
          <w:szCs w:val="20"/>
          <w:color w:val="4C4C4E"/>
        </w:rPr>
      </w:pPr>
      <w:r>
        <w:rPr>
          <w:rFonts w:ascii="Times New Roman" w:cs="Times New Roman" w:eastAsia="Times New Roman" w:hAnsi="Times New Roman"/>
          <w:sz w:val="20"/>
          <w:szCs w:val="20"/>
          <w:color w:val="4C4C4E"/>
        </w:rPr>
        <w:t>comparisons to other companies in the industry;</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5"/>
        </w:numPr>
        <w:rPr>
          <w:rFonts w:ascii="Arial" w:cs="Arial" w:eastAsia="Arial" w:hAnsi="Arial"/>
          <w:sz w:val="20"/>
          <w:szCs w:val="20"/>
          <w:color w:val="4C4C4E"/>
        </w:rPr>
      </w:pPr>
      <w:r>
        <w:rPr>
          <w:rFonts w:ascii="Times New Roman" w:cs="Times New Roman" w:eastAsia="Times New Roman" w:hAnsi="Times New Roman"/>
          <w:sz w:val="20"/>
          <w:szCs w:val="20"/>
          <w:color w:val="4C4C4E"/>
        </w:rPr>
        <w:t>attendance at, and participation in, board meetings; and</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5"/>
        </w:numPr>
        <w:rPr>
          <w:rFonts w:ascii="Arial" w:cs="Arial" w:eastAsia="Arial" w:hAnsi="Arial"/>
          <w:sz w:val="20"/>
          <w:szCs w:val="20"/>
          <w:color w:val="4C4C4E"/>
        </w:rPr>
      </w:pPr>
      <w:r>
        <w:rPr>
          <w:rFonts w:ascii="Times New Roman" w:cs="Times New Roman" w:eastAsia="Times New Roman" w:hAnsi="Times New Roman"/>
          <w:sz w:val="20"/>
          <w:szCs w:val="20"/>
          <w:color w:val="4C4C4E"/>
        </w:rPr>
        <w:t>review of monthly and quarterly financial statements and financial projections for portfolio companies.</w:t>
      </w:r>
    </w:p>
    <w:p>
      <w:pPr>
        <w:spacing w:after="0" w:line="239"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3" w:lineRule="exact"/>
        <w:rPr>
          <w:sz w:val="20"/>
          <w:szCs w:val="20"/>
          <w:color w:val="auto"/>
        </w:rPr>
      </w:pPr>
    </w:p>
    <w:p>
      <w:pPr>
        <w:ind w:left="500" w:hanging="255"/>
        <w:spacing w:after="0" w:line="258" w:lineRule="auto"/>
        <w:tabs>
          <w:tab w:leader="none" w:pos="500" w:val="left"/>
        </w:tabs>
        <w:numPr>
          <w:ilvl w:val="0"/>
          <w:numId w:val="56"/>
        </w:numPr>
        <w:rPr>
          <w:rFonts w:ascii="Arial" w:cs="Arial" w:eastAsia="Arial" w:hAnsi="Arial"/>
          <w:sz w:val="20"/>
          <w:szCs w:val="20"/>
          <w:color w:val="4C4C4E"/>
        </w:rPr>
      </w:pPr>
      <w:r>
        <w:rPr>
          <w:rFonts w:ascii="Times New Roman" w:cs="Times New Roman" w:eastAsia="Times New Roman" w:hAnsi="Times New Roman"/>
          <w:sz w:val="20"/>
          <w:szCs w:val="20"/>
          <w:color w:val="4C4C4E"/>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70</w:t>
      </w:r>
    </w:p>
    <w:p>
      <w:pPr>
        <w:sectPr>
          <w:pgSz w:w="11880" w:h="15480" w:orient="portrait"/>
          <w:cols w:equalWidth="0" w:num="1">
            <w:col w:w="10800"/>
          </w:cols>
          <w:pgMar w:left="540" w:top="750" w:right="540" w:bottom="0" w:gutter="0" w:footer="0" w:header="0"/>
          <w:type w:val="continuous"/>
        </w:sectPr>
      </w:pPr>
    </w:p>
    <w:bookmarkStart w:id="70" w:name="page71"/>
    <w:bookmarkEnd w:id="70"/>
    <w:p>
      <w:pPr>
        <w:ind w:left="500" w:right="160" w:hanging="255"/>
        <w:spacing w:after="0" w:line="252" w:lineRule="auto"/>
        <w:tabs>
          <w:tab w:leader="none" w:pos="500" w:val="left"/>
        </w:tabs>
        <w:numPr>
          <w:ilvl w:val="0"/>
          <w:numId w:val="57"/>
        </w:numPr>
        <w:rPr>
          <w:rFonts w:ascii="Arial" w:cs="Arial" w:eastAsia="Arial" w:hAnsi="Arial"/>
          <w:sz w:val="20"/>
          <w:szCs w:val="20"/>
          <w:color w:val="4C4C4E"/>
        </w:rPr>
      </w:pPr>
      <w:r>
        <w:rPr>
          <w:rFonts w:ascii="Times New Roman" w:cs="Times New Roman" w:eastAsia="Times New Roman" w:hAnsi="Times New Roman"/>
          <w:sz w:val="20"/>
          <w:szCs w:val="20"/>
          <w:color w:val="4C4C4E"/>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87" w:lineRule="exact"/>
        <w:rPr>
          <w:rFonts w:ascii="Arial" w:cs="Arial" w:eastAsia="Arial" w:hAnsi="Arial"/>
          <w:sz w:val="20"/>
          <w:szCs w:val="20"/>
          <w:color w:val="4C4C4E"/>
        </w:rPr>
      </w:pPr>
    </w:p>
    <w:p>
      <w:pPr>
        <w:ind w:left="500" w:hanging="255"/>
        <w:spacing w:after="0" w:line="278" w:lineRule="auto"/>
        <w:tabs>
          <w:tab w:leader="none" w:pos="500" w:val="left"/>
        </w:tabs>
        <w:numPr>
          <w:ilvl w:val="0"/>
          <w:numId w:val="57"/>
        </w:numPr>
        <w:rPr>
          <w:rFonts w:ascii="Arial" w:cs="Arial" w:eastAsia="Arial" w:hAnsi="Arial"/>
          <w:sz w:val="19"/>
          <w:szCs w:val="19"/>
          <w:color w:val="4C4C4E"/>
        </w:rPr>
      </w:pPr>
      <w:r>
        <w:rPr>
          <w:rFonts w:ascii="Times New Roman" w:cs="Times New Roman" w:eastAsia="Times New Roman" w:hAnsi="Times New Roman"/>
          <w:sz w:val="19"/>
          <w:szCs w:val="19"/>
          <w:color w:val="4C4C4E"/>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4" w:lineRule="exact"/>
        <w:rPr>
          <w:rFonts w:ascii="Arial" w:cs="Arial" w:eastAsia="Arial" w:hAnsi="Arial"/>
          <w:sz w:val="19"/>
          <w:szCs w:val="19"/>
          <w:color w:val="4C4C4E"/>
        </w:rPr>
      </w:pPr>
    </w:p>
    <w:p>
      <w:pPr>
        <w:ind w:left="500" w:right="40" w:hanging="255"/>
        <w:spacing w:after="0" w:line="246" w:lineRule="auto"/>
        <w:tabs>
          <w:tab w:leader="none" w:pos="500" w:val="left"/>
        </w:tabs>
        <w:numPr>
          <w:ilvl w:val="0"/>
          <w:numId w:val="57"/>
        </w:numPr>
        <w:rPr>
          <w:rFonts w:ascii="Arial" w:cs="Arial" w:eastAsia="Arial" w:hAnsi="Arial"/>
          <w:sz w:val="20"/>
          <w:szCs w:val="20"/>
          <w:color w:val="4C4C4E"/>
        </w:rPr>
      </w:pPr>
      <w:r>
        <w:rPr>
          <w:rFonts w:ascii="Times New Roman" w:cs="Times New Roman" w:eastAsia="Times New Roman" w:hAnsi="Times New Roman"/>
          <w:sz w:val="20"/>
          <w:szCs w:val="20"/>
          <w:color w:val="4C4C4E"/>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3" w:lineRule="exact"/>
        <w:rPr>
          <w:rFonts w:ascii="Arial" w:cs="Arial" w:eastAsia="Arial" w:hAnsi="Arial"/>
          <w:sz w:val="20"/>
          <w:szCs w:val="20"/>
          <w:color w:val="4C4C4E"/>
        </w:rPr>
      </w:pPr>
    </w:p>
    <w:p>
      <w:pPr>
        <w:ind w:left="500" w:right="200" w:hanging="255"/>
        <w:spacing w:after="0" w:line="247" w:lineRule="auto"/>
        <w:tabs>
          <w:tab w:leader="none" w:pos="500" w:val="left"/>
        </w:tabs>
        <w:numPr>
          <w:ilvl w:val="0"/>
          <w:numId w:val="57"/>
        </w:numPr>
        <w:rPr>
          <w:rFonts w:ascii="Arial" w:cs="Arial" w:eastAsia="Arial" w:hAnsi="Arial"/>
          <w:sz w:val="20"/>
          <w:szCs w:val="20"/>
          <w:color w:val="4C4C4E"/>
        </w:rPr>
      </w:pPr>
      <w:r>
        <w:rPr>
          <w:rFonts w:ascii="Times New Roman" w:cs="Times New Roman" w:eastAsia="Times New Roman" w:hAnsi="Times New Roman"/>
          <w:sz w:val="20"/>
          <w:szCs w:val="20"/>
          <w:color w:val="4C4C4E"/>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99" w:lineRule="exact"/>
        <w:rPr>
          <w:sz w:val="20"/>
          <w:szCs w:val="20"/>
          <w:color w:val="auto"/>
        </w:rPr>
      </w:pPr>
    </w:p>
    <w:p>
      <w:pPr>
        <w:jc w:val="both"/>
        <w:ind w:right="60" w:firstLine="245"/>
        <w:spacing w:after="0" w:line="252" w:lineRule="auto"/>
        <w:rPr>
          <w:sz w:val="20"/>
          <w:szCs w:val="20"/>
          <w:color w:val="auto"/>
        </w:rPr>
      </w:pPr>
      <w:r>
        <w:rPr>
          <w:rFonts w:ascii="Times New Roman" w:cs="Times New Roman" w:eastAsia="Times New Roman" w:hAnsi="Times New Roman"/>
          <w:sz w:val="20"/>
          <w:szCs w:val="20"/>
          <w:color w:val="4C4C4E"/>
        </w:rPr>
        <w:t>The following table shows the distribution of our investments on the 1 to 5 investment performance rating scale at fair value as of December 31, 2025 and December 31, 2024.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p>
      <w:pPr>
        <w:spacing w:after="0" w:line="23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40" w:type="dxa"/>
            <w:vAlign w:val="bottom"/>
            <w:gridSpan w:val="7"/>
          </w:tcPr>
          <w:p>
            <w:pPr>
              <w:jc w:val="right"/>
              <w:ind w:right="154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40" w:type="dxa"/>
            <w:vAlign w:val="bottom"/>
          </w:tcPr>
          <w:p>
            <w:pPr>
              <w:spacing w:after="0"/>
              <w:rPr>
                <w:sz w:val="17"/>
                <w:szCs w:val="17"/>
                <w:color w:val="auto"/>
              </w:rPr>
            </w:pPr>
          </w:p>
        </w:tc>
        <w:tc>
          <w:tcPr>
            <w:tcW w:w="3620" w:type="dxa"/>
            <w:vAlign w:val="bottom"/>
            <w:gridSpan w:val="7"/>
          </w:tcPr>
          <w:p>
            <w:pPr>
              <w:jc w:val="right"/>
              <w:ind w:right="1400"/>
              <w:spacing w:after="0"/>
              <w:rPr>
                <w:sz w:val="20"/>
                <w:szCs w:val="20"/>
                <w:color w:val="auto"/>
              </w:rPr>
            </w:pPr>
            <w:r>
              <w:rPr>
                <w:rFonts w:ascii="Times New Roman" w:cs="Times New Roman" w:eastAsia="Times New Roman" w:hAnsi="Times New Roman"/>
                <w:sz w:val="16"/>
                <w:szCs w:val="16"/>
                <w:b w:val="1"/>
                <w:bCs w:val="1"/>
                <w:color w:val="4C4C4E"/>
              </w:rPr>
              <w:t>December 31, 2024</w:t>
            </w:r>
          </w:p>
        </w:tc>
      </w:tr>
      <w:tr>
        <w:trPr>
          <w:trHeight w:val="199"/>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rPr>
              <w:t>Investment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top w:val="single" w:sz="8" w:color="4C4C4E"/>
            </w:tcBorders>
            <w:gridSpan w:val="2"/>
          </w:tcPr>
          <w:p>
            <w:pPr>
              <w:jc w:val="right"/>
              <w:ind w:right="265"/>
              <w:spacing w:after="0"/>
              <w:rPr>
                <w:sz w:val="20"/>
                <w:szCs w:val="20"/>
                <w:color w:val="auto"/>
              </w:rPr>
            </w:pPr>
            <w:r>
              <w:rPr>
                <w:rFonts w:ascii="Times New Roman" w:cs="Times New Roman" w:eastAsia="Times New Roman" w:hAnsi="Times New Roman"/>
                <w:sz w:val="16"/>
                <w:szCs w:val="16"/>
                <w:b w:val="1"/>
                <w:bCs w:val="1"/>
                <w:color w:val="4C4C4E"/>
              </w:rPr>
              <w:t>Investments at</w:t>
            </w:r>
          </w:p>
        </w:tc>
        <w:tc>
          <w:tcPr>
            <w:tcW w:w="280" w:type="dxa"/>
            <w:vAlign w:val="bottom"/>
            <w:tcBorders>
              <w:top w:val="single" w:sz="8" w:color="4C4C4E"/>
            </w:tcBorders>
          </w:tcPr>
          <w:p>
            <w:pPr>
              <w:spacing w:after="0"/>
              <w:rPr>
                <w:sz w:val="17"/>
                <w:szCs w:val="17"/>
                <w:color w:val="auto"/>
              </w:rPr>
            </w:pPr>
          </w:p>
        </w:tc>
        <w:tc>
          <w:tcPr>
            <w:tcW w:w="20" w:type="dxa"/>
            <w:vAlign w:val="bottom"/>
            <w:tcBorders>
              <w:top w:val="single" w:sz="8" w:color="4C4C4E"/>
            </w:tcBorders>
          </w:tcPr>
          <w:p>
            <w:pPr>
              <w:spacing w:after="0"/>
              <w:rPr>
                <w:sz w:val="17"/>
                <w:szCs w:val="17"/>
                <w:color w:val="auto"/>
              </w:rPr>
            </w:pPr>
          </w:p>
        </w:tc>
        <w:tc>
          <w:tcPr>
            <w:tcW w:w="40" w:type="dxa"/>
            <w:vAlign w:val="bottom"/>
            <w:tcBorders>
              <w:top w:val="single" w:sz="8" w:color="4C4C4E"/>
            </w:tcBorders>
          </w:tcPr>
          <w:p>
            <w:pPr>
              <w:spacing w:after="0"/>
              <w:rPr>
                <w:sz w:val="17"/>
                <w:szCs w:val="17"/>
                <w:color w:val="auto"/>
              </w:rPr>
            </w:pPr>
          </w:p>
        </w:tc>
        <w:tc>
          <w:tcPr>
            <w:tcW w:w="1520" w:type="dxa"/>
            <w:vAlign w:val="bottom"/>
            <w:tcBorders>
              <w:top w:val="single" w:sz="8" w:color="4C4C4E"/>
            </w:tcBorders>
          </w:tcPr>
          <w:p>
            <w:pPr>
              <w:spacing w:after="0"/>
              <w:rPr>
                <w:sz w:val="17"/>
                <w:szCs w:val="17"/>
                <w:color w:val="auto"/>
              </w:rPr>
            </w:pPr>
          </w:p>
        </w:tc>
        <w:tc>
          <w:tcPr>
            <w:tcW w:w="20" w:type="dxa"/>
            <w:vAlign w:val="bottom"/>
            <w:tcBorders>
              <w:top w:val="single" w:sz="8" w:color="4C4C4E"/>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top w:val="single" w:sz="8" w:color="4C4C4E"/>
            </w:tcBorders>
          </w:tcPr>
          <w:p>
            <w:pPr>
              <w:spacing w:after="0"/>
              <w:rPr>
                <w:sz w:val="17"/>
                <w:szCs w:val="17"/>
                <w:color w:val="auto"/>
              </w:rPr>
            </w:pPr>
          </w:p>
        </w:tc>
        <w:tc>
          <w:tcPr>
            <w:tcW w:w="1540" w:type="dxa"/>
            <w:vAlign w:val="bottom"/>
            <w:tcBorders>
              <w:top w:val="single" w:sz="8" w:color="4C4C4E"/>
            </w:tcBorders>
          </w:tcPr>
          <w:p>
            <w:pPr>
              <w:jc w:val="center"/>
              <w:ind w:right="168"/>
              <w:spacing w:after="0"/>
              <w:rPr>
                <w:sz w:val="20"/>
                <w:szCs w:val="20"/>
                <w:color w:val="auto"/>
              </w:rPr>
            </w:pPr>
            <w:r>
              <w:rPr>
                <w:rFonts w:ascii="Times New Roman" w:cs="Times New Roman" w:eastAsia="Times New Roman" w:hAnsi="Times New Roman"/>
                <w:sz w:val="16"/>
                <w:szCs w:val="16"/>
                <w:b w:val="1"/>
                <w:bCs w:val="1"/>
                <w:color w:val="4C4C4E"/>
                <w:w w:val="99"/>
              </w:rPr>
              <w:t>Investments at</w:t>
            </w:r>
          </w:p>
        </w:tc>
        <w:tc>
          <w:tcPr>
            <w:tcW w:w="280" w:type="dxa"/>
            <w:vAlign w:val="bottom"/>
            <w:tcBorders>
              <w:top w:val="single" w:sz="8" w:color="4C4C4E"/>
            </w:tcBorders>
          </w:tcPr>
          <w:p>
            <w:pPr>
              <w:spacing w:after="0"/>
              <w:rPr>
                <w:sz w:val="17"/>
                <w:szCs w:val="17"/>
                <w:color w:val="auto"/>
              </w:rPr>
            </w:pPr>
          </w:p>
        </w:tc>
        <w:tc>
          <w:tcPr>
            <w:tcW w:w="20" w:type="dxa"/>
            <w:vAlign w:val="bottom"/>
            <w:tcBorders>
              <w:top w:val="single" w:sz="8" w:color="4C4C4E"/>
            </w:tcBorders>
          </w:tcPr>
          <w:p>
            <w:pPr>
              <w:spacing w:after="0"/>
              <w:rPr>
                <w:sz w:val="17"/>
                <w:szCs w:val="17"/>
                <w:color w:val="auto"/>
              </w:rPr>
            </w:pPr>
          </w:p>
        </w:tc>
        <w:tc>
          <w:tcPr>
            <w:tcW w:w="40" w:type="dxa"/>
            <w:vAlign w:val="bottom"/>
            <w:tcBorders>
              <w:top w:val="single" w:sz="8" w:color="4C4C4E"/>
            </w:tcBorders>
          </w:tcPr>
          <w:p>
            <w:pPr>
              <w:spacing w:after="0"/>
              <w:rPr>
                <w:sz w:val="17"/>
                <w:szCs w:val="17"/>
                <w:color w:val="auto"/>
              </w:rPr>
            </w:pPr>
          </w:p>
        </w:tc>
        <w:tc>
          <w:tcPr>
            <w:tcW w:w="1520" w:type="dxa"/>
            <w:vAlign w:val="bottom"/>
            <w:tcBorders>
              <w:top w:val="single" w:sz="8" w:color="4C4C4E"/>
            </w:tcBorders>
          </w:tcPr>
          <w:p>
            <w:pPr>
              <w:spacing w:after="0"/>
              <w:rPr>
                <w:sz w:val="17"/>
                <w:szCs w:val="17"/>
                <w:color w:val="auto"/>
              </w:rPr>
            </w:pPr>
          </w:p>
        </w:tc>
        <w:tc>
          <w:tcPr>
            <w:tcW w:w="20" w:type="dxa"/>
            <w:vAlign w:val="bottom"/>
            <w:tcBorders>
              <w:top w:val="single" w:sz="8" w:color="4C4C4E"/>
            </w:tcBorders>
          </w:tcPr>
          <w:p>
            <w:pPr>
              <w:spacing w:after="0"/>
              <w:rPr>
                <w:sz w:val="17"/>
                <w:szCs w:val="17"/>
                <w:color w:val="auto"/>
              </w:rPr>
            </w:pPr>
          </w:p>
        </w:tc>
        <w:tc>
          <w:tcPr>
            <w:tcW w:w="200" w:type="dxa"/>
            <w:vAlign w:val="bottom"/>
          </w:tcPr>
          <w:p>
            <w:pPr>
              <w:spacing w:after="0"/>
              <w:rPr>
                <w:sz w:val="17"/>
                <w:szCs w:val="17"/>
                <w:color w:val="auto"/>
              </w:rPr>
            </w:pPr>
          </w:p>
        </w:tc>
      </w:tr>
      <w:tr>
        <w:trPr>
          <w:trHeight w:val="198"/>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rPr>
              <w:t>Performance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gridSpan w:val="2"/>
          </w:tcPr>
          <w:p>
            <w:pPr>
              <w:jc w:val="right"/>
              <w:ind w:right="405"/>
              <w:spacing w:after="0"/>
              <w:rPr>
                <w:sz w:val="20"/>
                <w:szCs w:val="20"/>
                <w:color w:val="auto"/>
              </w:rPr>
            </w:pPr>
            <w:r>
              <w:rPr>
                <w:rFonts w:ascii="Times New Roman" w:cs="Times New Roman" w:eastAsia="Times New Roman" w:hAnsi="Times New Roman"/>
                <w:sz w:val="16"/>
                <w:szCs w:val="16"/>
                <w:b w:val="1"/>
                <w:bCs w:val="1"/>
                <w:color w:val="4C4C4E"/>
              </w:rPr>
              <w:t>Fair Value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4C4C4E"/>
                <w:w w:val="99"/>
              </w:rPr>
              <w:t>Percentage of</w:t>
            </w:r>
          </w:p>
        </w:tc>
        <w:tc>
          <w:tcPr>
            <w:tcW w:w="240" w:type="dxa"/>
            <w:vAlign w:val="bottom"/>
          </w:tcPr>
          <w:p>
            <w:pPr>
              <w:spacing w:after="0"/>
              <w:rPr>
                <w:sz w:val="17"/>
                <w:szCs w:val="17"/>
                <w:color w:val="auto"/>
              </w:rPr>
            </w:pPr>
          </w:p>
        </w:tc>
        <w:tc>
          <w:tcPr>
            <w:tcW w:w="1540" w:type="dxa"/>
            <w:vAlign w:val="bottom"/>
          </w:tcPr>
          <w:p>
            <w:pPr>
              <w:jc w:val="center"/>
              <w:ind w:right="168"/>
              <w:spacing w:after="0"/>
              <w:rPr>
                <w:sz w:val="20"/>
                <w:szCs w:val="20"/>
                <w:color w:val="auto"/>
              </w:rPr>
            </w:pPr>
            <w:r>
              <w:rPr>
                <w:rFonts w:ascii="Times New Roman" w:cs="Times New Roman" w:eastAsia="Times New Roman" w:hAnsi="Times New Roman"/>
                <w:sz w:val="16"/>
                <w:szCs w:val="16"/>
                <w:b w:val="1"/>
                <w:bCs w:val="1"/>
                <w:color w:val="4C4C4E"/>
                <w:w w:val="98"/>
              </w:rPr>
              <w:t>Fair Value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4C4C4E"/>
                <w:w w:val="99"/>
              </w:rPr>
              <w:t>Percentage of</w:t>
            </w:r>
          </w:p>
        </w:tc>
      </w:tr>
      <w:tr>
        <w:trPr>
          <w:trHeight w:val="203"/>
        </w:trPr>
        <w:tc>
          <w:tcPr>
            <w:tcW w:w="172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6"/>
                <w:szCs w:val="16"/>
                <w:b w:val="1"/>
                <w:bCs w:val="1"/>
                <w:color w:val="4C4C4E"/>
                <w:w w:val="99"/>
              </w:rPr>
              <w:t>Rating</w:t>
            </w:r>
          </w:p>
        </w:tc>
        <w:tc>
          <w:tcPr>
            <w:tcW w:w="220" w:type="dxa"/>
            <w:vAlign w:val="bottom"/>
            <w:tcBorders>
              <w:bottom w:val="single" w:sz="8" w:color="D8EEF4"/>
            </w:tcBorders>
            <w:gridSpan w:val="3"/>
          </w:tcPr>
          <w:p>
            <w:pPr>
              <w:spacing w:after="0"/>
              <w:rPr>
                <w:sz w:val="17"/>
                <w:szCs w:val="17"/>
                <w:color w:val="auto"/>
              </w:rPr>
            </w:pPr>
          </w:p>
        </w:tc>
        <w:tc>
          <w:tcPr>
            <w:tcW w:w="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b w:val="1"/>
                <w:bCs w:val="1"/>
                <w:color w:val="4C4C4E"/>
              </w:rPr>
              <w:t>($</w:t>
            </w:r>
          </w:p>
        </w:tc>
        <w:tc>
          <w:tcPr>
            <w:tcW w:w="1180" w:type="dxa"/>
            <w:vAlign w:val="bottom"/>
            <w:tcBorders>
              <w:bottom w:val="single" w:sz="8" w:color="4C4C4E"/>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4C4C4E"/>
              </w:rPr>
              <w:t>in millions)</w:t>
            </w:r>
          </w:p>
        </w:tc>
        <w:tc>
          <w:tcPr>
            <w:tcW w:w="28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40" w:type="dxa"/>
            <w:vAlign w:val="bottom"/>
            <w:tcBorders>
              <w:bottom w:val="single" w:sz="8" w:color="D8EEF4"/>
            </w:tcBorders>
          </w:tcPr>
          <w:p>
            <w:pPr>
              <w:spacing w:after="0"/>
              <w:rPr>
                <w:sz w:val="17"/>
                <w:szCs w:val="17"/>
                <w:color w:val="auto"/>
              </w:rPr>
            </w:pPr>
          </w:p>
        </w:tc>
        <w:tc>
          <w:tcPr>
            <w:tcW w:w="1540" w:type="dxa"/>
            <w:vAlign w:val="bottom"/>
            <w:tcBorders>
              <w:bottom w:val="single" w:sz="8" w:color="4C4C4E"/>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4C4C4E"/>
                <w:w w:val="99"/>
              </w:rPr>
              <w:t>Total Portfolio</w:t>
            </w:r>
          </w:p>
        </w:tc>
        <w:tc>
          <w:tcPr>
            <w:tcW w:w="380" w:type="dxa"/>
            <w:vAlign w:val="bottom"/>
          </w:tcPr>
          <w:p>
            <w:pPr>
              <w:spacing w:after="0"/>
              <w:rPr>
                <w:sz w:val="17"/>
                <w:szCs w:val="17"/>
                <w:color w:val="auto"/>
              </w:rPr>
            </w:pPr>
          </w:p>
        </w:tc>
        <w:tc>
          <w:tcPr>
            <w:tcW w:w="240" w:type="dxa"/>
            <w:vAlign w:val="bottom"/>
            <w:tcBorders>
              <w:bottom w:val="single" w:sz="8" w:color="4C4C4E"/>
            </w:tcBorders>
          </w:tcPr>
          <w:p>
            <w:pPr>
              <w:spacing w:after="0"/>
              <w:rPr>
                <w:sz w:val="17"/>
                <w:szCs w:val="17"/>
                <w:color w:val="auto"/>
              </w:rPr>
            </w:pPr>
          </w:p>
        </w:tc>
        <w:tc>
          <w:tcPr>
            <w:tcW w:w="1540" w:type="dxa"/>
            <w:vAlign w:val="bottom"/>
            <w:tcBorders>
              <w:bottom w:val="single" w:sz="8" w:color="4C4C4E"/>
            </w:tcBorders>
          </w:tcPr>
          <w:p>
            <w:pPr>
              <w:jc w:val="center"/>
              <w:ind w:right="148"/>
              <w:spacing w:after="0"/>
              <w:rPr>
                <w:sz w:val="20"/>
                <w:szCs w:val="20"/>
                <w:color w:val="auto"/>
              </w:rPr>
            </w:pPr>
            <w:r>
              <w:rPr>
                <w:rFonts w:ascii="Times New Roman" w:cs="Times New Roman" w:eastAsia="Times New Roman" w:hAnsi="Times New Roman"/>
                <w:sz w:val="16"/>
                <w:szCs w:val="16"/>
                <w:b w:val="1"/>
                <w:bCs w:val="1"/>
                <w:color w:val="4C4C4E"/>
                <w:w w:val="99"/>
              </w:rPr>
              <w:t>($ in millions)</w:t>
            </w:r>
          </w:p>
        </w:tc>
        <w:tc>
          <w:tcPr>
            <w:tcW w:w="28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40" w:type="dxa"/>
            <w:vAlign w:val="bottom"/>
            <w:tcBorders>
              <w:bottom w:val="single" w:sz="8" w:color="D8EEF4"/>
            </w:tcBorders>
          </w:tcPr>
          <w:p>
            <w:pPr>
              <w:spacing w:after="0"/>
              <w:rPr>
                <w:sz w:val="17"/>
                <w:szCs w:val="17"/>
                <w:color w:val="auto"/>
              </w:rPr>
            </w:pPr>
          </w:p>
        </w:tc>
        <w:tc>
          <w:tcPr>
            <w:tcW w:w="1540" w:type="dxa"/>
            <w:vAlign w:val="bottom"/>
            <w:tcBorders>
              <w:bottom w:val="single" w:sz="8" w:color="4C4C4E"/>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4C4C4E"/>
                <w:w w:val="99"/>
              </w:rPr>
              <w:t>Total Portfolio</w:t>
            </w:r>
          </w:p>
        </w:tc>
        <w:tc>
          <w:tcPr>
            <w:tcW w:w="200" w:type="dxa"/>
            <w:vAlign w:val="bottom"/>
          </w:tcPr>
          <w:p>
            <w:pPr>
              <w:spacing w:after="0"/>
              <w:rPr>
                <w:sz w:val="17"/>
                <w:szCs w:val="17"/>
                <w:color w:val="auto"/>
              </w:rPr>
            </w:pPr>
          </w:p>
        </w:tc>
      </w:tr>
      <w:tr>
        <w:trPr>
          <w:trHeight w:val="239"/>
        </w:trPr>
        <w:tc>
          <w:tcPr>
            <w:tcW w:w="17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1</w:t>
            </w:r>
          </w:p>
        </w:tc>
        <w:tc>
          <w:tcPr>
            <w:tcW w:w="18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480" w:type="dxa"/>
            <w:vAlign w:val="bottom"/>
            <w:shd w:val="clear" w:color="auto" w:fill="D8EEF4"/>
          </w:tcPr>
          <w:p>
            <w:pPr>
              <w:jc w:val="right"/>
              <w:ind w:right="346"/>
              <w:spacing w:after="0"/>
              <w:rPr>
                <w:sz w:val="20"/>
                <w:szCs w:val="20"/>
                <w:color w:val="auto"/>
              </w:rPr>
            </w:pPr>
            <w:r>
              <w:rPr>
                <w:rFonts w:ascii="Times New Roman" w:cs="Times New Roman" w:eastAsia="Times New Roman" w:hAnsi="Times New Roman"/>
                <w:sz w:val="11"/>
                <w:szCs w:val="11"/>
                <w:color w:val="4C4C4E"/>
                <w:w w:val="71"/>
              </w:rPr>
              <w:t>$</w:t>
            </w:r>
          </w:p>
        </w:tc>
        <w:tc>
          <w:tcPr>
            <w:tcW w:w="1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3,002.3</w:t>
            </w:r>
          </w:p>
        </w:tc>
        <w:tc>
          <w:tcPr>
            <w:tcW w:w="28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40" w:type="dxa"/>
            <w:vAlign w:val="bottom"/>
            <w:tcBorders>
              <w:right w:val="single" w:sz="8" w:color="D8EEF4"/>
            </w:tcBorders>
            <w:shd w:val="clear" w:color="auto" w:fill="D8EEF4"/>
          </w:tcPr>
          <w:p>
            <w:pPr>
              <w:spacing w:after="0"/>
              <w:rPr>
                <w:sz w:val="20"/>
                <w:szCs w:val="20"/>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4C4C4E"/>
              </w:rPr>
              <w:t>89.7%</w:t>
            </w:r>
          </w:p>
        </w:tc>
        <w:tc>
          <w:tcPr>
            <w:tcW w:w="240" w:type="dxa"/>
            <w:vAlign w:val="bottom"/>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15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3,345.8</w:t>
            </w:r>
          </w:p>
        </w:tc>
        <w:tc>
          <w:tcPr>
            <w:tcW w:w="28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40" w:type="dxa"/>
            <w:vAlign w:val="bottom"/>
            <w:tcBorders>
              <w:right w:val="single" w:sz="8" w:color="D8EEF4"/>
            </w:tcBorders>
            <w:shd w:val="clear" w:color="auto" w:fill="D8EEF4"/>
          </w:tcPr>
          <w:p>
            <w:pPr>
              <w:spacing w:after="0"/>
              <w:rPr>
                <w:sz w:val="20"/>
                <w:szCs w:val="20"/>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4C4C4E"/>
              </w:rPr>
              <w:t>95.1%</w:t>
            </w:r>
          </w:p>
        </w:tc>
      </w:tr>
      <w:tr>
        <w:trPr>
          <w:trHeight w:val="244"/>
        </w:trPr>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4C4C4E"/>
                <w:w w:val="99"/>
              </w:rPr>
              <w:t>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296.9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8.9</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88.9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4"/>
        </w:trPr>
        <w:tc>
          <w:tcPr>
            <w:tcW w:w="17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3</w:t>
            </w:r>
          </w:p>
        </w:tc>
        <w:tc>
          <w:tcPr>
            <w:tcW w:w="18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28.0</w:t>
            </w:r>
          </w:p>
        </w:tc>
        <w:tc>
          <w:tcPr>
            <w:tcW w:w="1860" w:type="dxa"/>
            <w:vAlign w:val="bottom"/>
            <w:gridSpan w:val="4"/>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20" w:type="dxa"/>
            <w:vAlign w:val="bottom"/>
            <w:shd w:val="clear" w:color="auto" w:fill="D8EEF4"/>
          </w:tcPr>
          <w:p>
            <w:pPr>
              <w:spacing w:after="0"/>
              <w:rPr>
                <w:sz w:val="21"/>
                <w:szCs w:val="21"/>
                <w:color w:val="auto"/>
              </w:rPr>
            </w:pPr>
          </w:p>
        </w:tc>
        <w:tc>
          <w:tcPr>
            <w:tcW w:w="380" w:type="dxa"/>
            <w:vAlign w:val="bottom"/>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5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34.7</w:t>
            </w:r>
          </w:p>
        </w:tc>
        <w:tc>
          <w:tcPr>
            <w:tcW w:w="1860" w:type="dxa"/>
            <w:vAlign w:val="bottom"/>
            <w:gridSpan w:val="4"/>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w:t>
            </w:r>
          </w:p>
        </w:tc>
        <w:tc>
          <w:tcPr>
            <w:tcW w:w="2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r>
      <w:tr>
        <w:trPr>
          <w:trHeight w:val="244"/>
        </w:trPr>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4C4C4E"/>
                <w:w w:val="99"/>
              </w:rPr>
              <w:t>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17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5</w:t>
            </w:r>
          </w:p>
        </w:tc>
        <w:tc>
          <w:tcPr>
            <w:tcW w:w="18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0" w:type="dxa"/>
            <w:vAlign w:val="bottom"/>
            <w:tcBorders>
              <w:bottom w:val="single" w:sz="8" w:color="4C4C4E"/>
            </w:tcBorders>
            <w:shd w:val="clear" w:color="auto" w:fill="D8EEF4"/>
          </w:tcPr>
          <w:p>
            <w:pPr>
              <w:spacing w:after="0"/>
              <w:rPr>
                <w:sz w:val="21"/>
                <w:szCs w:val="21"/>
                <w:color w:val="auto"/>
              </w:rPr>
            </w:pPr>
          </w:p>
        </w:tc>
        <w:tc>
          <w:tcPr>
            <w:tcW w:w="480" w:type="dxa"/>
            <w:vAlign w:val="bottom"/>
            <w:tcBorders>
              <w:bottom w:val="single" w:sz="8" w:color="4C4C4E"/>
            </w:tcBorders>
            <w:shd w:val="clear" w:color="auto" w:fill="D8EEF4"/>
          </w:tcPr>
          <w:p>
            <w:pPr>
              <w:spacing w:after="0"/>
              <w:rPr>
                <w:sz w:val="21"/>
                <w:szCs w:val="21"/>
                <w:color w:val="auto"/>
              </w:rPr>
            </w:pPr>
          </w:p>
        </w:tc>
        <w:tc>
          <w:tcPr>
            <w:tcW w:w="11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20.1</w:t>
            </w:r>
          </w:p>
        </w:tc>
        <w:tc>
          <w:tcPr>
            <w:tcW w:w="300" w:type="dxa"/>
            <w:vAlign w:val="bottom"/>
            <w:gridSpan w:val="2"/>
            <w:shd w:val="clear" w:color="auto" w:fill="D8EEF4"/>
          </w:tcPr>
          <w:p>
            <w:pPr>
              <w:spacing w:after="0"/>
              <w:rPr>
                <w:sz w:val="21"/>
                <w:szCs w:val="21"/>
                <w:color w:val="auto"/>
              </w:rPr>
            </w:pPr>
          </w:p>
        </w:tc>
        <w:tc>
          <w:tcPr>
            <w:tcW w:w="156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20" w:type="dxa"/>
            <w:vAlign w:val="bottom"/>
            <w:shd w:val="clear" w:color="auto" w:fill="D8EEF4"/>
          </w:tcPr>
          <w:p>
            <w:pPr>
              <w:spacing w:after="0"/>
              <w:rPr>
                <w:sz w:val="21"/>
                <w:szCs w:val="21"/>
                <w:color w:val="auto"/>
              </w:rPr>
            </w:pPr>
          </w:p>
        </w:tc>
        <w:tc>
          <w:tcPr>
            <w:tcW w:w="380" w:type="dxa"/>
            <w:vAlign w:val="bottom"/>
            <w:shd w:val="clear" w:color="auto" w:fill="D8EEF4"/>
          </w:tcPr>
          <w:p>
            <w:pPr>
              <w:spacing w:after="0"/>
              <w:rPr>
                <w:sz w:val="21"/>
                <w:szCs w:val="21"/>
                <w:color w:val="auto"/>
              </w:rPr>
            </w:pPr>
          </w:p>
        </w:tc>
        <w:tc>
          <w:tcPr>
            <w:tcW w:w="240" w:type="dxa"/>
            <w:vAlign w:val="bottom"/>
            <w:tcBorders>
              <w:bottom w:val="single" w:sz="8" w:color="4C4C4E"/>
            </w:tcBorders>
            <w:shd w:val="clear" w:color="auto" w:fill="D8EEF4"/>
          </w:tcPr>
          <w:p>
            <w:pPr>
              <w:spacing w:after="0"/>
              <w:rPr>
                <w:sz w:val="21"/>
                <w:szCs w:val="21"/>
                <w:color w:val="auto"/>
              </w:rPr>
            </w:pPr>
          </w:p>
        </w:tc>
        <w:tc>
          <w:tcPr>
            <w:tcW w:w="15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49.0</w:t>
            </w:r>
          </w:p>
        </w:tc>
        <w:tc>
          <w:tcPr>
            <w:tcW w:w="300" w:type="dxa"/>
            <w:vAlign w:val="bottom"/>
            <w:gridSpan w:val="2"/>
            <w:shd w:val="clear" w:color="auto" w:fill="D8EEF4"/>
          </w:tcPr>
          <w:p>
            <w:pPr>
              <w:spacing w:after="0"/>
              <w:rPr>
                <w:sz w:val="21"/>
                <w:szCs w:val="21"/>
                <w:color w:val="auto"/>
              </w:rPr>
            </w:pPr>
          </w:p>
        </w:tc>
        <w:tc>
          <w:tcPr>
            <w:tcW w:w="156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2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r>
      <w:tr>
        <w:trPr>
          <w:trHeight w:val="239"/>
        </w:trPr>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4C4C4E"/>
                <w:w w:val="99"/>
              </w:rPr>
              <w:t>Total</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gridSpan w:val="2"/>
          </w:tcPr>
          <w:p>
            <w:pPr>
              <w:jc w:val="right"/>
              <w:ind w:right="346"/>
              <w:spacing w:after="0"/>
              <w:rPr>
                <w:sz w:val="20"/>
                <w:szCs w:val="20"/>
                <w:color w:val="auto"/>
              </w:rPr>
            </w:pPr>
            <w:r>
              <w:rPr>
                <w:rFonts w:ascii="Times New Roman" w:cs="Times New Roman" w:eastAsia="Times New Roman" w:hAnsi="Times New Roman"/>
                <w:sz w:val="17"/>
                <w:szCs w:val="17"/>
                <w:color w:val="4C4C4E"/>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3,347.3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4C4C4E"/>
              </w:rPr>
              <w:t>100.0%</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3,518.4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4C4C4E"/>
              </w:rPr>
              <w:t>100.0%</w:t>
            </w:r>
          </w:p>
        </w:tc>
      </w:tr>
      <w:tr>
        <w:trPr>
          <w:trHeight w:val="20"/>
        </w:trPr>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480" w:type="dxa"/>
            <w:vAlign w:val="bottom"/>
            <w:tcBorders>
              <w:top w:val="single" w:sz="8" w:color="4C4C4E"/>
              <w:bottom w:val="single" w:sz="8" w:color="4C4C4E"/>
            </w:tcBorders>
          </w:tcPr>
          <w:p>
            <w:pPr>
              <w:spacing w:after="0" w:line="20" w:lineRule="exact"/>
              <w:rPr>
                <w:sz w:val="1"/>
                <w:szCs w:val="1"/>
                <w:color w:val="auto"/>
              </w:rPr>
            </w:pPr>
          </w:p>
        </w:tc>
        <w:tc>
          <w:tcPr>
            <w:tcW w:w="1180" w:type="dxa"/>
            <w:vAlign w:val="bottom"/>
            <w:tcBorders>
              <w:top w:val="single" w:sz="8" w:color="4C4C4E"/>
              <w:bottom w:val="single" w:sz="8" w:color="4C4C4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40" w:type="dxa"/>
            <w:vAlign w:val="bottom"/>
            <w:tcBorders>
              <w:top w:val="single" w:sz="8" w:color="4C4C4E"/>
              <w:bottom w:val="single" w:sz="8" w:color="4C4C4E"/>
            </w:tcBorders>
          </w:tcPr>
          <w:p>
            <w:pPr>
              <w:spacing w:after="0" w:line="20" w:lineRule="exact"/>
              <w:rPr>
                <w:sz w:val="1"/>
                <w:szCs w:val="1"/>
                <w:color w:val="auto"/>
              </w:rPr>
            </w:pPr>
          </w:p>
        </w:tc>
        <w:tc>
          <w:tcPr>
            <w:tcW w:w="15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4C4C4E"/>
              <w:bottom w:val="single" w:sz="8" w:color="4C4C4E"/>
            </w:tcBorders>
          </w:tcPr>
          <w:p>
            <w:pPr>
              <w:spacing w:after="0" w:line="20" w:lineRule="exact"/>
              <w:rPr>
                <w:sz w:val="1"/>
                <w:szCs w:val="1"/>
                <w:color w:val="auto"/>
              </w:rPr>
            </w:pPr>
          </w:p>
        </w:tc>
        <w:tc>
          <w:tcPr>
            <w:tcW w:w="1540" w:type="dxa"/>
            <w:vAlign w:val="bottom"/>
            <w:tcBorders>
              <w:top w:val="single" w:sz="8" w:color="4C4C4E"/>
              <w:bottom w:val="single" w:sz="8" w:color="4C4C4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40" w:type="dxa"/>
            <w:vAlign w:val="bottom"/>
            <w:tcBorders>
              <w:top w:val="single" w:sz="8" w:color="4C4C4E"/>
              <w:bottom w:val="single" w:sz="8" w:color="4C4C4E"/>
            </w:tcBorders>
          </w:tcPr>
          <w:p>
            <w:pPr>
              <w:spacing w:after="0" w:line="20" w:lineRule="exact"/>
              <w:rPr>
                <w:sz w:val="1"/>
                <w:szCs w:val="1"/>
                <w:color w:val="auto"/>
              </w:rPr>
            </w:pPr>
          </w:p>
        </w:tc>
        <w:tc>
          <w:tcPr>
            <w:tcW w:w="15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2800350</wp:posOffset>
                </wp:positionH>
                <wp:positionV relativeFrom="paragraph">
                  <wp:posOffset>-967105</wp:posOffset>
                </wp:positionV>
                <wp:extent cx="1013460" cy="15494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3460" cy="154940"/>
                        </a:xfrm>
                        <a:prstGeom prst="rect">
                          <a:avLst/>
                        </a:prstGeom>
                        <a:solidFill>
                          <a:srgbClr val="D8EEF4"/>
                        </a:solidFill>
                      </wps:spPr>
                      <wps:bodyPr/>
                    </wps:wsp>
                  </a:graphicData>
                </a:graphic>
              </wp:anchor>
            </w:drawing>
          </mc:Choice>
          <mc:Fallback>
            <w:pict>
              <v:rect id="Shape 63" o:spid="_x0000_s1088" style="position:absolute;margin-left:220.5pt;margin-top:-76.1499pt;width:79.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3813810</wp:posOffset>
                </wp:positionH>
                <wp:positionV relativeFrom="paragraph">
                  <wp:posOffset>-976630</wp:posOffset>
                </wp:positionV>
                <wp:extent cx="249555" cy="16446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555" cy="164465"/>
                        </a:xfrm>
                        <a:prstGeom prst="rect">
                          <a:avLst/>
                        </a:prstGeom>
                        <a:solidFill>
                          <a:srgbClr val="D8EEF4"/>
                        </a:solidFill>
                      </wps:spPr>
                      <wps:bodyPr/>
                    </wps:wsp>
                  </a:graphicData>
                </a:graphic>
              </wp:anchor>
            </w:drawing>
          </mc:Choice>
          <mc:Fallback>
            <w:pict>
              <v:rect id="Shape 64" o:spid="_x0000_s1089" style="position:absolute;margin-left:300.3pt;margin-top:-76.8999pt;width:19.6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5367655</wp:posOffset>
                </wp:positionH>
                <wp:positionV relativeFrom="paragraph">
                  <wp:posOffset>-967105</wp:posOffset>
                </wp:positionV>
                <wp:extent cx="1012825" cy="15494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2825" cy="154940"/>
                        </a:xfrm>
                        <a:prstGeom prst="rect">
                          <a:avLst/>
                        </a:prstGeom>
                        <a:solidFill>
                          <a:srgbClr val="D8EEF4"/>
                        </a:solidFill>
                      </wps:spPr>
                      <wps:bodyPr/>
                    </wps:wsp>
                  </a:graphicData>
                </a:graphic>
              </wp:anchor>
            </w:drawing>
          </mc:Choice>
          <mc:Fallback>
            <w:pict>
              <v:rect id="Shape 65" o:spid="_x0000_s1090" style="position:absolute;margin-left:422.65pt;margin-top:-76.1499pt;width:79.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Structured Credit Partners JV, LLC (“SCP”)</w:t>
      </w:r>
    </w:p>
    <w:p>
      <w:pPr>
        <w:spacing w:after="0" w:line="238"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4C4C4E"/>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 SCP is managed by a board of managers, consisting of an equal number of representatives appointed by the Sixth Street-affiliated members of SCP and the Carlyle-affiliated members of SCP and which acts unanimously. Portfolio construction and investment decisions must be unanimously approved by SCP’s investment committee, as delegated by SCP’s board of managers. Our investment in SCP is made with certain of our affiliates in accordance with the terms of the exemptive relief that we received from the SEC. We do not consolidate our non-controlling interest in SCP. As of December 31, 2025, SCP had not commenced operations and no capital had been contributed to SCP.</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71</w:t>
      </w:r>
    </w:p>
    <w:p>
      <w:pPr>
        <w:sectPr>
          <w:pgSz w:w="11880" w:h="15480" w:orient="portrait"/>
          <w:cols w:equalWidth="0" w:num="1">
            <w:col w:w="10800"/>
          </w:cols>
          <w:pgMar w:left="540" w:top="764" w:right="54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4C4C4E"/>
        </w:rPr>
        <w:t>Results of Operations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Operating results for the years ended December 31, 2025, December 31, 2024 and December 31, 2023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40" w:type="dxa"/>
            <w:vAlign w:val="bottom"/>
          </w:tcPr>
          <w:p>
            <w:pPr>
              <w:spacing w:after="0"/>
              <w:rPr>
                <w:sz w:val="22"/>
                <w:szCs w:val="2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6"/>
                <w:szCs w:val="16"/>
                <w:color w:val="4C4C4E"/>
              </w:rPr>
              <w:t>($ in millions)</w:t>
            </w:r>
            <w:r>
              <w:rPr>
                <w:rFonts w:ascii="Times New Roman" w:cs="Times New Roman" w:eastAsia="Times New Roman" w:hAnsi="Times New Roman"/>
                <w:sz w:val="20"/>
                <w:szCs w:val="20"/>
                <w:color w:val="4C4C4E"/>
                <w:vertAlign w:val="superscript"/>
              </w:rPr>
              <w:t>(1)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4C4C4E"/>
              </w:rPr>
              <w:t>December 31,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4C4C4E"/>
                <w:w w:val="98"/>
              </w:rPr>
              <w:t>December 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4C4C4E"/>
                <w:w w:val="98"/>
              </w:rPr>
              <w:t>December 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540" w:type="dxa"/>
            <w:vAlign w:val="bottom"/>
          </w:tcPr>
          <w:p>
            <w:pPr>
              <w:spacing w:after="0"/>
              <w:rPr>
                <w:sz w:val="11"/>
                <w:szCs w:val="11"/>
                <w:color w:val="auto"/>
              </w:rPr>
            </w:pPr>
          </w:p>
        </w:tc>
        <w:tc>
          <w:tcPr>
            <w:tcW w:w="5520" w:type="dxa"/>
            <w:vAlign w:val="bottom"/>
            <w:tcBorders>
              <w:bottom w:val="single" w:sz="8" w:color="D8EEF4"/>
            </w:tcBorders>
          </w:tcPr>
          <w:p>
            <w:pPr>
              <w:spacing w:after="0"/>
              <w:rPr>
                <w:sz w:val="11"/>
                <w:szCs w:val="11"/>
                <w:color w:val="auto"/>
              </w:rPr>
            </w:pPr>
          </w:p>
        </w:tc>
        <w:tc>
          <w:tcPr>
            <w:tcW w:w="40" w:type="dxa"/>
            <w:vAlign w:val="bottom"/>
            <w:tcBorders>
              <w:bottom w:val="single" w:sz="8" w:color="D8EEF4"/>
            </w:tcBorders>
          </w:tcPr>
          <w:p>
            <w:pPr>
              <w:spacing w:after="0"/>
              <w:rPr>
                <w:sz w:val="11"/>
                <w:szCs w:val="11"/>
                <w:color w:val="auto"/>
              </w:rPr>
            </w:pPr>
          </w:p>
        </w:tc>
        <w:tc>
          <w:tcPr>
            <w:tcW w:w="60" w:type="dxa"/>
            <w:vAlign w:val="bottom"/>
            <w:tcBorders>
              <w:bottom w:val="single" w:sz="8" w:color="D8EEF4"/>
            </w:tcBorders>
          </w:tcPr>
          <w:p>
            <w:pPr>
              <w:spacing w:after="0"/>
              <w:rPr>
                <w:sz w:val="11"/>
                <w:szCs w:val="11"/>
                <w:color w:val="auto"/>
              </w:rPr>
            </w:pPr>
          </w:p>
        </w:tc>
        <w:tc>
          <w:tcPr>
            <w:tcW w:w="100" w:type="dxa"/>
            <w:vAlign w:val="bottom"/>
            <w:tcBorders>
              <w:bottom w:val="single" w:sz="8" w:color="4C4C4E"/>
            </w:tcBorders>
          </w:tcPr>
          <w:p>
            <w:pPr>
              <w:spacing w:after="0"/>
              <w:rPr>
                <w:sz w:val="11"/>
                <w:szCs w:val="11"/>
                <w:color w:val="auto"/>
              </w:rPr>
            </w:pPr>
          </w:p>
        </w:tc>
        <w:tc>
          <w:tcPr>
            <w:tcW w:w="1020" w:type="dxa"/>
            <w:vAlign w:val="bottom"/>
            <w:tcBorders>
              <w:bottom w:val="single" w:sz="8" w:color="4C4C4E"/>
            </w:tcBorders>
          </w:tcPr>
          <w:p>
            <w:pPr>
              <w:jc w:val="right"/>
              <w:ind w:right="285"/>
              <w:spacing w:after="0" w:line="127" w:lineRule="exact"/>
              <w:rPr>
                <w:sz w:val="20"/>
                <w:szCs w:val="20"/>
                <w:color w:val="auto"/>
              </w:rPr>
            </w:pPr>
            <w:r>
              <w:rPr>
                <w:rFonts w:ascii="Times New Roman" w:cs="Times New Roman" w:eastAsia="Times New Roman" w:hAnsi="Times New Roman"/>
                <w:sz w:val="14"/>
                <w:szCs w:val="14"/>
                <w:b w:val="1"/>
                <w:bCs w:val="1"/>
                <w:color w:val="4C4C4E"/>
              </w:rPr>
              <w:t>2025</w:t>
            </w:r>
          </w:p>
        </w:tc>
        <w:tc>
          <w:tcPr>
            <w:tcW w:w="60" w:type="dxa"/>
            <w:vAlign w:val="bottom"/>
            <w:tcBorders>
              <w:bottom w:val="single" w:sz="8" w:color="4C4C4E"/>
            </w:tcBorders>
          </w:tcPr>
          <w:p>
            <w:pPr>
              <w:spacing w:after="0"/>
              <w:rPr>
                <w:sz w:val="11"/>
                <w:szCs w:val="11"/>
                <w:color w:val="auto"/>
              </w:rPr>
            </w:pPr>
          </w:p>
        </w:tc>
        <w:tc>
          <w:tcPr>
            <w:tcW w:w="120" w:type="dxa"/>
            <w:vAlign w:val="bottom"/>
            <w:tcBorders>
              <w:bottom w:val="single" w:sz="8" w:color="D8EEF4"/>
            </w:tcBorders>
          </w:tcPr>
          <w:p>
            <w:pPr>
              <w:spacing w:after="0"/>
              <w:rPr>
                <w:sz w:val="11"/>
                <w:szCs w:val="11"/>
                <w:color w:val="auto"/>
              </w:rPr>
            </w:pPr>
          </w:p>
        </w:tc>
        <w:tc>
          <w:tcPr>
            <w:tcW w:w="40" w:type="dxa"/>
            <w:vAlign w:val="bottom"/>
            <w:tcBorders>
              <w:bottom w:val="single" w:sz="8" w:color="D8EEF4"/>
            </w:tcBorders>
          </w:tcPr>
          <w:p>
            <w:pPr>
              <w:spacing w:after="0"/>
              <w:rPr>
                <w:sz w:val="11"/>
                <w:szCs w:val="11"/>
                <w:color w:val="auto"/>
              </w:rPr>
            </w:pPr>
          </w:p>
        </w:tc>
        <w:tc>
          <w:tcPr>
            <w:tcW w:w="80" w:type="dxa"/>
            <w:vAlign w:val="bottom"/>
            <w:tcBorders>
              <w:bottom w:val="single" w:sz="8" w:color="D8EEF4"/>
            </w:tcBorders>
          </w:tcPr>
          <w:p>
            <w:pPr>
              <w:spacing w:after="0"/>
              <w:rPr>
                <w:sz w:val="11"/>
                <w:szCs w:val="11"/>
                <w:color w:val="auto"/>
              </w:rPr>
            </w:pPr>
          </w:p>
        </w:tc>
        <w:tc>
          <w:tcPr>
            <w:tcW w:w="100" w:type="dxa"/>
            <w:vAlign w:val="bottom"/>
            <w:tcBorders>
              <w:bottom w:val="single" w:sz="8" w:color="4C4C4E"/>
            </w:tcBorders>
          </w:tcPr>
          <w:p>
            <w:pPr>
              <w:spacing w:after="0"/>
              <w:rPr>
                <w:sz w:val="11"/>
                <w:szCs w:val="11"/>
                <w:color w:val="auto"/>
              </w:rPr>
            </w:pPr>
          </w:p>
        </w:tc>
        <w:tc>
          <w:tcPr>
            <w:tcW w:w="1080" w:type="dxa"/>
            <w:vAlign w:val="bottom"/>
            <w:tcBorders>
              <w:bottom w:val="single" w:sz="8" w:color="4C4C4E"/>
            </w:tcBorders>
          </w:tcPr>
          <w:p>
            <w:pPr>
              <w:jc w:val="center"/>
              <w:ind w:right="25"/>
              <w:spacing w:after="0" w:line="127" w:lineRule="exact"/>
              <w:rPr>
                <w:sz w:val="20"/>
                <w:szCs w:val="20"/>
                <w:color w:val="auto"/>
              </w:rPr>
            </w:pPr>
            <w:r>
              <w:rPr>
                <w:rFonts w:ascii="Times New Roman" w:cs="Times New Roman" w:eastAsia="Times New Roman" w:hAnsi="Times New Roman"/>
                <w:sz w:val="14"/>
                <w:szCs w:val="14"/>
                <w:b w:val="1"/>
                <w:bCs w:val="1"/>
                <w:color w:val="4C4C4E"/>
              </w:rPr>
              <w:t>2024</w:t>
            </w:r>
          </w:p>
        </w:tc>
        <w:tc>
          <w:tcPr>
            <w:tcW w:w="20" w:type="dxa"/>
            <w:vAlign w:val="bottom"/>
            <w:tcBorders>
              <w:bottom w:val="single" w:sz="8" w:color="D8EEF4"/>
            </w:tcBorders>
          </w:tcPr>
          <w:p>
            <w:pPr>
              <w:spacing w:after="0"/>
              <w:rPr>
                <w:sz w:val="11"/>
                <w:szCs w:val="11"/>
                <w:color w:val="auto"/>
              </w:rPr>
            </w:pPr>
          </w:p>
        </w:tc>
        <w:tc>
          <w:tcPr>
            <w:tcW w:w="220" w:type="dxa"/>
            <w:vAlign w:val="bottom"/>
            <w:tcBorders>
              <w:bottom w:val="single" w:sz="8" w:color="D8EEF4"/>
            </w:tcBorders>
          </w:tcPr>
          <w:p>
            <w:pPr>
              <w:spacing w:after="0"/>
              <w:rPr>
                <w:sz w:val="11"/>
                <w:szCs w:val="11"/>
                <w:color w:val="auto"/>
              </w:rPr>
            </w:pPr>
          </w:p>
        </w:tc>
        <w:tc>
          <w:tcPr>
            <w:tcW w:w="20" w:type="dxa"/>
            <w:vAlign w:val="bottom"/>
            <w:tcBorders>
              <w:bottom w:val="single" w:sz="8" w:color="4C4C4E"/>
            </w:tcBorders>
          </w:tcPr>
          <w:p>
            <w:pPr>
              <w:spacing w:after="0"/>
              <w:rPr>
                <w:sz w:val="11"/>
                <w:szCs w:val="11"/>
                <w:color w:val="auto"/>
              </w:rPr>
            </w:pPr>
          </w:p>
        </w:tc>
        <w:tc>
          <w:tcPr>
            <w:tcW w:w="100" w:type="dxa"/>
            <w:vAlign w:val="bottom"/>
            <w:tcBorders>
              <w:bottom w:val="single" w:sz="8" w:color="4C4C4E"/>
            </w:tcBorders>
          </w:tcPr>
          <w:p>
            <w:pPr>
              <w:spacing w:after="0"/>
              <w:rPr>
                <w:sz w:val="11"/>
                <w:szCs w:val="11"/>
                <w:color w:val="auto"/>
              </w:rPr>
            </w:pPr>
          </w:p>
        </w:tc>
        <w:tc>
          <w:tcPr>
            <w:tcW w:w="1080" w:type="dxa"/>
            <w:vAlign w:val="bottom"/>
            <w:tcBorders>
              <w:bottom w:val="single" w:sz="8" w:color="4C4C4E"/>
            </w:tcBorders>
          </w:tcPr>
          <w:p>
            <w:pPr>
              <w:jc w:val="right"/>
              <w:ind w:right="344"/>
              <w:spacing w:after="0" w:line="127" w:lineRule="exact"/>
              <w:rPr>
                <w:sz w:val="20"/>
                <w:szCs w:val="20"/>
                <w:color w:val="auto"/>
              </w:rPr>
            </w:pPr>
            <w:r>
              <w:rPr>
                <w:rFonts w:ascii="Times New Roman" w:cs="Times New Roman" w:eastAsia="Times New Roman" w:hAnsi="Times New Roman"/>
                <w:sz w:val="14"/>
                <w:szCs w:val="14"/>
                <w:b w:val="1"/>
                <w:bCs w:val="1"/>
                <w:color w:val="4C4C4E"/>
              </w:rPr>
              <w:t>2023</w:t>
            </w:r>
          </w:p>
        </w:tc>
        <w:tc>
          <w:tcPr>
            <w:tcW w:w="60" w:type="dxa"/>
            <w:vAlign w:val="bottom"/>
            <w:tcBorders>
              <w:bottom w:val="single" w:sz="8" w:color="D8EEF4"/>
            </w:tcBorders>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55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Total investment income</w:t>
            </w:r>
          </w:p>
        </w:tc>
        <w:tc>
          <w:tcPr>
            <w:tcW w:w="40" w:type="dxa"/>
            <w:vAlign w:val="bottom"/>
            <w:shd w:val="clear" w:color="auto" w:fill="D8EEF4"/>
          </w:tcPr>
          <w:p>
            <w:pPr>
              <w:spacing w:after="0"/>
              <w:rPr>
                <w:sz w:val="20"/>
                <w:szCs w:val="20"/>
                <w:color w:val="auto"/>
              </w:rPr>
            </w:pPr>
          </w:p>
        </w:tc>
        <w:tc>
          <w:tcPr>
            <w:tcW w:w="60" w:type="dxa"/>
            <w:vAlign w:val="bottom"/>
            <w:shd w:val="clear" w:color="auto" w:fill="D8EEF4"/>
          </w:tcPr>
          <w:p>
            <w:pPr>
              <w:spacing w:after="0"/>
              <w:rPr>
                <w:sz w:val="20"/>
                <w:szCs w:val="20"/>
                <w:color w:val="auto"/>
              </w:rPr>
            </w:pPr>
          </w:p>
        </w:tc>
        <w:tc>
          <w:tcPr>
            <w:tcW w:w="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449.1</w:t>
            </w:r>
          </w:p>
        </w:tc>
        <w:tc>
          <w:tcPr>
            <w:tcW w:w="120" w:type="dxa"/>
            <w:vAlign w:val="bottom"/>
            <w:shd w:val="clear" w:color="auto" w:fill="D8EEF4"/>
          </w:tcPr>
          <w:p>
            <w:pPr>
              <w:spacing w:after="0"/>
              <w:rPr>
                <w:sz w:val="20"/>
                <w:szCs w:val="20"/>
                <w:color w:val="auto"/>
              </w:rPr>
            </w:pPr>
          </w:p>
        </w:tc>
        <w:tc>
          <w:tcPr>
            <w:tcW w:w="40" w:type="dxa"/>
            <w:vAlign w:val="bottom"/>
            <w:shd w:val="clear" w:color="auto" w:fill="D8EEF4"/>
          </w:tcPr>
          <w:p>
            <w:pPr>
              <w:spacing w:after="0"/>
              <w:rPr>
                <w:sz w:val="20"/>
                <w:szCs w:val="20"/>
                <w:color w:val="auto"/>
              </w:rPr>
            </w:pPr>
          </w:p>
        </w:tc>
        <w:tc>
          <w:tcPr>
            <w:tcW w:w="80" w:type="dxa"/>
            <w:vAlign w:val="bottom"/>
            <w:shd w:val="clear" w:color="auto" w:fill="D8EEF4"/>
          </w:tcPr>
          <w:p>
            <w:pPr>
              <w:spacing w:after="0"/>
              <w:rPr>
                <w:sz w:val="20"/>
                <w:szCs w:val="20"/>
                <w:color w:val="auto"/>
              </w:rPr>
            </w:pPr>
          </w:p>
        </w:tc>
        <w:tc>
          <w:tcPr>
            <w:tcW w:w="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482.5</w:t>
            </w: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12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438.1</w:t>
            </w:r>
          </w:p>
        </w:tc>
        <w:tc>
          <w:tcPr>
            <w:tcW w:w="6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55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20"/>
                <w:szCs w:val="20"/>
                <w:color w:val="4C4C4E"/>
              </w:rPr>
              <w:t>Less: Net expenses</w:t>
            </w:r>
          </w:p>
        </w:tc>
        <w:tc>
          <w:tcPr>
            <w:tcW w:w="40" w:type="dxa"/>
            <w:vAlign w:val="bottom"/>
            <w:tcBorders>
              <w:bottom w:val="single" w:sz="8" w:color="D8EEF4"/>
            </w:tcBorders>
          </w:tcPr>
          <w:p>
            <w:pPr>
              <w:spacing w:after="0"/>
              <w:rPr>
                <w:sz w:val="21"/>
                <w:szCs w:val="21"/>
                <w:color w:val="auto"/>
              </w:rPr>
            </w:pPr>
          </w:p>
        </w:tc>
        <w:tc>
          <w:tcPr>
            <w:tcW w:w="60" w:type="dxa"/>
            <w:vAlign w:val="bottom"/>
            <w:tcBorders>
              <w:bottom w:val="single" w:sz="8" w:color="D8EEF4"/>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080" w:type="dxa"/>
            <w:vAlign w:val="bottom"/>
            <w:tcBorders>
              <w:bottom w:val="single" w:sz="8" w:color="4C4C4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233.7</w:t>
            </w:r>
          </w:p>
        </w:tc>
        <w:tc>
          <w:tcPr>
            <w:tcW w:w="120" w:type="dxa"/>
            <w:vAlign w:val="bottom"/>
            <w:tcBorders>
              <w:bottom w:val="single" w:sz="8" w:color="D8EEF4"/>
            </w:tcBorders>
          </w:tcPr>
          <w:p>
            <w:pPr>
              <w:spacing w:after="0"/>
              <w:rPr>
                <w:sz w:val="21"/>
                <w:szCs w:val="21"/>
                <w:color w:val="auto"/>
              </w:rPr>
            </w:pPr>
          </w:p>
        </w:tc>
        <w:tc>
          <w:tcPr>
            <w:tcW w:w="40" w:type="dxa"/>
            <w:vAlign w:val="bottom"/>
            <w:tcBorders>
              <w:bottom w:val="single" w:sz="8" w:color="D8EEF4"/>
            </w:tcBorders>
          </w:tcPr>
          <w:p>
            <w:pPr>
              <w:spacing w:after="0"/>
              <w:rPr>
                <w:sz w:val="21"/>
                <w:szCs w:val="21"/>
                <w:color w:val="auto"/>
              </w:rPr>
            </w:pPr>
          </w:p>
        </w:tc>
        <w:tc>
          <w:tcPr>
            <w:tcW w:w="80" w:type="dxa"/>
            <w:vAlign w:val="bottom"/>
            <w:tcBorders>
              <w:bottom w:val="single" w:sz="8" w:color="D8EEF4"/>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0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258.5</w:t>
            </w:r>
          </w:p>
        </w:tc>
        <w:tc>
          <w:tcPr>
            <w:tcW w:w="20" w:type="dxa"/>
            <w:vAlign w:val="bottom"/>
            <w:tcBorders>
              <w:bottom w:val="single" w:sz="8" w:color="D8EEF4"/>
            </w:tcBorders>
          </w:tcPr>
          <w:p>
            <w:pPr>
              <w:spacing w:after="0"/>
              <w:rPr>
                <w:sz w:val="21"/>
                <w:szCs w:val="21"/>
                <w:color w:val="auto"/>
              </w:rPr>
            </w:pPr>
          </w:p>
        </w:tc>
        <w:tc>
          <w:tcPr>
            <w:tcW w:w="220" w:type="dxa"/>
            <w:vAlign w:val="bottom"/>
            <w:tcBorders>
              <w:bottom w:val="single" w:sz="8" w:color="D8EEF4"/>
            </w:tcBorders>
          </w:tcPr>
          <w:p>
            <w:pPr>
              <w:spacing w:after="0"/>
              <w:rPr>
                <w:sz w:val="21"/>
                <w:szCs w:val="21"/>
                <w:color w:val="auto"/>
              </w:rPr>
            </w:pPr>
          </w:p>
        </w:tc>
        <w:tc>
          <w:tcPr>
            <w:tcW w:w="20" w:type="dxa"/>
            <w:vAlign w:val="bottom"/>
            <w:tcBorders>
              <w:bottom w:val="single" w:sz="8" w:color="4C4C4E"/>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0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239.3</w:t>
            </w:r>
          </w:p>
        </w:tc>
        <w:tc>
          <w:tcPr>
            <w:tcW w:w="60" w:type="dxa"/>
            <w:vAlign w:val="bottom"/>
            <w:tcBorders>
              <w:bottom w:val="single" w:sz="8" w:color="D8EEF4"/>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55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20"/>
                <w:szCs w:val="20"/>
                <w:color w:val="4C4C4E"/>
              </w:rPr>
              <w:t>Net investment income before income taxes</w:t>
            </w:r>
          </w:p>
        </w:tc>
        <w:tc>
          <w:tcPr>
            <w:tcW w:w="40" w:type="dxa"/>
            <w:vAlign w:val="bottom"/>
            <w:shd w:val="clear" w:color="auto" w:fill="D8EEF4"/>
          </w:tcPr>
          <w:p>
            <w:pPr>
              <w:spacing w:after="0"/>
              <w:rPr>
                <w:sz w:val="20"/>
                <w:szCs w:val="20"/>
                <w:color w:val="auto"/>
              </w:rPr>
            </w:pPr>
          </w:p>
        </w:tc>
        <w:tc>
          <w:tcPr>
            <w:tcW w:w="6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108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215.3</w:t>
            </w:r>
          </w:p>
        </w:tc>
        <w:tc>
          <w:tcPr>
            <w:tcW w:w="120" w:type="dxa"/>
            <w:vAlign w:val="bottom"/>
            <w:shd w:val="clear" w:color="auto" w:fill="D8EEF4"/>
          </w:tcPr>
          <w:p>
            <w:pPr>
              <w:spacing w:after="0"/>
              <w:rPr>
                <w:sz w:val="20"/>
                <w:szCs w:val="20"/>
                <w:color w:val="auto"/>
              </w:rPr>
            </w:pPr>
          </w:p>
        </w:tc>
        <w:tc>
          <w:tcPr>
            <w:tcW w:w="40" w:type="dxa"/>
            <w:vAlign w:val="bottom"/>
            <w:shd w:val="clear" w:color="auto" w:fill="D8EEF4"/>
          </w:tcPr>
          <w:p>
            <w:pPr>
              <w:spacing w:after="0"/>
              <w:rPr>
                <w:sz w:val="20"/>
                <w:szCs w:val="20"/>
                <w:color w:val="auto"/>
              </w:rPr>
            </w:pPr>
          </w:p>
        </w:tc>
        <w:tc>
          <w:tcPr>
            <w:tcW w:w="8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224.0</w:t>
            </w: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198.8</w:t>
            </w:r>
          </w:p>
        </w:tc>
        <w:tc>
          <w:tcPr>
            <w:tcW w:w="6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5520" w:type="dxa"/>
            <w:vAlign w:val="bottom"/>
            <w:tcBorders>
              <w:bottom w:val="single" w:sz="8" w:color="D8EEF4"/>
            </w:tcBorders>
          </w:tcPr>
          <w:p>
            <w:pPr>
              <w:ind w:left="200"/>
              <w:spacing w:after="0"/>
              <w:rPr>
                <w:sz w:val="20"/>
                <w:szCs w:val="20"/>
                <w:color w:val="auto"/>
              </w:rPr>
            </w:pPr>
            <w:r>
              <w:rPr>
                <w:rFonts w:ascii="Times New Roman" w:cs="Times New Roman" w:eastAsia="Times New Roman" w:hAnsi="Times New Roman"/>
                <w:sz w:val="20"/>
                <w:szCs w:val="20"/>
                <w:color w:val="4C4C4E"/>
              </w:rPr>
              <w:t>Less: Income taxes, including excise taxes</w:t>
            </w:r>
          </w:p>
        </w:tc>
        <w:tc>
          <w:tcPr>
            <w:tcW w:w="40" w:type="dxa"/>
            <w:vAlign w:val="bottom"/>
            <w:tcBorders>
              <w:bottom w:val="single" w:sz="8" w:color="D8EEF4"/>
            </w:tcBorders>
          </w:tcPr>
          <w:p>
            <w:pPr>
              <w:spacing w:after="0"/>
              <w:rPr>
                <w:sz w:val="21"/>
                <w:szCs w:val="21"/>
                <w:color w:val="auto"/>
              </w:rPr>
            </w:pPr>
          </w:p>
        </w:tc>
        <w:tc>
          <w:tcPr>
            <w:tcW w:w="60" w:type="dxa"/>
            <w:vAlign w:val="bottom"/>
            <w:tcBorders>
              <w:bottom w:val="single" w:sz="8" w:color="D8EEF4"/>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080" w:type="dxa"/>
            <w:vAlign w:val="bottom"/>
            <w:tcBorders>
              <w:bottom w:val="single" w:sz="8" w:color="4C4C4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5.3</w:t>
            </w:r>
          </w:p>
        </w:tc>
        <w:tc>
          <w:tcPr>
            <w:tcW w:w="120" w:type="dxa"/>
            <w:vAlign w:val="bottom"/>
            <w:tcBorders>
              <w:bottom w:val="single" w:sz="8" w:color="D8EEF4"/>
            </w:tcBorders>
          </w:tcPr>
          <w:p>
            <w:pPr>
              <w:spacing w:after="0"/>
              <w:rPr>
                <w:sz w:val="21"/>
                <w:szCs w:val="21"/>
                <w:color w:val="auto"/>
              </w:rPr>
            </w:pPr>
          </w:p>
        </w:tc>
        <w:tc>
          <w:tcPr>
            <w:tcW w:w="40" w:type="dxa"/>
            <w:vAlign w:val="bottom"/>
            <w:tcBorders>
              <w:bottom w:val="single" w:sz="8" w:color="D8EEF4"/>
            </w:tcBorders>
          </w:tcPr>
          <w:p>
            <w:pPr>
              <w:spacing w:after="0"/>
              <w:rPr>
                <w:sz w:val="21"/>
                <w:szCs w:val="21"/>
                <w:color w:val="auto"/>
              </w:rPr>
            </w:pPr>
          </w:p>
        </w:tc>
        <w:tc>
          <w:tcPr>
            <w:tcW w:w="80" w:type="dxa"/>
            <w:vAlign w:val="bottom"/>
            <w:tcBorders>
              <w:bottom w:val="single" w:sz="8" w:color="D8EEF4"/>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0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4.0</w:t>
            </w:r>
          </w:p>
        </w:tc>
        <w:tc>
          <w:tcPr>
            <w:tcW w:w="20" w:type="dxa"/>
            <w:vAlign w:val="bottom"/>
            <w:tcBorders>
              <w:bottom w:val="single" w:sz="8" w:color="D8EEF4"/>
            </w:tcBorders>
          </w:tcPr>
          <w:p>
            <w:pPr>
              <w:spacing w:after="0"/>
              <w:rPr>
                <w:sz w:val="21"/>
                <w:szCs w:val="21"/>
                <w:color w:val="auto"/>
              </w:rPr>
            </w:pPr>
          </w:p>
        </w:tc>
        <w:tc>
          <w:tcPr>
            <w:tcW w:w="220" w:type="dxa"/>
            <w:vAlign w:val="bottom"/>
            <w:tcBorders>
              <w:bottom w:val="single" w:sz="8" w:color="D8EEF4"/>
            </w:tcBorders>
          </w:tcPr>
          <w:p>
            <w:pPr>
              <w:spacing w:after="0"/>
              <w:rPr>
                <w:sz w:val="21"/>
                <w:szCs w:val="21"/>
                <w:color w:val="auto"/>
              </w:rPr>
            </w:pPr>
          </w:p>
        </w:tc>
        <w:tc>
          <w:tcPr>
            <w:tcW w:w="20" w:type="dxa"/>
            <w:vAlign w:val="bottom"/>
            <w:tcBorders>
              <w:bottom w:val="single" w:sz="8" w:color="4C4C4E"/>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0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2.4</w:t>
            </w:r>
          </w:p>
        </w:tc>
        <w:tc>
          <w:tcPr>
            <w:tcW w:w="60" w:type="dxa"/>
            <w:vAlign w:val="bottom"/>
            <w:tcBorders>
              <w:bottom w:val="single" w:sz="8" w:color="D8EEF4"/>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55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20"/>
                <w:szCs w:val="20"/>
                <w:color w:val="4C4C4E"/>
              </w:rPr>
              <w:t>Net investment income</w:t>
            </w:r>
          </w:p>
        </w:tc>
        <w:tc>
          <w:tcPr>
            <w:tcW w:w="40" w:type="dxa"/>
            <w:vAlign w:val="bottom"/>
            <w:shd w:val="clear" w:color="auto" w:fill="D8EEF4"/>
          </w:tcPr>
          <w:p>
            <w:pPr>
              <w:spacing w:after="0"/>
              <w:rPr>
                <w:sz w:val="20"/>
                <w:szCs w:val="20"/>
                <w:color w:val="auto"/>
              </w:rPr>
            </w:pPr>
          </w:p>
        </w:tc>
        <w:tc>
          <w:tcPr>
            <w:tcW w:w="6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108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210.0</w:t>
            </w:r>
          </w:p>
        </w:tc>
        <w:tc>
          <w:tcPr>
            <w:tcW w:w="120" w:type="dxa"/>
            <w:vAlign w:val="bottom"/>
            <w:shd w:val="clear" w:color="auto" w:fill="D8EEF4"/>
          </w:tcPr>
          <w:p>
            <w:pPr>
              <w:spacing w:after="0"/>
              <w:rPr>
                <w:sz w:val="20"/>
                <w:szCs w:val="20"/>
                <w:color w:val="auto"/>
              </w:rPr>
            </w:pPr>
          </w:p>
        </w:tc>
        <w:tc>
          <w:tcPr>
            <w:tcW w:w="40" w:type="dxa"/>
            <w:vAlign w:val="bottom"/>
            <w:shd w:val="clear" w:color="auto" w:fill="D8EEF4"/>
          </w:tcPr>
          <w:p>
            <w:pPr>
              <w:spacing w:after="0"/>
              <w:rPr>
                <w:sz w:val="20"/>
                <w:szCs w:val="20"/>
                <w:color w:val="auto"/>
              </w:rPr>
            </w:pPr>
          </w:p>
        </w:tc>
        <w:tc>
          <w:tcPr>
            <w:tcW w:w="8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220.0</w:t>
            </w: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196.4</w:t>
            </w:r>
          </w:p>
        </w:tc>
        <w:tc>
          <w:tcPr>
            <w:tcW w:w="6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55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4C4C4E"/>
              </w:rPr>
              <w:t xml:space="preserve">Net realized gains (losses) </w:t>
            </w:r>
            <w:r>
              <w:rPr>
                <w:rFonts w:ascii="Times New Roman" w:cs="Times New Roman" w:eastAsia="Times New Roman" w:hAnsi="Times New Roman"/>
                <w:sz w:val="26"/>
                <w:szCs w:val="26"/>
                <w:color w:val="4C4C4E"/>
                <w:vertAlign w:val="superscript"/>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4C4C4E"/>
              </w:rPr>
              <w:t>(48.9)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5520" w:type="dxa"/>
            <w:vAlign w:val="bottom"/>
            <w:shd w:val="clear" w:color="auto" w:fill="D8EEF4"/>
          </w:tcPr>
          <w:p>
            <w:pPr>
              <w:spacing w:after="0" w:line="243" w:lineRule="exact"/>
              <w:rPr>
                <w:sz w:val="20"/>
                <w:szCs w:val="20"/>
                <w:color w:val="auto"/>
              </w:rPr>
            </w:pPr>
            <w:r>
              <w:rPr>
                <w:rFonts w:ascii="Times New Roman" w:cs="Times New Roman" w:eastAsia="Times New Roman" w:hAnsi="Times New Roman"/>
                <w:sz w:val="20"/>
                <w:szCs w:val="20"/>
                <w:color w:val="4C4C4E"/>
              </w:rPr>
              <w:t xml:space="preserve">Net change in unrealized gains (losses) </w:t>
            </w:r>
            <w:r>
              <w:rPr>
                <w:rFonts w:ascii="Times New Roman" w:cs="Times New Roman" w:eastAsia="Times New Roman" w:hAnsi="Times New Roman"/>
                <w:sz w:val="26"/>
                <w:szCs w:val="26"/>
                <w:color w:val="4C4C4E"/>
                <w:vertAlign w:val="superscript"/>
              </w:rPr>
              <w:t>(2)</w:t>
            </w:r>
          </w:p>
        </w:tc>
        <w:tc>
          <w:tcPr>
            <w:tcW w:w="40" w:type="dxa"/>
            <w:vAlign w:val="bottom"/>
            <w:shd w:val="clear" w:color="auto" w:fill="D8EEF4"/>
          </w:tcPr>
          <w:p>
            <w:pPr>
              <w:spacing w:after="0"/>
              <w:rPr>
                <w:sz w:val="21"/>
                <w:szCs w:val="21"/>
                <w:color w:val="auto"/>
              </w:rPr>
            </w:pPr>
          </w:p>
        </w:tc>
        <w:tc>
          <w:tcPr>
            <w:tcW w:w="6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08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9.4</w:t>
            </w:r>
          </w:p>
        </w:tc>
        <w:tc>
          <w:tcPr>
            <w:tcW w:w="120" w:type="dxa"/>
            <w:vAlign w:val="bottom"/>
            <w:shd w:val="clear" w:color="auto" w:fill="D8EEF4"/>
          </w:tcPr>
          <w:p>
            <w:pPr>
              <w:spacing w:after="0"/>
              <w:rPr>
                <w:sz w:val="21"/>
                <w:szCs w:val="21"/>
                <w:color w:val="auto"/>
              </w:rPr>
            </w:pPr>
          </w:p>
        </w:tc>
        <w:tc>
          <w:tcPr>
            <w:tcW w:w="4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320" w:type="dxa"/>
            <w:vAlign w:val="bottom"/>
            <w:gridSpan w:val="3"/>
            <w:shd w:val="clear" w:color="auto" w:fill="D8EEF4"/>
          </w:tcPr>
          <w:p>
            <w:pPr>
              <w:jc w:val="right"/>
              <w:ind w:right="180"/>
              <w:spacing w:after="0"/>
              <w:rPr>
                <w:sz w:val="20"/>
                <w:szCs w:val="20"/>
                <w:color w:val="auto"/>
              </w:rPr>
            </w:pPr>
            <w:r>
              <w:rPr>
                <w:rFonts w:ascii="Times New Roman" w:cs="Times New Roman" w:eastAsia="Times New Roman" w:hAnsi="Times New Roman"/>
                <w:sz w:val="20"/>
                <w:szCs w:val="20"/>
                <w:color w:val="4C4C4E"/>
              </w:rPr>
              <w:t>(42.0)</w:t>
            </w:r>
          </w:p>
        </w:tc>
        <w:tc>
          <w:tcPr>
            <w:tcW w:w="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13.2</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4C4C4E"/>
              </w:rPr>
              <w:t>Net increase (decrease) in net assets resulting from operations</w:t>
            </w:r>
          </w:p>
        </w:tc>
        <w:tc>
          <w:tcPr>
            <w:tcW w:w="100" w:type="dxa"/>
            <w:vAlign w:val="bottom"/>
            <w:gridSpan w:val="2"/>
          </w:tcPr>
          <w:p>
            <w:pPr>
              <w:spacing w:after="0"/>
              <w:rPr>
                <w:sz w:val="20"/>
                <w:szCs w:val="20"/>
                <w:color w:val="auto"/>
              </w:rPr>
            </w:pPr>
          </w:p>
        </w:tc>
        <w:tc>
          <w:tcPr>
            <w:tcW w:w="10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tcBorders>
              <w:top w:val="single" w:sz="8" w:color="4C4C4E"/>
              <w:bottom w:val="single" w:sz="8" w:color="4C4C4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170.5</w:t>
            </w:r>
          </w:p>
        </w:tc>
        <w:tc>
          <w:tcPr>
            <w:tcW w:w="1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186.6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4C4C4E"/>
              <w:bottom w:val="single" w:sz="8" w:color="4C4C4E"/>
            </w:tcBorders>
            <w:gridSpan w:val="2"/>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222.0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4C4C4E"/>
              </w:rPr>
              <w:t>(1)   Table may not sum due to rounding.</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020" w:type="dxa"/>
            <w:vAlign w:val="bottom"/>
            <w:tcBorders>
              <w:bottom w:val="single" w:sz="8" w:color="4C4C4E"/>
            </w:tcBorders>
          </w:tcPr>
          <w:p>
            <w:pPr>
              <w:spacing w:after="0" w:line="20" w:lineRule="exact"/>
              <w:rPr>
                <w:sz w:val="1"/>
                <w:szCs w:val="1"/>
                <w:color w:val="auto"/>
              </w:rPr>
            </w:pPr>
          </w:p>
        </w:tc>
        <w:tc>
          <w:tcPr>
            <w:tcW w:w="60" w:type="dxa"/>
            <w:vAlign w:val="bottom"/>
            <w:tcBorders>
              <w:bottom w:val="single" w:sz="8" w:color="4C4C4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08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08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0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4C4C4E"/>
              </w:rPr>
              <w:t>(2)   Includes foreign exchange hedging activity.</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4C4C4E"/>
              </w:rPr>
              <w:t>Investment Income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12"/>
          </w:tcPr>
          <w:p>
            <w:pPr>
              <w:jc w:val="center"/>
              <w:ind w:right="84"/>
              <w:spacing w:after="0"/>
              <w:rPr>
                <w:sz w:val="20"/>
                <w:szCs w:val="20"/>
                <w:color w:val="auto"/>
              </w:rPr>
            </w:pPr>
            <w:r>
              <w:rPr>
                <w:rFonts w:ascii="Times New Roman" w:cs="Times New Roman" w:eastAsia="Times New Roman" w:hAnsi="Times New Roman"/>
                <w:sz w:val="16"/>
                <w:szCs w:val="16"/>
                <w:b w:val="1"/>
                <w:bCs w:val="1"/>
                <w:color w:val="4C4C4E"/>
                <w:w w:val="99"/>
              </w:rPr>
              <w:t>For the Year Ended 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520" w:type="dxa"/>
            <w:vAlign w:val="bottom"/>
            <w:tcBorders>
              <w:bottom w:val="single" w:sz="8" w:color="D8EEF4"/>
            </w:tcBorders>
          </w:tcPr>
          <w:p>
            <w:pPr>
              <w:spacing w:after="0" w:line="204" w:lineRule="exact"/>
              <w:rPr>
                <w:sz w:val="20"/>
                <w:szCs w:val="20"/>
                <w:color w:val="auto"/>
              </w:rPr>
            </w:pPr>
            <w:r>
              <w:rPr>
                <w:rFonts w:ascii="Times New Roman" w:cs="Times New Roman" w:eastAsia="Times New Roman" w:hAnsi="Times New Roman"/>
                <w:sz w:val="16"/>
                <w:szCs w:val="16"/>
                <w:color w:val="4C4C4E"/>
              </w:rPr>
              <w:t xml:space="preserve">($ in millions) </w:t>
            </w:r>
            <w:r>
              <w:rPr>
                <w:rFonts w:ascii="Times New Roman" w:cs="Times New Roman" w:eastAsia="Times New Roman" w:hAnsi="Times New Roman"/>
                <w:sz w:val="20"/>
                <w:szCs w:val="20"/>
                <w:color w:val="4C4C4E"/>
                <w:vertAlign w:val="superscript"/>
              </w:rPr>
              <w:t>(1)</w:t>
            </w:r>
          </w:p>
        </w:tc>
        <w:tc>
          <w:tcPr>
            <w:tcW w:w="40" w:type="dxa"/>
            <w:vAlign w:val="bottom"/>
            <w:tcBorders>
              <w:bottom w:val="single" w:sz="8" w:color="D8EEF4"/>
            </w:tcBorders>
          </w:tcPr>
          <w:p>
            <w:pPr>
              <w:spacing w:after="0"/>
              <w:rPr>
                <w:sz w:val="17"/>
                <w:szCs w:val="17"/>
                <w:color w:val="auto"/>
              </w:rPr>
            </w:pPr>
          </w:p>
        </w:tc>
        <w:tc>
          <w:tcPr>
            <w:tcW w:w="60" w:type="dxa"/>
            <w:vAlign w:val="bottom"/>
            <w:tcBorders>
              <w:bottom w:val="single" w:sz="8" w:color="4C4C4E"/>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020" w:type="dxa"/>
            <w:vAlign w:val="bottom"/>
            <w:tcBorders>
              <w:bottom w:val="single" w:sz="8" w:color="4C4C4E"/>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4C4C4E"/>
              </w:rPr>
              <w:t>2025</w:t>
            </w:r>
          </w:p>
        </w:tc>
        <w:tc>
          <w:tcPr>
            <w:tcW w:w="60" w:type="dxa"/>
            <w:vAlign w:val="bottom"/>
            <w:tcBorders>
              <w:bottom w:val="single" w:sz="8" w:color="D8EEF4"/>
            </w:tcBorders>
          </w:tcPr>
          <w:p>
            <w:pPr>
              <w:spacing w:after="0"/>
              <w:rPr>
                <w:sz w:val="17"/>
                <w:szCs w:val="17"/>
                <w:color w:val="auto"/>
              </w:rPr>
            </w:pPr>
          </w:p>
        </w:tc>
        <w:tc>
          <w:tcPr>
            <w:tcW w:w="120" w:type="dxa"/>
            <w:vAlign w:val="bottom"/>
            <w:tcBorders>
              <w:bottom w:val="single" w:sz="8" w:color="D8EEF4"/>
            </w:tcBorders>
          </w:tcPr>
          <w:p>
            <w:pPr>
              <w:spacing w:after="0"/>
              <w:rPr>
                <w:sz w:val="17"/>
                <w:szCs w:val="17"/>
                <w:color w:val="auto"/>
              </w:rPr>
            </w:pPr>
          </w:p>
        </w:tc>
        <w:tc>
          <w:tcPr>
            <w:tcW w:w="40" w:type="dxa"/>
            <w:vAlign w:val="bottom"/>
            <w:tcBorders>
              <w:bottom w:val="single" w:sz="8" w:color="D8EEF4"/>
            </w:tcBorders>
          </w:tcPr>
          <w:p>
            <w:pPr>
              <w:spacing w:after="0"/>
              <w:rPr>
                <w:sz w:val="17"/>
                <w:szCs w:val="17"/>
                <w:color w:val="auto"/>
              </w:rPr>
            </w:pPr>
          </w:p>
        </w:tc>
        <w:tc>
          <w:tcPr>
            <w:tcW w:w="80" w:type="dxa"/>
            <w:vAlign w:val="bottom"/>
            <w:tcBorders>
              <w:bottom w:val="single" w:sz="8" w:color="4C4C4E"/>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080" w:type="dxa"/>
            <w:vAlign w:val="bottom"/>
            <w:tcBorders>
              <w:bottom w:val="single" w:sz="8" w:color="4C4C4E"/>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4C4C4E"/>
                <w:w w:val="99"/>
              </w:rPr>
              <w:t>2024</w:t>
            </w:r>
          </w:p>
        </w:tc>
        <w:tc>
          <w:tcPr>
            <w:tcW w:w="20" w:type="dxa"/>
            <w:vAlign w:val="bottom"/>
            <w:tcBorders>
              <w:bottom w:val="single" w:sz="8" w:color="4C4C4E"/>
            </w:tcBorders>
          </w:tcPr>
          <w:p>
            <w:pPr>
              <w:spacing w:after="0"/>
              <w:rPr>
                <w:sz w:val="17"/>
                <w:szCs w:val="17"/>
                <w:color w:val="auto"/>
              </w:rPr>
            </w:pPr>
          </w:p>
        </w:tc>
        <w:tc>
          <w:tcPr>
            <w:tcW w:w="22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080" w:type="dxa"/>
            <w:vAlign w:val="bottom"/>
            <w:tcBorders>
              <w:bottom w:val="single" w:sz="8" w:color="4C4C4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4C4C4E"/>
              </w:rPr>
              <w:t>2023</w:t>
            </w:r>
          </w:p>
        </w:tc>
        <w:tc>
          <w:tcPr>
            <w:tcW w:w="6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55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Interest from investments</w:t>
            </w:r>
          </w:p>
        </w:tc>
        <w:tc>
          <w:tcPr>
            <w:tcW w:w="40" w:type="dxa"/>
            <w:vAlign w:val="bottom"/>
            <w:shd w:val="clear" w:color="auto" w:fill="D8EEF4"/>
          </w:tcPr>
          <w:p>
            <w:pPr>
              <w:spacing w:after="0"/>
              <w:rPr>
                <w:sz w:val="20"/>
                <w:szCs w:val="20"/>
                <w:color w:val="auto"/>
              </w:rPr>
            </w:pPr>
          </w:p>
        </w:tc>
        <w:tc>
          <w:tcPr>
            <w:tcW w:w="16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400.8</w:t>
            </w:r>
          </w:p>
        </w:tc>
        <w:tc>
          <w:tcPr>
            <w:tcW w:w="60" w:type="dxa"/>
            <w:vAlign w:val="bottom"/>
            <w:shd w:val="clear" w:color="auto" w:fill="D8EEF4"/>
          </w:tcPr>
          <w:p>
            <w:pPr>
              <w:spacing w:after="0"/>
              <w:rPr>
                <w:sz w:val="20"/>
                <w:szCs w:val="20"/>
                <w:color w:val="auto"/>
              </w:rPr>
            </w:pPr>
          </w:p>
        </w:tc>
        <w:tc>
          <w:tcPr>
            <w:tcW w:w="120" w:type="dxa"/>
            <w:vAlign w:val="bottom"/>
            <w:shd w:val="clear" w:color="auto" w:fill="D8EEF4"/>
          </w:tcPr>
          <w:p>
            <w:pPr>
              <w:spacing w:after="0"/>
              <w:rPr>
                <w:sz w:val="20"/>
                <w:szCs w:val="20"/>
                <w:color w:val="auto"/>
              </w:rPr>
            </w:pPr>
          </w:p>
        </w:tc>
        <w:tc>
          <w:tcPr>
            <w:tcW w:w="40" w:type="dxa"/>
            <w:vAlign w:val="bottom"/>
            <w:shd w:val="clear" w:color="auto" w:fill="D8EEF4"/>
          </w:tcPr>
          <w:p>
            <w:pPr>
              <w:spacing w:after="0"/>
              <w:rPr>
                <w:sz w:val="20"/>
                <w:szCs w:val="20"/>
                <w:color w:val="auto"/>
              </w:rPr>
            </w:pPr>
          </w:p>
        </w:tc>
        <w:tc>
          <w:tcPr>
            <w:tcW w:w="18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423.0</w:t>
            </w:r>
          </w:p>
        </w:tc>
        <w:tc>
          <w:tcPr>
            <w:tcW w:w="2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399.1</w:t>
            </w:r>
          </w:p>
        </w:tc>
        <w:tc>
          <w:tcPr>
            <w:tcW w:w="6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4C4C4E"/>
              </w:rPr>
              <w:t>Paid-in-kind interest income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29.3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55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Dividend income</w:t>
            </w:r>
          </w:p>
        </w:tc>
        <w:tc>
          <w:tcPr>
            <w:tcW w:w="40" w:type="dxa"/>
            <w:vAlign w:val="bottom"/>
            <w:shd w:val="clear" w:color="auto" w:fill="D8EEF4"/>
          </w:tcPr>
          <w:p>
            <w:pPr>
              <w:spacing w:after="0"/>
              <w:rPr>
                <w:sz w:val="21"/>
                <w:szCs w:val="21"/>
                <w:color w:val="auto"/>
              </w:rPr>
            </w:pPr>
          </w:p>
        </w:tc>
        <w:tc>
          <w:tcPr>
            <w:tcW w:w="6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2.3</w:t>
            </w:r>
          </w:p>
        </w:tc>
        <w:tc>
          <w:tcPr>
            <w:tcW w:w="60" w:type="dxa"/>
            <w:vAlign w:val="bottom"/>
            <w:shd w:val="clear" w:color="auto" w:fill="D8EEF4"/>
          </w:tcPr>
          <w:p>
            <w:pPr>
              <w:spacing w:after="0"/>
              <w:rPr>
                <w:sz w:val="21"/>
                <w:szCs w:val="21"/>
                <w:color w:val="auto"/>
              </w:rPr>
            </w:pPr>
          </w:p>
        </w:tc>
        <w:tc>
          <w:tcPr>
            <w:tcW w:w="120" w:type="dxa"/>
            <w:vAlign w:val="bottom"/>
            <w:shd w:val="clear" w:color="auto" w:fill="D8EEF4"/>
          </w:tcPr>
          <w:p>
            <w:pPr>
              <w:spacing w:after="0"/>
              <w:rPr>
                <w:sz w:val="21"/>
                <w:szCs w:val="21"/>
                <w:color w:val="auto"/>
              </w:rPr>
            </w:pPr>
          </w:p>
        </w:tc>
        <w:tc>
          <w:tcPr>
            <w:tcW w:w="4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1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11.7</w:t>
            </w:r>
          </w:p>
        </w:tc>
        <w:tc>
          <w:tcPr>
            <w:tcW w:w="2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4.2</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55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20"/>
                <w:szCs w:val="20"/>
                <w:color w:val="4C4C4E"/>
              </w:rPr>
              <w:t>Other income</w:t>
            </w:r>
          </w:p>
        </w:tc>
        <w:tc>
          <w:tcPr>
            <w:tcW w:w="40" w:type="dxa"/>
            <w:vAlign w:val="bottom"/>
            <w:tcBorders>
              <w:bottom w:val="single" w:sz="8" w:color="D8EEF4"/>
            </w:tcBorders>
          </w:tcPr>
          <w:p>
            <w:pPr>
              <w:spacing w:after="0"/>
              <w:rPr>
                <w:sz w:val="21"/>
                <w:szCs w:val="21"/>
                <w:color w:val="auto"/>
              </w:rPr>
            </w:pPr>
          </w:p>
        </w:tc>
        <w:tc>
          <w:tcPr>
            <w:tcW w:w="60" w:type="dxa"/>
            <w:vAlign w:val="bottom"/>
            <w:tcBorders>
              <w:bottom w:val="single" w:sz="8" w:color="4C4C4E"/>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0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20.3</w:t>
            </w:r>
          </w:p>
        </w:tc>
        <w:tc>
          <w:tcPr>
            <w:tcW w:w="60" w:type="dxa"/>
            <w:vAlign w:val="bottom"/>
            <w:tcBorders>
              <w:bottom w:val="single" w:sz="8" w:color="D8EEF4"/>
            </w:tcBorders>
          </w:tcPr>
          <w:p>
            <w:pPr>
              <w:spacing w:after="0"/>
              <w:rPr>
                <w:sz w:val="21"/>
                <w:szCs w:val="21"/>
                <w:color w:val="auto"/>
              </w:rPr>
            </w:pPr>
          </w:p>
        </w:tc>
        <w:tc>
          <w:tcPr>
            <w:tcW w:w="120" w:type="dxa"/>
            <w:vAlign w:val="bottom"/>
            <w:tcBorders>
              <w:bottom w:val="single" w:sz="8" w:color="D8EEF4"/>
            </w:tcBorders>
          </w:tcPr>
          <w:p>
            <w:pPr>
              <w:spacing w:after="0"/>
              <w:rPr>
                <w:sz w:val="21"/>
                <w:szCs w:val="21"/>
                <w:color w:val="auto"/>
              </w:rPr>
            </w:pPr>
          </w:p>
        </w:tc>
        <w:tc>
          <w:tcPr>
            <w:tcW w:w="40" w:type="dxa"/>
            <w:vAlign w:val="bottom"/>
            <w:tcBorders>
              <w:bottom w:val="single" w:sz="8" w:color="D8EEF4"/>
            </w:tcBorders>
          </w:tcPr>
          <w:p>
            <w:pPr>
              <w:spacing w:after="0"/>
              <w:rPr>
                <w:sz w:val="21"/>
                <w:szCs w:val="21"/>
                <w:color w:val="auto"/>
              </w:rPr>
            </w:pPr>
          </w:p>
        </w:tc>
        <w:tc>
          <w:tcPr>
            <w:tcW w:w="80" w:type="dxa"/>
            <w:vAlign w:val="bottom"/>
            <w:tcBorders>
              <w:bottom w:val="single" w:sz="8" w:color="4C4C4E"/>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100" w:type="dxa"/>
            <w:vAlign w:val="bottom"/>
            <w:tcBorders>
              <w:bottom w:val="single" w:sz="8" w:color="4C4C4E"/>
            </w:tcBorders>
            <w:gridSpan w:val="2"/>
          </w:tcPr>
          <w:p>
            <w:pPr>
              <w:jc w:val="right"/>
              <w:spacing w:after="0"/>
              <w:rPr>
                <w:sz w:val="20"/>
                <w:szCs w:val="20"/>
                <w:color w:val="auto"/>
              </w:rPr>
            </w:pPr>
            <w:r>
              <w:rPr>
                <w:rFonts w:ascii="Times New Roman" w:cs="Times New Roman" w:eastAsia="Times New Roman" w:hAnsi="Times New Roman"/>
                <w:sz w:val="20"/>
                <w:szCs w:val="20"/>
                <w:color w:val="4C4C4E"/>
              </w:rPr>
              <w:t>18.5</w:t>
            </w:r>
          </w:p>
        </w:tc>
        <w:tc>
          <w:tcPr>
            <w:tcW w:w="220" w:type="dxa"/>
            <w:vAlign w:val="bottom"/>
            <w:tcBorders>
              <w:bottom w:val="single" w:sz="8" w:color="D8EEF4"/>
            </w:tcBorders>
          </w:tcPr>
          <w:p>
            <w:pPr>
              <w:spacing w:after="0"/>
              <w:rPr>
                <w:sz w:val="21"/>
                <w:szCs w:val="21"/>
                <w:color w:val="auto"/>
              </w:rPr>
            </w:pPr>
          </w:p>
        </w:tc>
        <w:tc>
          <w:tcPr>
            <w:tcW w:w="20" w:type="dxa"/>
            <w:vAlign w:val="bottom"/>
            <w:tcBorders>
              <w:bottom w:val="single" w:sz="8" w:color="D8EEF4"/>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0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15.1</w:t>
            </w:r>
          </w:p>
        </w:tc>
        <w:tc>
          <w:tcPr>
            <w:tcW w:w="60" w:type="dxa"/>
            <w:vAlign w:val="bottom"/>
            <w:tcBorders>
              <w:bottom w:val="single" w:sz="8" w:color="D8EEF4"/>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40" w:type="dxa"/>
            <w:vAlign w:val="bottom"/>
          </w:tcPr>
          <w:p>
            <w:pPr>
              <w:spacing w:after="0"/>
              <w:rPr>
                <w:sz w:val="22"/>
                <w:szCs w:val="22"/>
                <w:color w:val="auto"/>
              </w:rPr>
            </w:pPr>
          </w:p>
        </w:tc>
        <w:tc>
          <w:tcPr>
            <w:tcW w:w="5520" w:type="dxa"/>
            <w:vAlign w:val="bottom"/>
            <w:tcBorders>
              <w:bottom w:val="single" w:sz="8" w:color="D8EEF4"/>
            </w:tcBorders>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investment income</w:t>
            </w:r>
          </w:p>
        </w:tc>
        <w:tc>
          <w:tcPr>
            <w:tcW w:w="40" w:type="dxa"/>
            <w:vAlign w:val="bottom"/>
            <w:tcBorders>
              <w:bottom w:val="single" w:sz="8" w:color="D8EEF4"/>
            </w:tcBorders>
            <w:shd w:val="clear" w:color="auto" w:fill="D8EEF4"/>
          </w:tcPr>
          <w:p>
            <w:pPr>
              <w:spacing w:after="0"/>
              <w:rPr>
                <w:sz w:val="22"/>
                <w:szCs w:val="22"/>
                <w:color w:val="auto"/>
              </w:rPr>
            </w:pPr>
          </w:p>
        </w:tc>
        <w:tc>
          <w:tcPr>
            <w:tcW w:w="16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449.1</w:t>
            </w:r>
          </w:p>
        </w:tc>
        <w:tc>
          <w:tcPr>
            <w:tcW w:w="60" w:type="dxa"/>
            <w:vAlign w:val="bottom"/>
            <w:tcBorders>
              <w:bottom w:val="single" w:sz="8" w:color="D8EEF4"/>
            </w:tcBorders>
            <w:shd w:val="clear" w:color="auto" w:fill="D8EEF4"/>
          </w:tcPr>
          <w:p>
            <w:pPr>
              <w:spacing w:after="0"/>
              <w:rPr>
                <w:sz w:val="22"/>
                <w:szCs w:val="22"/>
                <w:color w:val="auto"/>
              </w:rPr>
            </w:pPr>
          </w:p>
        </w:tc>
        <w:tc>
          <w:tcPr>
            <w:tcW w:w="120" w:type="dxa"/>
            <w:vAlign w:val="bottom"/>
            <w:tcBorders>
              <w:bottom w:val="single" w:sz="8" w:color="D8EEF4"/>
            </w:tcBorders>
            <w:shd w:val="clear" w:color="auto" w:fill="D8EEF4"/>
          </w:tcPr>
          <w:p>
            <w:pPr>
              <w:spacing w:after="0"/>
              <w:rPr>
                <w:sz w:val="22"/>
                <w:szCs w:val="22"/>
                <w:color w:val="auto"/>
              </w:rPr>
            </w:pPr>
          </w:p>
        </w:tc>
        <w:tc>
          <w:tcPr>
            <w:tcW w:w="40" w:type="dxa"/>
            <w:vAlign w:val="bottom"/>
            <w:tcBorders>
              <w:bottom w:val="single" w:sz="8" w:color="D8EEF4"/>
            </w:tcBorders>
            <w:shd w:val="clear" w:color="auto" w:fill="D8EEF4"/>
          </w:tcPr>
          <w:p>
            <w:pPr>
              <w:spacing w:after="0"/>
              <w:rPr>
                <w:sz w:val="22"/>
                <w:szCs w:val="22"/>
                <w:color w:val="auto"/>
              </w:rPr>
            </w:pPr>
          </w:p>
        </w:tc>
        <w:tc>
          <w:tcPr>
            <w:tcW w:w="18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482.5</w:t>
            </w:r>
          </w:p>
        </w:tc>
        <w:tc>
          <w:tcPr>
            <w:tcW w:w="220" w:type="dxa"/>
            <w:vAlign w:val="bottom"/>
            <w:tcBorders>
              <w:bottom w:val="single" w:sz="8" w:color="D8EEF4"/>
            </w:tcBorders>
            <w:shd w:val="clear" w:color="auto" w:fill="D8EEF4"/>
          </w:tcPr>
          <w:p>
            <w:pPr>
              <w:spacing w:after="0"/>
              <w:rPr>
                <w:sz w:val="22"/>
                <w:szCs w:val="22"/>
                <w:color w:val="auto"/>
              </w:rPr>
            </w:pPr>
          </w:p>
        </w:tc>
        <w:tc>
          <w:tcPr>
            <w:tcW w:w="20" w:type="dxa"/>
            <w:vAlign w:val="bottom"/>
            <w:tcBorders>
              <w:bottom w:val="single" w:sz="8" w:color="D8EEF4"/>
            </w:tcBorders>
            <w:shd w:val="clear" w:color="auto" w:fill="D8EEF4"/>
          </w:tcPr>
          <w:p>
            <w:pPr>
              <w:spacing w:after="0"/>
              <w:rPr>
                <w:sz w:val="22"/>
                <w:szCs w:val="22"/>
                <w:color w:val="auto"/>
              </w:rPr>
            </w:pPr>
          </w:p>
        </w:tc>
        <w:tc>
          <w:tcPr>
            <w:tcW w:w="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438.1</w:t>
            </w:r>
          </w:p>
        </w:tc>
        <w:tc>
          <w:tcPr>
            <w:tcW w:w="60" w:type="dxa"/>
            <w:vAlign w:val="bottom"/>
            <w:tcBorders>
              <w:bottom w:val="single" w:sz="8" w:color="D8EEF4"/>
            </w:tcBorders>
            <w:shd w:val="clear" w:color="auto" w:fill="D8EE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4C4C4E"/>
              </w:rPr>
              <w:t>(1)</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20"/>
                <w:szCs w:val="20"/>
                <w:color w:val="4C4C4E"/>
              </w:rPr>
              <w:t>Table may not sum due to rounding.</w:t>
            </w:r>
          </w:p>
        </w:tc>
        <w:tc>
          <w:tcPr>
            <w:tcW w:w="40" w:type="dxa"/>
            <w:vAlign w:val="bottom"/>
          </w:tcPr>
          <w:p>
            <w:pPr>
              <w:spacing w:after="0" w:line="20" w:lineRule="exact"/>
              <w:rPr>
                <w:sz w:val="1"/>
                <w:szCs w:val="1"/>
                <w:color w:val="auto"/>
              </w:rPr>
            </w:pPr>
          </w:p>
        </w:tc>
        <w:tc>
          <w:tcPr>
            <w:tcW w:w="6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02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08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08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540" w:type="dxa"/>
            <w:vAlign w:val="bottom"/>
            <w:vMerge w:val="continue"/>
          </w:tcPr>
          <w:p>
            <w:pPr>
              <w:spacing w:after="0"/>
              <w:rPr>
                <w:sz w:val="24"/>
                <w:szCs w:val="24"/>
                <w:color w:val="auto"/>
              </w:rPr>
            </w:pPr>
          </w:p>
        </w:tc>
        <w:tc>
          <w:tcPr>
            <w:tcW w:w="5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-3945890</wp:posOffset>
            </wp:positionV>
            <wp:extent cx="260032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
                      <a:extLst>
                        <a:ext uri="{28A0092B-C50C-407E-A947-70E740481C1C}"/>
                      </a:extLst>
                    </a:blip>
                    <a:srcRect/>
                    <a:stretch>
                      <a:fillRect/>
                    </a:stretch>
                  </pic:blipFill>
                  <pic:spPr bwMode="auto">
                    <a:xfrm>
                      <a:off x="0" y="0"/>
                      <a:ext cx="2600325" cy="3810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-1273810</wp:posOffset>
            </wp:positionV>
            <wp:extent cx="263969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
                      <a:extLst>
                        <a:ext uri="{28A0092B-C50C-407E-A947-70E740481C1C}"/>
                      </a:extLst>
                    </a:blip>
                    <a:srcRect/>
                    <a:stretch>
                      <a:fillRect/>
                    </a:stretch>
                  </pic:blipFill>
                  <pic:spPr bwMode="auto">
                    <a:xfrm>
                      <a:off x="0" y="0"/>
                      <a:ext cx="2639695" cy="38100"/>
                    </a:xfrm>
                    <a:prstGeom prst="rect">
                      <a:avLst/>
                    </a:prstGeom>
                    <a:noFill/>
                  </pic:spPr>
                </pic:pic>
              </a:graphicData>
            </a:graphic>
          </wp:anchor>
        </w:drawing>
      </w:r>
    </w:p>
    <w:p>
      <w:pPr>
        <w:spacing w:after="0" w:line="214"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4C4C4E"/>
        </w:rPr>
        <w:t>Interest from investments, which includes amortization of upfront fees and prepayment fees, decreased from $ 423.0 million for the year ended December 31, 2024 to $400.8 million for the year ended December 31, 2025. The decrease in interest from investments was primarily the result of a decrease in reference rates for the year ended December 31, 2025 compared to 2024. Paid-in-kind interest income decreased from $29.3 million for the year ended December 31, 2024 to $25.6 million for the year ended December 31, 2025 due to decreased PIK election. Dividend income decreased from $11.7 million for the year ended December 31, 2024 to $2.3 million for the year ended December 31, 2025 due to decreased investments in dividend yielding securities in 2025. Other income increased from $18.5 million for the year ended December 31, 2024 to $20.3 million for the year ended December 31, 2025, primarily due to increased miscellaneous fees earned during 2025.</w:t>
      </w:r>
    </w:p>
    <w:p>
      <w:pPr>
        <w:spacing w:after="0" w:line="202"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4C4C4E"/>
        </w:rPr>
        <w:t>Interest from investments, which includes amortization of upfront fees and prepayment fees, increased from $ 399.1 million for the year ended December 31, 2023 to $423.0 million for the year ended December 31, 2024. The increase in interest from investments was primarily the result of a larger average portfolio size for the year ended December 31, 2024 compared to the same period in 2023. Paid-in-kind interest income increased from $19.7 million for the year ended December 31, 2023 to $29.3 million for the year ended December 31, 2024 due to increased PIK election. Dividend income increased from $4.2 million for the year ended December 31, 2023 to $11.7 million for the year ended December 31, 2024 due to increased investments in dividend yielding securities in 2024.</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72</w:t>
      </w:r>
    </w:p>
    <w:p>
      <w:pPr>
        <w:sectPr>
          <w:pgSz w:w="11880" w:h="15480" w:orient="portrait"/>
          <w:cols w:equalWidth="0" w:num="1">
            <w:col w:w="10760"/>
          </w:cols>
          <w:pgMar w:left="540" w:top="746" w:right="580" w:bottom="0" w:gutter="0" w:footer="0" w:header="0"/>
          <w:type w:val="continuous"/>
        </w:sectPr>
      </w:pPr>
    </w:p>
    <w:bookmarkStart w:id="72" w:name="page73"/>
    <w:bookmarkEnd w:id="72"/>
    <w:p>
      <w:pPr>
        <w:ind w:right="200"/>
        <w:spacing w:after="0" w:line="277" w:lineRule="auto"/>
        <w:rPr>
          <w:sz w:val="20"/>
          <w:szCs w:val="20"/>
          <w:color w:val="auto"/>
        </w:rPr>
      </w:pPr>
      <w:r>
        <w:rPr>
          <w:rFonts w:ascii="Times New Roman" w:cs="Times New Roman" w:eastAsia="Times New Roman" w:hAnsi="Times New Roman"/>
          <w:sz w:val="20"/>
          <w:szCs w:val="20"/>
          <w:color w:val="4C4C4E"/>
        </w:rPr>
        <w:t>Other income increased from $15.1 million for the year ended December 31, 2023 to $18.5 million for the year ended December 31, 2024, primarily due to increased amendment and other miscellaneous fees earned during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Expenses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Operating expenses for the years ended December 31, 2025, December 31, 2024 and December 31, 2023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4C4C4E"/>
              </w:rPr>
              <w:t>For the Year Ended December 31,</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Borders>
              <w:bottom w:val="single" w:sz="8" w:color="D8EEF4"/>
            </w:tcBorders>
          </w:tcPr>
          <w:p>
            <w:pPr>
              <w:spacing w:after="0" w:line="204" w:lineRule="exact"/>
              <w:rPr>
                <w:sz w:val="20"/>
                <w:szCs w:val="20"/>
                <w:color w:val="auto"/>
              </w:rPr>
            </w:pPr>
            <w:r>
              <w:rPr>
                <w:rFonts w:ascii="Times New Roman" w:cs="Times New Roman" w:eastAsia="Times New Roman" w:hAnsi="Times New Roman"/>
                <w:sz w:val="16"/>
                <w:szCs w:val="16"/>
                <w:color w:val="4C4C4E"/>
              </w:rPr>
              <w:t>($ in millions)</w:t>
            </w:r>
            <w:r>
              <w:rPr>
                <w:rFonts w:ascii="Times New Roman" w:cs="Times New Roman" w:eastAsia="Times New Roman" w:hAnsi="Times New Roman"/>
                <w:sz w:val="20"/>
                <w:szCs w:val="20"/>
                <w:color w:val="4C4C4E"/>
                <w:vertAlign w:val="superscript"/>
              </w:rPr>
              <w:t>(1)</w:t>
            </w:r>
          </w:p>
        </w:tc>
        <w:tc>
          <w:tcPr>
            <w:tcW w:w="1240" w:type="dxa"/>
            <w:vAlign w:val="bottom"/>
            <w:tcBorders>
              <w:bottom w:val="single" w:sz="8" w:color="D8EEF4"/>
            </w:tcBorders>
          </w:tcPr>
          <w:p>
            <w:pPr>
              <w:spacing w:after="0"/>
              <w:rPr>
                <w:sz w:val="17"/>
                <w:szCs w:val="17"/>
                <w:color w:val="auto"/>
              </w:rPr>
            </w:pPr>
          </w:p>
        </w:tc>
        <w:tc>
          <w:tcPr>
            <w:tcW w:w="260" w:type="dxa"/>
            <w:vAlign w:val="bottom"/>
            <w:tcBorders>
              <w:bottom w:val="single" w:sz="8" w:color="4C4C4E"/>
            </w:tcBorders>
          </w:tcPr>
          <w:p>
            <w:pPr>
              <w:spacing w:after="0"/>
              <w:rPr>
                <w:sz w:val="17"/>
                <w:szCs w:val="17"/>
                <w:color w:val="auto"/>
              </w:rPr>
            </w:pPr>
          </w:p>
        </w:tc>
        <w:tc>
          <w:tcPr>
            <w:tcW w:w="940" w:type="dxa"/>
            <w:vAlign w:val="bottom"/>
            <w:tcBorders>
              <w:bottom w:val="single" w:sz="8" w:color="4C4C4E"/>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4C4C4E"/>
              </w:rPr>
              <w:t>2025</w:t>
            </w:r>
          </w:p>
        </w:tc>
        <w:tc>
          <w:tcPr>
            <w:tcW w:w="220" w:type="dxa"/>
            <w:vAlign w:val="bottom"/>
            <w:tcBorders>
              <w:bottom w:val="single" w:sz="8" w:color="D8EEF4"/>
            </w:tcBorders>
          </w:tcPr>
          <w:p>
            <w:pPr>
              <w:spacing w:after="0"/>
              <w:rPr>
                <w:sz w:val="17"/>
                <w:szCs w:val="17"/>
                <w:color w:val="auto"/>
              </w:rPr>
            </w:pPr>
          </w:p>
        </w:tc>
        <w:tc>
          <w:tcPr>
            <w:tcW w:w="260" w:type="dxa"/>
            <w:vAlign w:val="bottom"/>
            <w:tcBorders>
              <w:bottom w:val="single" w:sz="8" w:color="4C4C4E"/>
            </w:tcBorders>
          </w:tcPr>
          <w:p>
            <w:pPr>
              <w:spacing w:after="0"/>
              <w:rPr>
                <w:sz w:val="17"/>
                <w:szCs w:val="17"/>
                <w:color w:val="auto"/>
              </w:rPr>
            </w:pPr>
          </w:p>
        </w:tc>
        <w:tc>
          <w:tcPr>
            <w:tcW w:w="940" w:type="dxa"/>
            <w:vAlign w:val="bottom"/>
            <w:tcBorders>
              <w:bottom w:val="single" w:sz="8" w:color="4C4C4E"/>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4C4C4E"/>
              </w:rPr>
              <w:t>2024</w:t>
            </w:r>
          </w:p>
        </w:tc>
        <w:tc>
          <w:tcPr>
            <w:tcW w:w="100" w:type="dxa"/>
            <w:vAlign w:val="bottom"/>
            <w:tcBorders>
              <w:bottom w:val="single" w:sz="8" w:color="D8EEF4"/>
            </w:tcBorders>
          </w:tcPr>
          <w:p>
            <w:pPr>
              <w:spacing w:after="0"/>
              <w:rPr>
                <w:sz w:val="17"/>
                <w:szCs w:val="17"/>
                <w:color w:val="auto"/>
              </w:rPr>
            </w:pPr>
          </w:p>
        </w:tc>
        <w:tc>
          <w:tcPr>
            <w:tcW w:w="140" w:type="dxa"/>
            <w:vAlign w:val="bottom"/>
            <w:tcBorders>
              <w:bottom w:val="single" w:sz="8" w:color="D8EEF4"/>
            </w:tcBorders>
          </w:tcPr>
          <w:p>
            <w:pPr>
              <w:spacing w:after="0"/>
              <w:rPr>
                <w:sz w:val="17"/>
                <w:szCs w:val="17"/>
                <w:color w:val="auto"/>
              </w:rPr>
            </w:pPr>
          </w:p>
        </w:tc>
        <w:tc>
          <w:tcPr>
            <w:tcW w:w="320" w:type="dxa"/>
            <w:vAlign w:val="bottom"/>
            <w:tcBorders>
              <w:bottom w:val="single" w:sz="8" w:color="4C4C4E"/>
            </w:tcBorders>
          </w:tcPr>
          <w:p>
            <w:pPr>
              <w:spacing w:after="0"/>
              <w:rPr>
                <w:sz w:val="17"/>
                <w:szCs w:val="17"/>
                <w:color w:val="auto"/>
              </w:rPr>
            </w:pPr>
          </w:p>
        </w:tc>
        <w:tc>
          <w:tcPr>
            <w:tcW w:w="760" w:type="dxa"/>
            <w:vAlign w:val="bottom"/>
            <w:tcBorders>
              <w:bottom w:val="single" w:sz="8" w:color="4C4C4E"/>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4C4C4E"/>
              </w:rPr>
              <w:t>2023</w:t>
            </w:r>
          </w:p>
        </w:tc>
        <w:tc>
          <w:tcPr>
            <w:tcW w:w="6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Interest</w:t>
            </w:r>
          </w:p>
        </w:tc>
        <w:tc>
          <w:tcPr>
            <w:tcW w:w="1240" w:type="dxa"/>
            <w:vAlign w:val="bottom"/>
            <w:shd w:val="clear" w:color="auto" w:fill="D8EEF4"/>
          </w:tcPr>
          <w:p>
            <w:pPr>
              <w:spacing w:after="0"/>
              <w:rPr>
                <w:sz w:val="20"/>
                <w:szCs w:val="20"/>
                <w:color w:val="auto"/>
              </w:rPr>
            </w:pPr>
          </w:p>
        </w:tc>
        <w:tc>
          <w:tcPr>
            <w:tcW w:w="260" w:type="dxa"/>
            <w:vAlign w:val="bottom"/>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w w:val="79"/>
              </w:rPr>
              <w:t>$</w:t>
            </w:r>
          </w:p>
        </w:tc>
        <w:tc>
          <w:tcPr>
            <w:tcW w:w="9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129.6</w:t>
            </w:r>
          </w:p>
        </w:tc>
        <w:tc>
          <w:tcPr>
            <w:tcW w:w="220" w:type="dxa"/>
            <w:vAlign w:val="bottom"/>
            <w:shd w:val="clear" w:color="auto" w:fill="D8EEF4"/>
          </w:tcPr>
          <w:p>
            <w:pPr>
              <w:spacing w:after="0"/>
              <w:rPr>
                <w:sz w:val="20"/>
                <w:szCs w:val="20"/>
                <w:color w:val="auto"/>
              </w:rPr>
            </w:pPr>
          </w:p>
        </w:tc>
        <w:tc>
          <w:tcPr>
            <w:tcW w:w="260" w:type="dxa"/>
            <w:vAlign w:val="bottom"/>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w w:val="79"/>
              </w:rPr>
              <w:t>$</w:t>
            </w:r>
          </w:p>
        </w:tc>
        <w:tc>
          <w:tcPr>
            <w:tcW w:w="9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154.2</w:t>
            </w:r>
          </w:p>
        </w:tc>
        <w:tc>
          <w:tcPr>
            <w:tcW w:w="100" w:type="dxa"/>
            <w:vAlign w:val="bottom"/>
            <w:shd w:val="clear" w:color="auto" w:fill="D8EEF4"/>
          </w:tcPr>
          <w:p>
            <w:pPr>
              <w:spacing w:after="0"/>
              <w:rPr>
                <w:sz w:val="20"/>
                <w:szCs w:val="20"/>
                <w:color w:val="auto"/>
              </w:rPr>
            </w:pPr>
          </w:p>
        </w:tc>
        <w:tc>
          <w:tcPr>
            <w:tcW w:w="140" w:type="dxa"/>
            <w:vAlign w:val="bottom"/>
            <w:shd w:val="clear" w:color="auto" w:fill="D8EEF4"/>
          </w:tcPr>
          <w:p>
            <w:pPr>
              <w:spacing w:after="0"/>
              <w:rPr>
                <w:sz w:val="20"/>
                <w:szCs w:val="20"/>
                <w:color w:val="auto"/>
              </w:rPr>
            </w:pPr>
          </w:p>
        </w:tc>
        <w:tc>
          <w:tcPr>
            <w:tcW w:w="320" w:type="dxa"/>
            <w:vAlign w:val="bottom"/>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w w:val="79"/>
              </w:rPr>
              <w:t>$</w:t>
            </w:r>
          </w:p>
        </w:tc>
        <w:tc>
          <w:tcPr>
            <w:tcW w:w="7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133.7</w:t>
            </w:r>
          </w:p>
        </w:tc>
        <w:tc>
          <w:tcPr>
            <w:tcW w:w="6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color w:val="4C4C4E"/>
              </w:rPr>
              <w:t>Management fees (net of waivers)</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50.9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Incentive fees on net investment income</w:t>
            </w:r>
          </w:p>
        </w:tc>
        <w:tc>
          <w:tcPr>
            <w:tcW w:w="1240" w:type="dxa"/>
            <w:vAlign w:val="bottom"/>
            <w:shd w:val="clear" w:color="auto" w:fill="D8EEF4"/>
          </w:tcPr>
          <w:p>
            <w:pPr>
              <w:spacing w:after="0"/>
              <w:rPr>
                <w:sz w:val="21"/>
                <w:szCs w:val="21"/>
                <w:color w:val="auto"/>
              </w:rPr>
            </w:pPr>
          </w:p>
        </w:tc>
        <w:tc>
          <w:tcPr>
            <w:tcW w:w="260" w:type="dxa"/>
            <w:vAlign w:val="bottom"/>
            <w:shd w:val="clear" w:color="auto" w:fill="D8EEF4"/>
          </w:tcPr>
          <w:p>
            <w:pPr>
              <w:spacing w:after="0"/>
              <w:rPr>
                <w:sz w:val="21"/>
                <w:szCs w:val="21"/>
                <w:color w:val="auto"/>
              </w:rPr>
            </w:pPr>
          </w:p>
        </w:tc>
        <w:tc>
          <w:tcPr>
            <w:tcW w:w="9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43.5</w:t>
            </w:r>
          </w:p>
        </w:tc>
        <w:tc>
          <w:tcPr>
            <w:tcW w:w="220" w:type="dxa"/>
            <w:vAlign w:val="bottom"/>
            <w:shd w:val="clear" w:color="auto" w:fill="D8EEF4"/>
          </w:tcPr>
          <w:p>
            <w:pPr>
              <w:spacing w:after="0"/>
              <w:rPr>
                <w:sz w:val="21"/>
                <w:szCs w:val="21"/>
                <w:color w:val="auto"/>
              </w:rPr>
            </w:pPr>
          </w:p>
        </w:tc>
        <w:tc>
          <w:tcPr>
            <w:tcW w:w="260" w:type="dxa"/>
            <w:vAlign w:val="bottom"/>
            <w:shd w:val="clear" w:color="auto" w:fill="D8EEF4"/>
          </w:tcPr>
          <w:p>
            <w:pPr>
              <w:spacing w:after="0"/>
              <w:rPr>
                <w:sz w:val="21"/>
                <w:szCs w:val="21"/>
                <w:color w:val="auto"/>
              </w:rPr>
            </w:pPr>
          </w:p>
        </w:tc>
        <w:tc>
          <w:tcPr>
            <w:tcW w:w="9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45.5</w:t>
            </w:r>
          </w:p>
        </w:tc>
        <w:tc>
          <w:tcPr>
            <w:tcW w:w="10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320" w:type="dxa"/>
            <w:vAlign w:val="bottom"/>
            <w:shd w:val="clear" w:color="auto" w:fill="D8EEF4"/>
          </w:tcPr>
          <w:p>
            <w:pPr>
              <w:spacing w:after="0"/>
              <w:rPr>
                <w:sz w:val="21"/>
                <w:szCs w:val="21"/>
                <w:color w:val="auto"/>
              </w:rPr>
            </w:pPr>
          </w:p>
        </w:tc>
        <w:tc>
          <w:tcPr>
            <w:tcW w:w="7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42.6</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color w:val="4C4C4E"/>
              </w:rPr>
              <w:t>Incentive fees on net capital gains</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(5.1)</w:t>
            </w:r>
          </w:p>
        </w:tc>
        <w:tc>
          <w:tcPr>
            <w:tcW w:w="2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(5.4)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Professional fees</w:t>
            </w:r>
          </w:p>
        </w:tc>
        <w:tc>
          <w:tcPr>
            <w:tcW w:w="1240" w:type="dxa"/>
            <w:vAlign w:val="bottom"/>
            <w:shd w:val="clear" w:color="auto" w:fill="D8EEF4"/>
          </w:tcPr>
          <w:p>
            <w:pPr>
              <w:spacing w:after="0"/>
              <w:rPr>
                <w:sz w:val="21"/>
                <w:szCs w:val="21"/>
                <w:color w:val="auto"/>
              </w:rPr>
            </w:pPr>
          </w:p>
        </w:tc>
        <w:tc>
          <w:tcPr>
            <w:tcW w:w="260" w:type="dxa"/>
            <w:vAlign w:val="bottom"/>
            <w:shd w:val="clear" w:color="auto" w:fill="D8EEF4"/>
          </w:tcPr>
          <w:p>
            <w:pPr>
              <w:spacing w:after="0"/>
              <w:rPr>
                <w:sz w:val="21"/>
                <w:szCs w:val="21"/>
                <w:color w:val="auto"/>
              </w:rPr>
            </w:pPr>
          </w:p>
        </w:tc>
        <w:tc>
          <w:tcPr>
            <w:tcW w:w="9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8.3</w:t>
            </w:r>
          </w:p>
        </w:tc>
        <w:tc>
          <w:tcPr>
            <w:tcW w:w="220" w:type="dxa"/>
            <w:vAlign w:val="bottom"/>
            <w:shd w:val="clear" w:color="auto" w:fill="D8EEF4"/>
          </w:tcPr>
          <w:p>
            <w:pPr>
              <w:spacing w:after="0"/>
              <w:rPr>
                <w:sz w:val="21"/>
                <w:szCs w:val="21"/>
                <w:color w:val="auto"/>
              </w:rPr>
            </w:pPr>
          </w:p>
        </w:tc>
        <w:tc>
          <w:tcPr>
            <w:tcW w:w="260" w:type="dxa"/>
            <w:vAlign w:val="bottom"/>
            <w:shd w:val="clear" w:color="auto" w:fill="D8EEF4"/>
          </w:tcPr>
          <w:p>
            <w:pPr>
              <w:spacing w:after="0"/>
              <w:rPr>
                <w:sz w:val="21"/>
                <w:szCs w:val="21"/>
                <w:color w:val="auto"/>
              </w:rPr>
            </w:pPr>
          </w:p>
        </w:tc>
        <w:tc>
          <w:tcPr>
            <w:tcW w:w="9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7.5</w:t>
            </w:r>
          </w:p>
        </w:tc>
        <w:tc>
          <w:tcPr>
            <w:tcW w:w="10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320" w:type="dxa"/>
            <w:vAlign w:val="bottom"/>
            <w:shd w:val="clear" w:color="auto" w:fill="D8EEF4"/>
          </w:tcPr>
          <w:p>
            <w:pPr>
              <w:spacing w:after="0"/>
              <w:rPr>
                <w:sz w:val="21"/>
                <w:szCs w:val="21"/>
                <w:color w:val="auto"/>
              </w:rPr>
            </w:pPr>
          </w:p>
        </w:tc>
        <w:tc>
          <w:tcPr>
            <w:tcW w:w="7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7.3</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color w:val="4C4C4E"/>
              </w:rPr>
              <w:t>Directors’ fees</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Other general and administrative</w:t>
            </w:r>
          </w:p>
        </w:tc>
        <w:tc>
          <w:tcPr>
            <w:tcW w:w="1240" w:type="dxa"/>
            <w:vAlign w:val="bottom"/>
            <w:shd w:val="clear" w:color="auto" w:fill="D8EEF4"/>
          </w:tcPr>
          <w:p>
            <w:pPr>
              <w:spacing w:after="0"/>
              <w:rPr>
                <w:sz w:val="21"/>
                <w:szCs w:val="21"/>
                <w:color w:val="auto"/>
              </w:rPr>
            </w:pPr>
          </w:p>
        </w:tc>
        <w:tc>
          <w:tcPr>
            <w:tcW w:w="260" w:type="dxa"/>
            <w:vAlign w:val="bottom"/>
            <w:tcBorders>
              <w:bottom w:val="single" w:sz="8" w:color="4C4C4E"/>
            </w:tcBorders>
            <w:shd w:val="clear" w:color="auto" w:fill="D8EEF4"/>
          </w:tcPr>
          <w:p>
            <w:pPr>
              <w:spacing w:after="0"/>
              <w:rPr>
                <w:sz w:val="21"/>
                <w:szCs w:val="21"/>
                <w:color w:val="auto"/>
              </w:rPr>
            </w:pPr>
          </w:p>
        </w:tc>
        <w:tc>
          <w:tcPr>
            <w:tcW w:w="9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5.6</w:t>
            </w:r>
          </w:p>
        </w:tc>
        <w:tc>
          <w:tcPr>
            <w:tcW w:w="220" w:type="dxa"/>
            <w:vAlign w:val="bottom"/>
            <w:shd w:val="clear" w:color="auto" w:fill="D8EEF4"/>
          </w:tcPr>
          <w:p>
            <w:pPr>
              <w:spacing w:after="0"/>
              <w:rPr>
                <w:sz w:val="21"/>
                <w:szCs w:val="21"/>
                <w:color w:val="auto"/>
              </w:rPr>
            </w:pPr>
          </w:p>
        </w:tc>
        <w:tc>
          <w:tcPr>
            <w:tcW w:w="260" w:type="dxa"/>
            <w:vAlign w:val="bottom"/>
            <w:tcBorders>
              <w:bottom w:val="single" w:sz="8" w:color="4C4C4E"/>
            </w:tcBorders>
            <w:shd w:val="clear" w:color="auto" w:fill="D8EEF4"/>
          </w:tcPr>
          <w:p>
            <w:pPr>
              <w:spacing w:after="0"/>
              <w:rPr>
                <w:sz w:val="21"/>
                <w:szCs w:val="21"/>
                <w:color w:val="auto"/>
              </w:rPr>
            </w:pPr>
          </w:p>
        </w:tc>
        <w:tc>
          <w:tcPr>
            <w:tcW w:w="9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5.5</w:t>
            </w:r>
          </w:p>
        </w:tc>
        <w:tc>
          <w:tcPr>
            <w:tcW w:w="100" w:type="dxa"/>
            <w:vAlign w:val="bottom"/>
            <w:shd w:val="clear" w:color="auto" w:fill="D8EEF4"/>
          </w:tcPr>
          <w:p>
            <w:pPr>
              <w:spacing w:after="0"/>
              <w:rPr>
                <w:sz w:val="21"/>
                <w:szCs w:val="21"/>
                <w:color w:val="auto"/>
              </w:rPr>
            </w:pPr>
          </w:p>
        </w:tc>
        <w:tc>
          <w:tcPr>
            <w:tcW w:w="140" w:type="dxa"/>
            <w:vAlign w:val="bottom"/>
            <w:tcBorders>
              <w:bottom w:val="single" w:sz="8" w:color="4C4C4E"/>
            </w:tcBorders>
            <w:shd w:val="clear" w:color="auto" w:fill="D8EEF4"/>
          </w:tcPr>
          <w:p>
            <w:pPr>
              <w:spacing w:after="0"/>
              <w:rPr>
                <w:sz w:val="21"/>
                <w:szCs w:val="21"/>
                <w:color w:val="auto"/>
              </w:rPr>
            </w:pPr>
          </w:p>
        </w:tc>
        <w:tc>
          <w:tcPr>
            <w:tcW w:w="320" w:type="dxa"/>
            <w:vAlign w:val="bottom"/>
            <w:tcBorders>
              <w:bottom w:val="single" w:sz="8" w:color="4C4C4E"/>
            </w:tcBorders>
            <w:shd w:val="clear" w:color="auto" w:fill="D8EEF4"/>
          </w:tcPr>
          <w:p>
            <w:pPr>
              <w:spacing w:after="0"/>
              <w:rPr>
                <w:sz w:val="21"/>
                <w:szCs w:val="21"/>
                <w:color w:val="auto"/>
              </w:rPr>
            </w:pPr>
          </w:p>
        </w:tc>
        <w:tc>
          <w:tcPr>
            <w:tcW w:w="7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5.3</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4C4C4E"/>
              </w:rPr>
              <w:t>Net Expenses</w:t>
            </w:r>
          </w:p>
        </w:tc>
        <w:tc>
          <w:tcPr>
            <w:tcW w:w="1240" w:type="dxa"/>
            <w:vAlign w:val="bottom"/>
          </w:tcPr>
          <w:p>
            <w:pPr>
              <w:spacing w:after="0"/>
              <w:rPr>
                <w:sz w:val="20"/>
                <w:szCs w:val="20"/>
                <w:color w:val="auto"/>
              </w:rPr>
            </w:pPr>
          </w:p>
        </w:tc>
        <w:tc>
          <w:tcPr>
            <w:tcW w:w="260" w:type="dxa"/>
            <w:vAlign w:val="bottom"/>
            <w:tcBorders>
              <w:bottom w:val="single" w:sz="8" w:color="4C4C4E"/>
            </w:tcBorders>
          </w:tcPr>
          <w:p>
            <w:pPr>
              <w:jc w:val="right"/>
              <w:ind w:right="60"/>
              <w:spacing w:after="0"/>
              <w:rPr>
                <w:sz w:val="20"/>
                <w:szCs w:val="20"/>
                <w:color w:val="auto"/>
              </w:rPr>
            </w:pPr>
            <w:r>
              <w:rPr>
                <w:rFonts w:ascii="Times New Roman" w:cs="Times New Roman" w:eastAsia="Times New Roman" w:hAnsi="Times New Roman"/>
                <w:sz w:val="20"/>
                <w:szCs w:val="20"/>
                <w:color w:val="4C4C4E"/>
                <w:w w:val="79"/>
              </w:rPr>
              <w:t>$</w:t>
            </w:r>
          </w:p>
        </w:tc>
        <w:tc>
          <w:tcPr>
            <w:tcW w:w="94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233.7</w:t>
            </w:r>
          </w:p>
        </w:tc>
        <w:tc>
          <w:tcPr>
            <w:tcW w:w="220" w:type="dxa"/>
            <w:vAlign w:val="bottom"/>
          </w:tcPr>
          <w:p>
            <w:pPr>
              <w:spacing w:after="0"/>
              <w:rPr>
                <w:sz w:val="20"/>
                <w:szCs w:val="20"/>
                <w:color w:val="auto"/>
              </w:rPr>
            </w:pPr>
          </w:p>
        </w:tc>
        <w:tc>
          <w:tcPr>
            <w:tcW w:w="260" w:type="dxa"/>
            <w:vAlign w:val="bottom"/>
            <w:tcBorders>
              <w:bottom w:val="single" w:sz="8" w:color="4C4C4E"/>
            </w:tcBorders>
          </w:tcPr>
          <w:p>
            <w:pPr>
              <w:jc w:val="right"/>
              <w:ind w:right="60"/>
              <w:spacing w:after="0"/>
              <w:rPr>
                <w:sz w:val="20"/>
                <w:szCs w:val="20"/>
                <w:color w:val="auto"/>
              </w:rPr>
            </w:pPr>
            <w:r>
              <w:rPr>
                <w:rFonts w:ascii="Times New Roman" w:cs="Times New Roman" w:eastAsia="Times New Roman" w:hAnsi="Times New Roman"/>
                <w:sz w:val="20"/>
                <w:szCs w:val="20"/>
                <w:color w:val="4C4C4E"/>
                <w:w w:val="79"/>
              </w:rPr>
              <w:t>$</w:t>
            </w:r>
          </w:p>
        </w:tc>
        <w:tc>
          <w:tcPr>
            <w:tcW w:w="94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258.5</w:t>
            </w:r>
          </w:p>
        </w:tc>
        <w:tc>
          <w:tcPr>
            <w:tcW w:w="100" w:type="dxa"/>
            <w:vAlign w:val="bottom"/>
          </w:tcPr>
          <w:p>
            <w:pPr>
              <w:spacing w:after="0"/>
              <w:rPr>
                <w:sz w:val="20"/>
                <w:szCs w:val="20"/>
                <w:color w:val="auto"/>
              </w:rPr>
            </w:pPr>
          </w:p>
        </w:tc>
        <w:tc>
          <w:tcPr>
            <w:tcW w:w="460" w:type="dxa"/>
            <w:vAlign w:val="bottom"/>
            <w:tcBorders>
              <w:bottom w:val="single" w:sz="8" w:color="4C4C4E"/>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w:t>
            </w:r>
          </w:p>
        </w:tc>
        <w:tc>
          <w:tcPr>
            <w:tcW w:w="7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239.3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C4C4E"/>
                <w:w w:val="94"/>
              </w:rPr>
              <w:t>(1)</w:t>
            </w:r>
          </w:p>
        </w:tc>
        <w:tc>
          <w:tcPr>
            <w:tcW w:w="300" w:type="dxa"/>
            <w:vAlign w:val="bottom"/>
          </w:tcPr>
          <w:p>
            <w:pPr>
              <w:spacing w:after="0" w:line="20" w:lineRule="exact"/>
              <w:rPr>
                <w:sz w:val="1"/>
                <w:szCs w:val="1"/>
                <w:color w:val="auto"/>
              </w:rPr>
            </w:pPr>
          </w:p>
        </w:tc>
        <w:tc>
          <w:tcPr>
            <w:tcW w:w="4480" w:type="dxa"/>
            <w:vAlign w:val="bottom"/>
            <w:vMerge w:val="restart"/>
          </w:tcPr>
          <w:p>
            <w:pPr>
              <w:spacing w:after="0"/>
              <w:rPr>
                <w:sz w:val="20"/>
                <w:szCs w:val="20"/>
                <w:color w:val="auto"/>
              </w:rPr>
            </w:pPr>
            <w:r>
              <w:rPr>
                <w:rFonts w:ascii="Times New Roman" w:cs="Times New Roman" w:eastAsia="Times New Roman" w:hAnsi="Times New Roman"/>
                <w:sz w:val="20"/>
                <w:szCs w:val="20"/>
                <w:color w:val="4C4C4E"/>
              </w:rPr>
              <w:t>Table may not sum due to rounding.</w:t>
            </w:r>
          </w:p>
        </w:tc>
        <w:tc>
          <w:tcPr>
            <w:tcW w:w="1240" w:type="dxa"/>
            <w:vAlign w:val="bottom"/>
          </w:tcPr>
          <w:p>
            <w:pPr>
              <w:spacing w:after="0" w:line="20" w:lineRule="exact"/>
              <w:rPr>
                <w:sz w:val="1"/>
                <w:szCs w:val="1"/>
                <w:color w:val="auto"/>
              </w:rPr>
            </w:pPr>
          </w:p>
        </w:tc>
        <w:tc>
          <w:tcPr>
            <w:tcW w:w="260" w:type="dxa"/>
            <w:vAlign w:val="bottom"/>
            <w:tcBorders>
              <w:bottom w:val="single" w:sz="8" w:color="4C4C4E"/>
            </w:tcBorders>
          </w:tcPr>
          <w:p>
            <w:pPr>
              <w:spacing w:after="0" w:line="20" w:lineRule="exact"/>
              <w:rPr>
                <w:sz w:val="1"/>
                <w:szCs w:val="1"/>
                <w:color w:val="auto"/>
              </w:rPr>
            </w:pPr>
          </w:p>
        </w:tc>
        <w:tc>
          <w:tcPr>
            <w:tcW w:w="94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4C4C4E"/>
            </w:tcBorders>
          </w:tcPr>
          <w:p>
            <w:pPr>
              <w:spacing w:after="0" w:line="20" w:lineRule="exact"/>
              <w:rPr>
                <w:sz w:val="1"/>
                <w:szCs w:val="1"/>
                <w:color w:val="auto"/>
              </w:rPr>
            </w:pPr>
          </w:p>
        </w:tc>
        <w:tc>
          <w:tcPr>
            <w:tcW w:w="94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320" w:type="dxa"/>
            <w:vAlign w:val="bottom"/>
            <w:tcBorders>
              <w:bottom w:val="single" w:sz="8" w:color="4C4C4E"/>
            </w:tcBorders>
          </w:tcPr>
          <w:p>
            <w:pPr>
              <w:spacing w:after="0" w:line="20" w:lineRule="exact"/>
              <w:rPr>
                <w:sz w:val="1"/>
                <w:szCs w:val="1"/>
                <w:color w:val="auto"/>
              </w:rPr>
            </w:pPr>
          </w:p>
        </w:tc>
        <w:tc>
          <w:tcPr>
            <w:tcW w:w="76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4C4C4E"/>
              </w:rPr>
              <w:t>Interest</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-1986280</wp:posOffset>
            </wp:positionV>
            <wp:extent cx="254254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
                      <a:extLst>
                        <a:ext uri="{28A0092B-C50C-407E-A947-70E740481C1C}"/>
                      </a:extLst>
                    </a:blip>
                    <a:srcRect/>
                    <a:stretch>
                      <a:fillRect/>
                    </a:stretch>
                  </pic:blipFill>
                  <pic:spPr bwMode="auto">
                    <a:xfrm>
                      <a:off x="0" y="0"/>
                      <a:ext cx="2542540" cy="38100"/>
                    </a:xfrm>
                    <a:prstGeom prst="rect">
                      <a:avLst/>
                    </a:prstGeom>
                    <a:noFill/>
                  </pic:spPr>
                </pic:pic>
              </a:graphicData>
            </a:graphic>
          </wp:anchor>
        </w:drawing>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Interest expense, including other debt financing expenses, decreased from $154.2 million for the year ended December 31, 2024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$129.6 million for the year ended December 31, 2025. This decrease was primarily due to a decrease in the average interest rate on our</w:t>
      </w:r>
    </w:p>
    <w:p>
      <w:pPr>
        <w:spacing w:after="0" w:line="230" w:lineRule="auto"/>
        <w:rPr>
          <w:sz w:val="20"/>
          <w:szCs w:val="20"/>
          <w:color w:val="auto"/>
        </w:rPr>
      </w:pPr>
      <w:r>
        <w:rPr>
          <w:rFonts w:ascii="Times New Roman" w:cs="Times New Roman" w:eastAsia="Times New Roman" w:hAnsi="Times New Roman"/>
          <w:sz w:val="20"/>
          <w:szCs w:val="20"/>
          <w:color w:val="4C4C4E"/>
        </w:rPr>
        <w:t>debt outstanding and a decrease in the average debt outstanding from $1,882.7 million for the year ended December 31, 2024 to</w:t>
      </w:r>
    </w:p>
    <w:p>
      <w:pPr>
        <w:spacing w:after="0" w:line="230" w:lineRule="auto"/>
        <w:rPr>
          <w:sz w:val="20"/>
          <w:szCs w:val="20"/>
          <w:color w:val="auto"/>
        </w:rPr>
      </w:pPr>
      <w:r>
        <w:rPr>
          <w:rFonts w:ascii="Times New Roman" w:cs="Times New Roman" w:eastAsia="Times New Roman" w:hAnsi="Times New Roman"/>
          <w:sz w:val="20"/>
          <w:szCs w:val="20"/>
          <w:color w:val="4C4C4E"/>
        </w:rPr>
        <w:t>$1,880.3 million for the year ended December 31, 2025. The average interest rate on our debt outstanding decreased from 7.5% for the</w:t>
      </w:r>
    </w:p>
    <w:p>
      <w:pPr>
        <w:spacing w:after="0" w:line="231" w:lineRule="auto"/>
        <w:rPr>
          <w:sz w:val="20"/>
          <w:szCs w:val="20"/>
          <w:color w:val="auto"/>
        </w:rPr>
      </w:pPr>
      <w:r>
        <w:rPr>
          <w:rFonts w:ascii="Times New Roman" w:cs="Times New Roman" w:eastAsia="Times New Roman" w:hAnsi="Times New Roman"/>
          <w:sz w:val="20"/>
          <w:szCs w:val="20"/>
          <w:color w:val="4C4C4E"/>
        </w:rPr>
        <w:t>year ended December 31, 2024 to 6.2% for the year ended December 31, 2025 due to a change in SOFR rates and the mix of our debt</w:t>
      </w:r>
    </w:p>
    <w:p>
      <w:pPr>
        <w:spacing w:after="0"/>
        <w:rPr>
          <w:sz w:val="20"/>
          <w:szCs w:val="20"/>
          <w:color w:val="auto"/>
        </w:rPr>
      </w:pPr>
      <w:r>
        <w:rPr>
          <w:rFonts w:ascii="Times New Roman" w:cs="Times New Roman" w:eastAsia="Times New Roman" w:hAnsi="Times New Roman"/>
          <w:sz w:val="20"/>
          <w:szCs w:val="20"/>
          <w:color w:val="4C4C4E"/>
        </w:rPr>
        <w:t>financing sources.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Interest expense, including other debt financing expenses, increased from $133.7 million for the year ended December 31, 2023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$154.1 million for the year ended December 31, 2024. This increase was primarily due to an increase in the average interest rate on</w:t>
      </w:r>
    </w:p>
    <w:p>
      <w:pPr>
        <w:spacing w:after="0" w:line="230" w:lineRule="auto"/>
        <w:rPr>
          <w:sz w:val="20"/>
          <w:szCs w:val="20"/>
          <w:color w:val="auto"/>
        </w:rPr>
      </w:pPr>
      <w:r>
        <w:rPr>
          <w:rFonts w:ascii="Times New Roman" w:cs="Times New Roman" w:eastAsia="Times New Roman" w:hAnsi="Times New Roman"/>
          <w:sz w:val="20"/>
          <w:szCs w:val="20"/>
          <w:color w:val="4C4C4E"/>
        </w:rPr>
        <w:t>our debt outstanding and an increase in the average debt outstanding from $1,705.6 million for the year ended December 31, 2023</w:t>
      </w:r>
    </w:p>
    <w:p>
      <w:pPr>
        <w:spacing w:after="0" w:line="230" w:lineRule="auto"/>
        <w:rPr>
          <w:sz w:val="20"/>
          <w:szCs w:val="20"/>
          <w:color w:val="auto"/>
        </w:rPr>
      </w:pPr>
      <w:r>
        <w:rPr>
          <w:rFonts w:ascii="Times New Roman" w:cs="Times New Roman" w:eastAsia="Times New Roman" w:hAnsi="Times New Roman"/>
          <w:sz w:val="20"/>
          <w:szCs w:val="20"/>
          <w:color w:val="4C4C4E"/>
        </w:rPr>
        <w:t>$1,882.7 million for the year ended December 31, 2024. The average interest rate on our debt outstanding increased from 7.3% for the</w:t>
      </w:r>
    </w:p>
    <w:p>
      <w:pPr>
        <w:spacing w:after="0" w:line="231" w:lineRule="auto"/>
        <w:rPr>
          <w:sz w:val="20"/>
          <w:szCs w:val="20"/>
          <w:color w:val="auto"/>
        </w:rPr>
      </w:pPr>
      <w:r>
        <w:rPr>
          <w:rFonts w:ascii="Times New Roman" w:cs="Times New Roman" w:eastAsia="Times New Roman" w:hAnsi="Times New Roman"/>
          <w:sz w:val="20"/>
          <w:szCs w:val="20"/>
          <w:color w:val="4C4C4E"/>
        </w:rPr>
        <w:t>year ended December 31, 2023 to 7.5% for the year ended December 31, 2024 due to a change in the mix of our debt financing</w:t>
      </w:r>
    </w:p>
    <w:p>
      <w:pPr>
        <w:spacing w:after="0"/>
        <w:rPr>
          <w:sz w:val="20"/>
          <w:szCs w:val="20"/>
          <w:color w:val="auto"/>
        </w:rPr>
      </w:pPr>
      <w:r>
        <w:rPr>
          <w:rFonts w:ascii="Times New Roman" w:cs="Times New Roman" w:eastAsia="Times New Roman" w:hAnsi="Times New Roman"/>
          <w:sz w:val="20"/>
          <w:szCs w:val="20"/>
          <w:color w:val="4C4C4E"/>
        </w:rPr>
        <w:t>sources.</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4C4C4E"/>
        </w:rPr>
        <w:t>Management Fees</w:t>
      </w:r>
    </w:p>
    <w:p>
      <w:pPr>
        <w:spacing w:after="0" w:line="108" w:lineRule="exact"/>
        <w:rPr>
          <w:sz w:val="20"/>
          <w:szCs w:val="20"/>
          <w:color w:val="auto"/>
        </w:rPr>
      </w:pPr>
    </w:p>
    <w:p>
      <w:pPr>
        <w:ind w:right="180" w:firstLine="245"/>
        <w:spacing w:after="0" w:line="239" w:lineRule="auto"/>
        <w:rPr>
          <w:sz w:val="20"/>
          <w:szCs w:val="20"/>
          <w:color w:val="auto"/>
        </w:rPr>
      </w:pPr>
      <w:r>
        <w:rPr>
          <w:rFonts w:ascii="Times New Roman" w:cs="Times New Roman" w:eastAsia="Times New Roman" w:hAnsi="Times New Roman"/>
          <w:sz w:val="20"/>
          <w:szCs w:val="20"/>
          <w:color w:val="4C4C4E"/>
        </w:rPr>
        <w:t>Management Fees (gross of waivers) increased from $51.8 million for the year ended December 31, 2024 to $52.2 million for the year ended December 31, 2025 due to an increase in average assets. Management Fees (net of waivers) increased from $50.3 million for the year ended December 31, 2024 to $50.9 million for the year ended December 31, 2025. Management Fees waived were $1.3 million for the year ended December 31, 2025 and $1.5 million for the year ended December 31, 2024, pursuant to the Leverage Waiver. Any waived management fees are not subject to recoupment by the Adviser.</w:t>
      </w:r>
    </w:p>
    <w:p>
      <w:pPr>
        <w:spacing w:after="0" w:line="197" w:lineRule="exact"/>
        <w:rPr>
          <w:sz w:val="20"/>
          <w:szCs w:val="20"/>
          <w:color w:val="auto"/>
        </w:rPr>
      </w:pPr>
    </w:p>
    <w:p>
      <w:pPr>
        <w:jc w:val="both"/>
        <w:ind w:right="100" w:firstLine="245"/>
        <w:spacing w:after="0" w:line="237" w:lineRule="auto"/>
        <w:rPr>
          <w:sz w:val="20"/>
          <w:szCs w:val="20"/>
          <w:color w:val="auto"/>
        </w:rPr>
      </w:pPr>
      <w:r>
        <w:rPr>
          <w:rFonts w:ascii="Times New Roman" w:cs="Times New Roman" w:eastAsia="Times New Roman" w:hAnsi="Times New Roman"/>
          <w:sz w:val="20"/>
          <w:szCs w:val="20"/>
          <w:color w:val="4C4C4E"/>
        </w:rPr>
        <w:t>Management Fees (gross of waivers) increased from $46.4 million for the year ended December 31, 2023 to $51.8 million for the year ended December 31, 2024 due to an increase in average assets. Management Fees (net of waivers) increased from $45.2 million for the year ended December 31, 2023 to $50.3 million for the year ended December 31, 2024. Management Fees waived were $1.5 million for the year ended December 31, 2024, pursuant to the Leverage Waiver. Management Fees waived were $ 1.2 million for the year ended December 31, 2023, pursuant to the Leverage Waiver. Any waived management fees are not subject to recoupment by the Adviser.</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4C4C4E"/>
        </w:rPr>
        <w:t>Incentive Fees</w:t>
      </w:r>
    </w:p>
    <w:p>
      <w:pPr>
        <w:spacing w:after="0" w:line="108" w:lineRule="exact"/>
        <w:rPr>
          <w:sz w:val="20"/>
          <w:szCs w:val="20"/>
          <w:color w:val="auto"/>
        </w:rPr>
      </w:pPr>
    </w:p>
    <w:p>
      <w:pPr>
        <w:ind w:right="120" w:firstLine="245"/>
        <w:spacing w:after="0" w:line="239" w:lineRule="auto"/>
        <w:rPr>
          <w:sz w:val="20"/>
          <w:szCs w:val="20"/>
          <w:color w:val="auto"/>
        </w:rPr>
      </w:pPr>
      <w:r>
        <w:rPr>
          <w:rFonts w:ascii="Times New Roman" w:cs="Times New Roman" w:eastAsia="Times New Roman" w:hAnsi="Times New Roman"/>
          <w:sz w:val="20"/>
          <w:szCs w:val="20"/>
          <w:color w:val="4C4C4E"/>
        </w:rPr>
        <w:t>For the years ended December 31, 2025, December 31, 2024 and December 31, 2023, Incentive Fees were $38.4 million, $40.2 million and $47.0 million, respectively, of which $43.5 million, $45.5 million, and $42.6 million, respectively, were realized and payable to the Adviser. For the years ended December 31, 2025, December 31, 2024 and December 31, 2023, $(5.1) million, $(5.4) million, and $4.4 million, respectively, of Incentive Fees were accrued related to Capital Gains Fees. As of December 31, 2025, these accrued Incentive Fees are not contractually payable to the Adviser.</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73</w:t>
      </w:r>
    </w:p>
    <w:p>
      <w:pPr>
        <w:sectPr>
          <w:pgSz w:w="11880" w:h="15480" w:orient="portrait"/>
          <w:cols w:equalWidth="0" w:num="1">
            <w:col w:w="10800"/>
          </w:cols>
          <w:pgMar w:left="540" w:top="750" w:right="540" w:bottom="0" w:gutter="0" w:footer="0" w:header="0"/>
          <w:type w:val="continuous"/>
        </w:sectPr>
      </w:pPr>
    </w:p>
    <w:bookmarkStart w:id="73" w:name="page74"/>
    <w:bookmarkEnd w:id="73"/>
    <w:p>
      <w:pPr>
        <w:ind w:left="240"/>
        <w:spacing w:after="0"/>
        <w:rPr>
          <w:sz w:val="20"/>
          <w:szCs w:val="20"/>
          <w:color w:val="auto"/>
        </w:rPr>
      </w:pPr>
      <w:r>
        <w:rPr>
          <w:rFonts w:ascii="Times New Roman" w:cs="Times New Roman" w:eastAsia="Times New Roman" w:hAnsi="Times New Roman"/>
          <w:sz w:val="20"/>
          <w:szCs w:val="20"/>
          <w:i w:val="1"/>
          <w:iCs w:val="1"/>
          <w:color w:val="4C4C4E"/>
        </w:rPr>
        <w:t>Professional Fees and Other General and Administrative Expenses</w:t>
      </w:r>
    </w:p>
    <w:p>
      <w:pPr>
        <w:spacing w:after="0" w:line="108" w:lineRule="exact"/>
        <w:rPr>
          <w:sz w:val="20"/>
          <w:szCs w:val="20"/>
          <w:color w:val="auto"/>
        </w:rPr>
      </w:pPr>
    </w:p>
    <w:p>
      <w:pPr>
        <w:ind w:right="260" w:firstLine="245"/>
        <w:spacing w:after="0" w:line="248" w:lineRule="auto"/>
        <w:rPr>
          <w:sz w:val="20"/>
          <w:szCs w:val="20"/>
          <w:color w:val="auto"/>
        </w:rPr>
      </w:pPr>
      <w:r>
        <w:rPr>
          <w:rFonts w:ascii="Times New Roman" w:cs="Times New Roman" w:eastAsia="Times New Roman" w:hAnsi="Times New Roman"/>
          <w:sz w:val="20"/>
          <w:szCs w:val="20"/>
          <w:color w:val="4C4C4E"/>
        </w:rPr>
        <w:t>Professional fees increased from $7.5 million for the year ended December 31, 2024 to $8.3 million for the year ended December 31, 2025 due to higher legal and audit related fees. Other general and administrative fees increased from $5.5 million for the year ended December 31, 2024 to $5.6 million for the year ended December 31, 2025.</w:t>
      </w:r>
    </w:p>
    <w:p>
      <w:pPr>
        <w:spacing w:after="0" w:line="188"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4C4C4E"/>
        </w:rPr>
        <w:t>Professional fees increased from $7.3 million for the year ended December 31, 2023 to $7.5 million for the year ended December 31, 2024 due to higher legal fees, higher independent third-party valuation firm fees and higher sub-agent administration costs due to a larger portfolio. Other general and administrative fees increased from $5.3 million for the year ended December 31, 2023 to $5.5 million for the year ended December 31, 2024.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Income Taxes, Including Excise Taxes</w:t>
      </w:r>
    </w:p>
    <w:p>
      <w:pPr>
        <w:spacing w:after="0" w:line="120" w:lineRule="exact"/>
        <w:rPr>
          <w:sz w:val="20"/>
          <w:szCs w:val="20"/>
          <w:color w:val="auto"/>
        </w:rPr>
      </w:pPr>
    </w:p>
    <w:p>
      <w:pPr>
        <w:ind w:right="120" w:firstLine="245"/>
        <w:spacing w:after="0" w:line="249" w:lineRule="auto"/>
        <w:rPr>
          <w:sz w:val="20"/>
          <w:szCs w:val="20"/>
          <w:color w:val="auto"/>
        </w:rPr>
      </w:pPr>
      <w:r>
        <w:rPr>
          <w:rFonts w:ascii="Times New Roman" w:cs="Times New Roman" w:eastAsia="Times New Roman" w:hAnsi="Times New Roman"/>
          <w:sz w:val="20"/>
          <w:szCs w:val="20"/>
          <w:color w:val="4C4C4E"/>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97" w:lineRule="exact"/>
        <w:rPr>
          <w:sz w:val="20"/>
          <w:szCs w:val="20"/>
          <w:color w:val="auto"/>
        </w:rPr>
      </w:pPr>
    </w:p>
    <w:p>
      <w:pPr>
        <w:ind w:right="140" w:firstLine="245"/>
        <w:spacing w:after="0" w:line="249" w:lineRule="auto"/>
        <w:rPr>
          <w:sz w:val="20"/>
          <w:szCs w:val="20"/>
          <w:color w:val="auto"/>
        </w:rPr>
      </w:pPr>
      <w:r>
        <w:rPr>
          <w:rFonts w:ascii="Times New Roman" w:cs="Times New Roman" w:eastAsia="Times New Roman" w:hAnsi="Times New Roman"/>
          <w:sz w:val="20"/>
          <w:szCs w:val="20"/>
          <w:color w:val="4C4C4E"/>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97" w:lineRule="exact"/>
        <w:rPr>
          <w:sz w:val="20"/>
          <w:szCs w:val="20"/>
          <w:color w:val="auto"/>
        </w:rPr>
      </w:pPr>
    </w:p>
    <w:p>
      <w:pPr>
        <w:jc w:val="both"/>
        <w:ind w:right="200" w:firstLine="245"/>
        <w:spacing w:after="0" w:line="277" w:lineRule="auto"/>
        <w:rPr>
          <w:sz w:val="20"/>
          <w:szCs w:val="20"/>
          <w:color w:val="auto"/>
        </w:rPr>
      </w:pPr>
      <w:r>
        <w:rPr>
          <w:rFonts w:ascii="Times New Roman" w:cs="Times New Roman" w:eastAsia="Times New Roman" w:hAnsi="Times New Roman"/>
          <w:sz w:val="20"/>
          <w:szCs w:val="20"/>
          <w:color w:val="4C4C4E"/>
        </w:rPr>
        <w:t>For the calendar years ended December 31, 2025, December 31, 2024 and December 31, 2023 we recorded a net expense of $5.3 million, $3.9 million and $2.4 million, respectively, for U.S. federal excise tax and other taxes.</w:t>
      </w:r>
    </w:p>
    <w:p>
      <w:pPr>
        <w:spacing w:after="0" w:line="169" w:lineRule="exact"/>
        <w:rPr>
          <w:sz w:val="20"/>
          <w:szCs w:val="20"/>
          <w:color w:val="auto"/>
        </w:rPr>
      </w:pPr>
    </w:p>
    <w:p>
      <w:pPr>
        <w:jc w:val="both"/>
        <w:ind w:right="200" w:firstLine="245"/>
        <w:spacing w:after="0" w:line="258" w:lineRule="auto"/>
        <w:rPr>
          <w:sz w:val="20"/>
          <w:szCs w:val="20"/>
          <w:color w:val="auto"/>
        </w:rPr>
      </w:pPr>
      <w:r>
        <w:rPr>
          <w:rFonts w:ascii="Times New Roman" w:cs="Times New Roman" w:eastAsia="Times New Roman" w:hAnsi="Times New Roman"/>
          <w:sz w:val="20"/>
          <w:szCs w:val="20"/>
          <w:color w:val="4C4C4E"/>
        </w:rPr>
        <w:t>For the calendar years ended December 31, 2025, December 31, 2024 and December 31, 2023 we recorded a deferred tax benefit of $0.5 million, a deferred tax liability of $2.6 million, and a deferred tax benefit of $0.6 million respectively. For the calendar year ended December 31, 2025 we recognized a tax expense of $0.9 million pertaining to net realized gains.</w:t>
      </w:r>
    </w:p>
    <w:p>
      <w:pPr>
        <w:sectPr>
          <w:pgSz w:w="11880" w:h="15480" w:orient="portrait"/>
          <w:cols w:equalWidth="0" w:num="1">
            <w:col w:w="10780"/>
          </w:cols>
          <w:pgMar w:left="540" w:top="74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74</w:t>
      </w:r>
    </w:p>
    <w:p>
      <w:pPr>
        <w:sectPr>
          <w:pgSz w:w="11880" w:h="15480" w:orient="portrait"/>
          <w:cols w:equalWidth="0" w:num="1">
            <w:col w:w="10780"/>
          </w:cols>
          <w:pgMar w:left="540" w:top="744" w:right="56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4C4C4E"/>
        </w:rPr>
        <w:t>Net Realized and Unrealized Gains and Losses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following table summarizes our net realized and unrealized gains (losses) for the years ended December 31,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December 31, 2024 and December 31, 2023:</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4C4C4E"/>
              </w:rPr>
              <w:t>For the Year Ended December 31,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D8EEF4"/>
            </w:tcBorders>
          </w:tcPr>
          <w:p>
            <w:pPr>
              <w:spacing w:after="0" w:line="204" w:lineRule="exact"/>
              <w:rPr>
                <w:sz w:val="20"/>
                <w:szCs w:val="20"/>
                <w:color w:val="auto"/>
              </w:rPr>
            </w:pPr>
            <w:r>
              <w:rPr>
                <w:rFonts w:ascii="Times New Roman" w:cs="Times New Roman" w:eastAsia="Times New Roman" w:hAnsi="Times New Roman"/>
                <w:sz w:val="16"/>
                <w:szCs w:val="16"/>
                <w:color w:val="4C4C4E"/>
              </w:rPr>
              <w:t>($ in millions)</w:t>
            </w:r>
            <w:r>
              <w:rPr>
                <w:rFonts w:ascii="Times New Roman" w:cs="Times New Roman" w:eastAsia="Times New Roman" w:hAnsi="Times New Roman"/>
                <w:sz w:val="20"/>
                <w:szCs w:val="20"/>
                <w:color w:val="4C4C4E"/>
                <w:vertAlign w:val="superscript"/>
              </w:rPr>
              <w:t>(1)</w:t>
            </w:r>
          </w:p>
        </w:tc>
        <w:tc>
          <w:tcPr>
            <w:tcW w:w="240" w:type="dxa"/>
            <w:vAlign w:val="bottom"/>
            <w:tcBorders>
              <w:bottom w:val="single" w:sz="8" w:color="4C4C4E"/>
            </w:tcBorders>
          </w:tcPr>
          <w:p>
            <w:pPr>
              <w:spacing w:after="0"/>
              <w:rPr>
                <w:sz w:val="17"/>
                <w:szCs w:val="17"/>
                <w:color w:val="auto"/>
              </w:rPr>
            </w:pPr>
          </w:p>
        </w:tc>
        <w:tc>
          <w:tcPr>
            <w:tcW w:w="980" w:type="dxa"/>
            <w:vAlign w:val="bottom"/>
            <w:tcBorders>
              <w:bottom w:val="single" w:sz="8" w:color="4C4C4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4C4C4E"/>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4C4C4E"/>
            </w:tcBorders>
          </w:tcPr>
          <w:p>
            <w:pPr>
              <w:spacing w:after="0"/>
              <w:rPr>
                <w:sz w:val="17"/>
                <w:szCs w:val="17"/>
                <w:color w:val="auto"/>
              </w:rPr>
            </w:pPr>
          </w:p>
        </w:tc>
        <w:tc>
          <w:tcPr>
            <w:tcW w:w="920" w:type="dxa"/>
            <w:vAlign w:val="bottom"/>
            <w:tcBorders>
              <w:bottom w:val="single" w:sz="8" w:color="4C4C4E"/>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4C4C4E"/>
              </w:rPr>
              <w:t>2024</w:t>
            </w:r>
          </w:p>
        </w:tc>
        <w:tc>
          <w:tcPr>
            <w:tcW w:w="140" w:type="dxa"/>
            <w:vAlign w:val="bottom"/>
            <w:tcBorders>
              <w:bottom w:val="single" w:sz="8" w:color="D8EEF4"/>
            </w:tcBorders>
          </w:tcPr>
          <w:p>
            <w:pPr>
              <w:spacing w:after="0"/>
              <w:rPr>
                <w:sz w:val="17"/>
                <w:szCs w:val="17"/>
                <w:color w:val="auto"/>
              </w:rPr>
            </w:pPr>
          </w:p>
        </w:tc>
        <w:tc>
          <w:tcPr>
            <w:tcW w:w="80" w:type="dxa"/>
            <w:vAlign w:val="bottom"/>
            <w:tcBorders>
              <w:bottom w:val="single" w:sz="8" w:color="D8EEF4"/>
            </w:tcBorders>
          </w:tcPr>
          <w:p>
            <w:pPr>
              <w:spacing w:after="0"/>
              <w:rPr>
                <w:sz w:val="17"/>
                <w:szCs w:val="17"/>
                <w:color w:val="auto"/>
              </w:rPr>
            </w:pPr>
          </w:p>
        </w:tc>
        <w:tc>
          <w:tcPr>
            <w:tcW w:w="360" w:type="dxa"/>
            <w:vAlign w:val="bottom"/>
            <w:tcBorders>
              <w:bottom w:val="single" w:sz="8" w:color="4C4C4E"/>
            </w:tcBorders>
          </w:tcPr>
          <w:p>
            <w:pPr>
              <w:spacing w:after="0"/>
              <w:rPr>
                <w:sz w:val="17"/>
                <w:szCs w:val="17"/>
                <w:color w:val="auto"/>
              </w:rPr>
            </w:pPr>
          </w:p>
        </w:tc>
        <w:tc>
          <w:tcPr>
            <w:tcW w:w="820" w:type="dxa"/>
            <w:vAlign w:val="bottom"/>
            <w:tcBorders>
              <w:bottom w:val="single" w:sz="8" w:color="4C4C4E"/>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4C4C4E"/>
              </w:rPr>
              <w:t>2023</w:t>
            </w:r>
          </w:p>
        </w:tc>
        <w:tc>
          <w:tcPr>
            <w:tcW w:w="8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20" w:type="dxa"/>
            <w:vAlign w:val="bottom"/>
            <w:tcBorders>
              <w:right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Net realized gains (losses) on investments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4C4C4E"/>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(47.4)</w:t>
            </w:r>
          </w:p>
        </w:tc>
        <w:tc>
          <w:tcPr>
            <w:tcW w:w="80" w:type="dxa"/>
            <w:vAlign w:val="bottom"/>
          </w:tcPr>
          <w:p>
            <w:pPr>
              <w:spacing w:after="0"/>
              <w:rPr>
                <w:sz w:val="20"/>
                <w:szCs w:val="20"/>
                <w:color w:val="auto"/>
              </w:rPr>
            </w:pPr>
          </w:p>
        </w:tc>
        <w:tc>
          <w:tcPr>
            <w:tcW w:w="260" w:type="dxa"/>
            <w:vAlign w:val="bottom"/>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9.0</w:t>
            </w:r>
          </w:p>
        </w:tc>
        <w:tc>
          <w:tcPr>
            <w:tcW w:w="140" w:type="dxa"/>
            <w:vAlign w:val="bottom"/>
            <w:shd w:val="clear" w:color="auto" w:fill="D8EEF4"/>
          </w:tcPr>
          <w:p>
            <w:pPr>
              <w:spacing w:after="0"/>
              <w:rPr>
                <w:sz w:val="20"/>
                <w:szCs w:val="20"/>
                <w:color w:val="auto"/>
              </w:rPr>
            </w:pPr>
          </w:p>
        </w:tc>
        <w:tc>
          <w:tcPr>
            <w:tcW w:w="80" w:type="dxa"/>
            <w:vAlign w:val="bottom"/>
            <w:shd w:val="clear" w:color="auto" w:fill="D8EEF4"/>
          </w:tcPr>
          <w:p>
            <w:pPr>
              <w:spacing w:after="0"/>
              <w:rPr>
                <w:sz w:val="20"/>
                <w:szCs w:val="20"/>
                <w:color w:val="auto"/>
              </w:rPr>
            </w:pPr>
          </w:p>
        </w:tc>
        <w:tc>
          <w:tcPr>
            <w:tcW w:w="360" w:type="dxa"/>
            <w:vAlign w:val="bottom"/>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w w:val="79"/>
              </w:rPr>
              <w:t>$</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12.2</w:t>
            </w:r>
          </w:p>
        </w:tc>
        <w:tc>
          <w:tcPr>
            <w:tcW w:w="8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6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4C4C4E"/>
              </w:rPr>
              <w:t xml:space="preserve">Net realized gains (losses) on foreign currency transactions </w:t>
            </w:r>
            <w:r>
              <w:rPr>
                <w:rFonts w:ascii="Times New Roman" w:cs="Times New Roman" w:eastAsia="Times New Roman" w:hAnsi="Times New Roman"/>
                <w:sz w:val="26"/>
                <w:szCs w:val="26"/>
                <w:color w:val="4C4C4E"/>
                <w:vertAlign w:val="superscript"/>
              </w:rPr>
              <w:t>(2)</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20" w:type="dxa"/>
            <w:vAlign w:val="bottom"/>
            <w:tcBorders>
              <w:right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Net realized gains (losses) on foreign currency investments</w:t>
            </w:r>
          </w:p>
        </w:tc>
        <w:tc>
          <w:tcPr>
            <w:tcW w:w="240" w:type="dxa"/>
            <w:vAlign w:val="bottom"/>
            <w:shd w:val="clear" w:color="auto" w:fill="D8EEF4"/>
          </w:tcPr>
          <w:p>
            <w:pPr>
              <w:spacing w:after="0"/>
              <w:rPr>
                <w:sz w:val="21"/>
                <w:szCs w:val="21"/>
                <w:color w:val="auto"/>
              </w:rPr>
            </w:pP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1.1</w:t>
            </w:r>
          </w:p>
        </w:tc>
        <w:tc>
          <w:tcPr>
            <w:tcW w:w="14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260" w:type="dxa"/>
            <w:vAlign w:val="bottom"/>
            <w:shd w:val="clear" w:color="auto" w:fill="D8EEF4"/>
          </w:tcPr>
          <w:p>
            <w:pPr>
              <w:spacing w:after="0"/>
              <w:rPr>
                <w:sz w:val="21"/>
                <w:szCs w:val="21"/>
                <w:color w:val="auto"/>
              </w:rPr>
            </w:pPr>
          </w:p>
        </w:tc>
        <w:tc>
          <w:tcPr>
            <w:tcW w:w="106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(4.3)</w:t>
            </w:r>
          </w:p>
        </w:tc>
        <w:tc>
          <w:tcPr>
            <w:tcW w:w="80" w:type="dxa"/>
            <w:vAlign w:val="bottom"/>
            <w:shd w:val="clear" w:color="auto" w:fill="D8EEF4"/>
          </w:tcPr>
          <w:p>
            <w:pPr>
              <w:spacing w:after="0"/>
              <w:rPr>
                <w:sz w:val="21"/>
                <w:szCs w:val="21"/>
                <w:color w:val="auto"/>
              </w:rPr>
            </w:pPr>
          </w:p>
        </w:tc>
        <w:tc>
          <w:tcPr>
            <w:tcW w:w="360" w:type="dxa"/>
            <w:vAlign w:val="bottom"/>
            <w:shd w:val="clear" w:color="auto" w:fill="D8EEF4"/>
          </w:tcPr>
          <w:p>
            <w:pPr>
              <w:spacing w:after="0"/>
              <w:rPr>
                <w:sz w:val="21"/>
                <w:szCs w:val="21"/>
                <w:color w:val="auto"/>
              </w:rPr>
            </w:pPr>
          </w:p>
        </w:tc>
        <w:tc>
          <w:tcPr>
            <w:tcW w:w="90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(0.5)</w:t>
            </w:r>
          </w:p>
        </w:tc>
        <w:tc>
          <w:tcPr>
            <w:tcW w:w="0" w:type="dxa"/>
            <w:vAlign w:val="bottom"/>
          </w:tcPr>
          <w:p>
            <w:pPr>
              <w:spacing w:after="0"/>
              <w:rPr>
                <w:sz w:val="1"/>
                <w:szCs w:val="1"/>
                <w:color w:val="auto"/>
              </w:rPr>
            </w:pPr>
          </w:p>
        </w:tc>
      </w:tr>
      <w:tr>
        <w:trPr>
          <w:trHeight w:val="24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4C4C4E"/>
              </w:rPr>
              <w:t>Net realized gains (losses) on foreign currency borrowings</w:t>
            </w:r>
          </w:p>
        </w:tc>
        <w:tc>
          <w:tcPr>
            <w:tcW w:w="2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20" w:type="dxa"/>
            <w:vAlign w:val="bottom"/>
            <w:tcBorders>
              <w:right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Income tax provision on net realized gains</w:t>
            </w:r>
          </w:p>
        </w:tc>
        <w:tc>
          <w:tcPr>
            <w:tcW w:w="240" w:type="dxa"/>
            <w:vAlign w:val="bottom"/>
            <w:shd w:val="clear" w:color="auto" w:fill="D8EEF4"/>
          </w:tcPr>
          <w:p>
            <w:pPr>
              <w:spacing w:after="0"/>
              <w:rPr>
                <w:sz w:val="21"/>
                <w:szCs w:val="21"/>
                <w:color w:val="auto"/>
              </w:rPr>
            </w:pPr>
          </w:p>
        </w:tc>
        <w:tc>
          <w:tcPr>
            <w:tcW w:w="112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(0.9)</w:t>
            </w:r>
          </w:p>
        </w:tc>
        <w:tc>
          <w:tcPr>
            <w:tcW w:w="80" w:type="dxa"/>
            <w:vAlign w:val="bottom"/>
            <w:shd w:val="clear" w:color="auto" w:fill="D8EEF4"/>
          </w:tcPr>
          <w:p>
            <w:pPr>
              <w:spacing w:after="0"/>
              <w:rPr>
                <w:sz w:val="21"/>
                <w:szCs w:val="21"/>
                <w:color w:val="auto"/>
              </w:rPr>
            </w:pPr>
          </w:p>
        </w:tc>
        <w:tc>
          <w:tcPr>
            <w:tcW w:w="260" w:type="dxa"/>
            <w:vAlign w:val="bottom"/>
            <w:shd w:val="clear" w:color="auto" w:fill="D8EEF4"/>
          </w:tcPr>
          <w:p>
            <w:pPr>
              <w:spacing w:after="0"/>
              <w:rPr>
                <w:sz w:val="21"/>
                <w:szCs w:val="21"/>
                <w:color w:val="auto"/>
              </w:rPr>
            </w:pPr>
          </w:p>
        </w:tc>
        <w:tc>
          <w:tcPr>
            <w:tcW w:w="106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1"/>
                <w:szCs w:val="21"/>
                <w:color w:val="auto"/>
              </w:rPr>
            </w:pPr>
          </w:p>
        </w:tc>
        <w:tc>
          <w:tcPr>
            <w:tcW w:w="360" w:type="dxa"/>
            <w:vAlign w:val="bottom"/>
            <w:shd w:val="clear" w:color="auto" w:fill="D8EEF4"/>
          </w:tcPr>
          <w:p>
            <w:pPr>
              <w:spacing w:after="0"/>
              <w:rPr>
                <w:sz w:val="21"/>
                <w:szCs w:val="21"/>
                <w:color w:val="auto"/>
              </w:rPr>
            </w:pPr>
          </w:p>
        </w:tc>
        <w:tc>
          <w:tcPr>
            <w:tcW w:w="90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4C4C4E"/>
              </w:rPr>
              <w:t>Net Realized Gains (Losses)</w:t>
            </w:r>
          </w:p>
        </w:tc>
        <w:tc>
          <w:tcPr>
            <w:tcW w:w="240" w:type="dxa"/>
            <w:vAlign w:val="bottom"/>
            <w:shd w:val="clear" w:color="auto" w:fill="4C4C4E"/>
          </w:tcPr>
          <w:p>
            <w:pPr>
              <w:spacing w:after="0" w:line="20" w:lineRule="exact"/>
              <w:rPr>
                <w:sz w:val="1"/>
                <w:szCs w:val="1"/>
                <w:color w:val="auto"/>
              </w:rPr>
            </w:pPr>
          </w:p>
        </w:tc>
        <w:tc>
          <w:tcPr>
            <w:tcW w:w="980" w:type="dxa"/>
            <w:vAlign w:val="bottom"/>
            <w:shd w:val="clear" w:color="auto" w:fill="4C4C4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4C4C4E"/>
          </w:tcPr>
          <w:p>
            <w:pPr>
              <w:spacing w:after="0" w:line="20" w:lineRule="exact"/>
              <w:rPr>
                <w:sz w:val="1"/>
                <w:szCs w:val="1"/>
                <w:color w:val="auto"/>
              </w:rPr>
            </w:pPr>
          </w:p>
        </w:tc>
        <w:tc>
          <w:tcPr>
            <w:tcW w:w="920" w:type="dxa"/>
            <w:vAlign w:val="bottom"/>
            <w:shd w:val="clear" w:color="auto" w:fill="4C4C4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4C4C4E"/>
          </w:tcPr>
          <w:p>
            <w:pPr>
              <w:spacing w:after="0" w:line="20" w:lineRule="exact"/>
              <w:rPr>
                <w:sz w:val="1"/>
                <w:szCs w:val="1"/>
                <w:color w:val="auto"/>
              </w:rPr>
            </w:pPr>
          </w:p>
        </w:tc>
        <w:tc>
          <w:tcPr>
            <w:tcW w:w="820" w:type="dxa"/>
            <w:vAlign w:val="bottom"/>
            <w:shd w:val="clear" w:color="auto" w:fill="4C4C4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620" w:type="dxa"/>
            <w:vAlign w:val="bottom"/>
            <w:vMerge w:val="continue"/>
          </w:tcPr>
          <w:p>
            <w:pPr>
              <w:spacing w:after="0"/>
              <w:rPr>
                <w:sz w:val="24"/>
                <w:szCs w:val="24"/>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4C4C4E"/>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(48.9)</w:t>
            </w:r>
          </w:p>
        </w:tc>
        <w:tc>
          <w:tcPr>
            <w:tcW w:w="80" w:type="dxa"/>
            <w:vAlign w:val="bottom"/>
            <w:vMerge w:val="continue"/>
          </w:tcPr>
          <w:p>
            <w:pPr>
              <w:spacing w:after="0"/>
              <w:rPr>
                <w:sz w:val="24"/>
                <w:szCs w:val="24"/>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8.6</w:t>
            </w:r>
          </w:p>
        </w:tc>
        <w:tc>
          <w:tcPr>
            <w:tcW w:w="140" w:type="dxa"/>
            <w:vAlign w:val="bottom"/>
          </w:tcPr>
          <w:p>
            <w:pPr>
              <w:spacing w:after="0"/>
              <w:rPr>
                <w:sz w:val="24"/>
                <w:szCs w:val="24"/>
                <w:color w:val="auto"/>
              </w:rPr>
            </w:pPr>
          </w:p>
        </w:tc>
        <w:tc>
          <w:tcPr>
            <w:tcW w:w="80" w:type="dxa"/>
            <w:vAlign w:val="bottom"/>
            <w:vMerge w:val="continue"/>
          </w:tcPr>
          <w:p>
            <w:pPr>
              <w:spacing w:after="0"/>
              <w:rPr>
                <w:sz w:val="24"/>
                <w:szCs w:val="24"/>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4C4C4E"/>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20" w:type="dxa"/>
            <w:vAlign w:val="bottom"/>
            <w:tcBorders>
              <w:top w:val="single" w:sz="8" w:color="D8EEF4"/>
              <w:right w:val="single" w:sz="8" w:color="D8EEF4"/>
            </w:tcBorders>
            <w:shd w:val="clear" w:color="auto" w:fill="D8EEF4"/>
          </w:tcPr>
          <w:p>
            <w:pPr>
              <w:spacing w:after="0"/>
              <w:rPr>
                <w:sz w:val="19"/>
                <w:szCs w:val="19"/>
                <w:color w:val="auto"/>
              </w:rPr>
            </w:pPr>
          </w:p>
        </w:tc>
        <w:tc>
          <w:tcPr>
            <w:tcW w:w="240" w:type="dxa"/>
            <w:vAlign w:val="bottom"/>
            <w:tcBorders>
              <w:top w:val="single" w:sz="8" w:color="4C4C4E"/>
            </w:tcBorders>
            <w:shd w:val="clear" w:color="auto" w:fill="D8EEF4"/>
          </w:tcPr>
          <w:p>
            <w:pPr>
              <w:spacing w:after="0"/>
              <w:rPr>
                <w:sz w:val="19"/>
                <w:szCs w:val="19"/>
                <w:color w:val="auto"/>
              </w:rPr>
            </w:pPr>
          </w:p>
        </w:tc>
        <w:tc>
          <w:tcPr>
            <w:tcW w:w="980" w:type="dxa"/>
            <w:vAlign w:val="bottom"/>
            <w:tcBorders>
              <w:top w:val="single" w:sz="8" w:color="4C4C4E"/>
            </w:tcBorders>
            <w:shd w:val="clear" w:color="auto" w:fill="D8EEF4"/>
          </w:tcPr>
          <w:p>
            <w:pPr>
              <w:spacing w:after="0"/>
              <w:rPr>
                <w:sz w:val="19"/>
                <w:szCs w:val="19"/>
                <w:color w:val="auto"/>
              </w:rPr>
            </w:pPr>
          </w:p>
        </w:tc>
        <w:tc>
          <w:tcPr>
            <w:tcW w:w="140" w:type="dxa"/>
            <w:vAlign w:val="bottom"/>
            <w:tcBorders>
              <w:top w:val="single" w:sz="8" w:color="D8EEF4"/>
            </w:tcBorders>
            <w:shd w:val="clear" w:color="auto" w:fill="D8EEF4"/>
          </w:tcPr>
          <w:p>
            <w:pPr>
              <w:spacing w:after="0"/>
              <w:rPr>
                <w:sz w:val="19"/>
                <w:szCs w:val="19"/>
                <w:color w:val="auto"/>
              </w:rPr>
            </w:pPr>
          </w:p>
        </w:tc>
        <w:tc>
          <w:tcPr>
            <w:tcW w:w="80" w:type="dxa"/>
            <w:vAlign w:val="bottom"/>
            <w:tcBorders>
              <w:top w:val="single" w:sz="8" w:color="D8EEF4"/>
            </w:tcBorders>
            <w:shd w:val="clear" w:color="auto" w:fill="D8EEF4"/>
          </w:tcPr>
          <w:p>
            <w:pPr>
              <w:spacing w:after="0"/>
              <w:rPr>
                <w:sz w:val="19"/>
                <w:szCs w:val="19"/>
                <w:color w:val="auto"/>
              </w:rPr>
            </w:pPr>
          </w:p>
        </w:tc>
        <w:tc>
          <w:tcPr>
            <w:tcW w:w="260" w:type="dxa"/>
            <w:vAlign w:val="bottom"/>
            <w:tcBorders>
              <w:top w:val="single" w:sz="8" w:color="4C4C4E"/>
            </w:tcBorders>
            <w:shd w:val="clear" w:color="auto" w:fill="D8EEF4"/>
          </w:tcPr>
          <w:p>
            <w:pPr>
              <w:spacing w:after="0"/>
              <w:rPr>
                <w:sz w:val="19"/>
                <w:szCs w:val="19"/>
                <w:color w:val="auto"/>
              </w:rPr>
            </w:pPr>
          </w:p>
        </w:tc>
        <w:tc>
          <w:tcPr>
            <w:tcW w:w="920" w:type="dxa"/>
            <w:vAlign w:val="bottom"/>
            <w:tcBorders>
              <w:top w:val="single" w:sz="8" w:color="4C4C4E"/>
            </w:tcBorders>
            <w:shd w:val="clear" w:color="auto" w:fill="D8EEF4"/>
          </w:tcPr>
          <w:p>
            <w:pPr>
              <w:spacing w:after="0"/>
              <w:rPr>
                <w:sz w:val="19"/>
                <w:szCs w:val="19"/>
                <w:color w:val="auto"/>
              </w:rPr>
            </w:pPr>
          </w:p>
        </w:tc>
        <w:tc>
          <w:tcPr>
            <w:tcW w:w="140" w:type="dxa"/>
            <w:vAlign w:val="bottom"/>
            <w:tcBorders>
              <w:top w:val="single" w:sz="8" w:color="D8EEF4"/>
            </w:tcBorders>
            <w:shd w:val="clear" w:color="auto" w:fill="D8EEF4"/>
          </w:tcPr>
          <w:p>
            <w:pPr>
              <w:spacing w:after="0"/>
              <w:rPr>
                <w:sz w:val="19"/>
                <w:szCs w:val="19"/>
                <w:color w:val="auto"/>
              </w:rPr>
            </w:pPr>
          </w:p>
        </w:tc>
        <w:tc>
          <w:tcPr>
            <w:tcW w:w="80" w:type="dxa"/>
            <w:vAlign w:val="bottom"/>
            <w:tcBorders>
              <w:top w:val="single" w:sz="8" w:color="D8EEF4"/>
            </w:tcBorders>
            <w:shd w:val="clear" w:color="auto" w:fill="D8EEF4"/>
          </w:tcPr>
          <w:p>
            <w:pPr>
              <w:spacing w:after="0"/>
              <w:rPr>
                <w:sz w:val="19"/>
                <w:szCs w:val="19"/>
                <w:color w:val="auto"/>
              </w:rPr>
            </w:pPr>
          </w:p>
        </w:tc>
        <w:tc>
          <w:tcPr>
            <w:tcW w:w="360" w:type="dxa"/>
            <w:vAlign w:val="bottom"/>
            <w:tcBorders>
              <w:top w:val="single" w:sz="8" w:color="4C4C4E"/>
            </w:tcBorders>
            <w:shd w:val="clear" w:color="auto" w:fill="D8EEF4"/>
          </w:tcPr>
          <w:p>
            <w:pPr>
              <w:spacing w:after="0"/>
              <w:rPr>
                <w:sz w:val="19"/>
                <w:szCs w:val="19"/>
                <w:color w:val="auto"/>
              </w:rPr>
            </w:pPr>
          </w:p>
        </w:tc>
        <w:tc>
          <w:tcPr>
            <w:tcW w:w="820" w:type="dxa"/>
            <w:vAlign w:val="bottom"/>
            <w:tcBorders>
              <w:top w:val="single" w:sz="8" w:color="4C4C4E"/>
            </w:tcBorders>
            <w:shd w:val="clear" w:color="auto" w:fill="D8EEF4"/>
          </w:tcPr>
          <w:p>
            <w:pPr>
              <w:spacing w:after="0"/>
              <w:rPr>
                <w:sz w:val="19"/>
                <w:szCs w:val="19"/>
                <w:color w:val="auto"/>
              </w:rPr>
            </w:pPr>
          </w:p>
        </w:tc>
        <w:tc>
          <w:tcPr>
            <w:tcW w:w="80" w:type="dxa"/>
            <w:vAlign w:val="bottom"/>
            <w:tcBorders>
              <w:top w:val="single" w:sz="8" w:color="D8EEF4"/>
            </w:tcBorders>
            <w:shd w:val="clear" w:color="auto" w:fill="D8EE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4C4C4E"/>
              </w:rPr>
              <w:t>Change in unrealized gains on investments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4C4C4E"/>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110.3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48.9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4C4C4E"/>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75.3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20" w:type="dxa"/>
            <w:vAlign w:val="bottom"/>
            <w:tcBorders>
              <w:right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Change in unrealized (losses) on investments</w:t>
            </w:r>
          </w:p>
        </w:tc>
        <w:tc>
          <w:tcPr>
            <w:tcW w:w="240" w:type="dxa"/>
            <w:vAlign w:val="bottom"/>
            <w:shd w:val="clear" w:color="auto" w:fill="D8EEF4"/>
          </w:tcPr>
          <w:p>
            <w:pPr>
              <w:spacing w:after="0"/>
              <w:rPr>
                <w:sz w:val="21"/>
                <w:szCs w:val="21"/>
                <w:color w:val="auto"/>
              </w:rPr>
            </w:pPr>
          </w:p>
        </w:tc>
        <w:tc>
          <w:tcPr>
            <w:tcW w:w="112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(65.5)</w:t>
            </w:r>
          </w:p>
        </w:tc>
        <w:tc>
          <w:tcPr>
            <w:tcW w:w="80" w:type="dxa"/>
            <w:vAlign w:val="bottom"/>
            <w:shd w:val="clear" w:color="auto" w:fill="D8EEF4"/>
          </w:tcPr>
          <w:p>
            <w:pPr>
              <w:spacing w:after="0"/>
              <w:rPr>
                <w:sz w:val="21"/>
                <w:szCs w:val="21"/>
                <w:color w:val="auto"/>
              </w:rPr>
            </w:pPr>
          </w:p>
        </w:tc>
        <w:tc>
          <w:tcPr>
            <w:tcW w:w="260" w:type="dxa"/>
            <w:vAlign w:val="bottom"/>
            <w:shd w:val="clear" w:color="auto" w:fill="D8EEF4"/>
          </w:tcPr>
          <w:p>
            <w:pPr>
              <w:spacing w:after="0"/>
              <w:rPr>
                <w:sz w:val="21"/>
                <w:szCs w:val="21"/>
                <w:color w:val="auto"/>
              </w:rPr>
            </w:pPr>
          </w:p>
        </w:tc>
        <w:tc>
          <w:tcPr>
            <w:tcW w:w="106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(101.7)</w:t>
            </w:r>
          </w:p>
        </w:tc>
        <w:tc>
          <w:tcPr>
            <w:tcW w:w="80" w:type="dxa"/>
            <w:vAlign w:val="bottom"/>
            <w:shd w:val="clear" w:color="auto" w:fill="D8EEF4"/>
          </w:tcPr>
          <w:p>
            <w:pPr>
              <w:spacing w:after="0"/>
              <w:rPr>
                <w:sz w:val="21"/>
                <w:szCs w:val="21"/>
                <w:color w:val="auto"/>
              </w:rPr>
            </w:pPr>
          </w:p>
        </w:tc>
        <w:tc>
          <w:tcPr>
            <w:tcW w:w="360" w:type="dxa"/>
            <w:vAlign w:val="bottom"/>
            <w:shd w:val="clear" w:color="auto" w:fill="D8EEF4"/>
          </w:tcPr>
          <w:p>
            <w:pPr>
              <w:spacing w:after="0"/>
              <w:rPr>
                <w:sz w:val="21"/>
                <w:szCs w:val="21"/>
                <w:color w:val="auto"/>
              </w:rPr>
            </w:pPr>
          </w:p>
        </w:tc>
        <w:tc>
          <w:tcPr>
            <w:tcW w:w="90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(56.4)</w:t>
            </w:r>
          </w:p>
        </w:tc>
        <w:tc>
          <w:tcPr>
            <w:tcW w:w="0" w:type="dxa"/>
            <w:vAlign w:val="bottom"/>
          </w:tcPr>
          <w:p>
            <w:pPr>
              <w:spacing w:after="0"/>
              <w:rPr>
                <w:sz w:val="1"/>
                <w:szCs w:val="1"/>
                <w:color w:val="auto"/>
              </w:rPr>
            </w:pPr>
          </w:p>
        </w:tc>
      </w:tr>
      <w:tr>
        <w:trPr>
          <w:trHeight w:val="216"/>
        </w:trPr>
        <w:tc>
          <w:tcPr>
            <w:tcW w:w="56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4C4C4E"/>
              </w:rPr>
              <w:t>Net Change in Unrealized Gains (Losses) on</w:t>
            </w:r>
          </w:p>
        </w:tc>
        <w:tc>
          <w:tcPr>
            <w:tcW w:w="240" w:type="dxa"/>
            <w:vAlign w:val="bottom"/>
            <w:tcBorders>
              <w:top w:val="single" w:sz="8" w:color="4C4C4E"/>
            </w:tcBorders>
          </w:tcPr>
          <w:p>
            <w:pPr>
              <w:spacing w:after="0"/>
              <w:rPr>
                <w:sz w:val="18"/>
                <w:szCs w:val="18"/>
                <w:color w:val="auto"/>
              </w:rPr>
            </w:pPr>
          </w:p>
        </w:tc>
        <w:tc>
          <w:tcPr>
            <w:tcW w:w="980" w:type="dxa"/>
            <w:vAlign w:val="bottom"/>
            <w:tcBorders>
              <w:top w:val="single" w:sz="8" w:color="4C4C4E"/>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4C4C4E"/>
            </w:tcBorders>
          </w:tcPr>
          <w:p>
            <w:pPr>
              <w:spacing w:after="0"/>
              <w:rPr>
                <w:sz w:val="18"/>
                <w:szCs w:val="18"/>
                <w:color w:val="auto"/>
              </w:rPr>
            </w:pPr>
          </w:p>
        </w:tc>
        <w:tc>
          <w:tcPr>
            <w:tcW w:w="920" w:type="dxa"/>
            <w:vAlign w:val="bottom"/>
            <w:tcBorders>
              <w:top w:val="single" w:sz="8" w:color="4C4C4E"/>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4C4C4E"/>
            </w:tcBorders>
          </w:tcPr>
          <w:p>
            <w:pPr>
              <w:spacing w:after="0"/>
              <w:rPr>
                <w:sz w:val="18"/>
                <w:szCs w:val="18"/>
                <w:color w:val="auto"/>
              </w:rPr>
            </w:pPr>
          </w:p>
        </w:tc>
        <w:tc>
          <w:tcPr>
            <w:tcW w:w="820" w:type="dxa"/>
            <w:vAlign w:val="bottom"/>
            <w:tcBorders>
              <w:top w:val="single" w:sz="8" w:color="4C4C4E"/>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6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4C4C4E"/>
              </w:rPr>
              <w:t>Investments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4C4C4E"/>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44.8</w:t>
            </w:r>
          </w:p>
        </w:tc>
        <w:tc>
          <w:tcPr>
            <w:tcW w:w="140" w:type="dxa"/>
            <w:vAlign w:val="bottom"/>
          </w:tcPr>
          <w:p>
            <w:pPr>
              <w:spacing w:after="0"/>
              <w:rPr>
                <w:sz w:val="22"/>
                <w:szCs w:val="22"/>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(52.8)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18.9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620" w:type="dxa"/>
            <w:vAlign w:val="bottom"/>
            <w:tcBorders>
              <w:right w:val="single" w:sz="8" w:color="D8EEF4"/>
            </w:tcBorders>
            <w:shd w:val="clear" w:color="auto" w:fill="D8EEF4"/>
          </w:tcPr>
          <w:p>
            <w:pPr>
              <w:spacing w:after="0"/>
              <w:rPr>
                <w:sz w:val="21"/>
                <w:szCs w:val="21"/>
                <w:color w:val="auto"/>
              </w:rPr>
            </w:pPr>
          </w:p>
        </w:tc>
        <w:tc>
          <w:tcPr>
            <w:tcW w:w="240" w:type="dxa"/>
            <w:vAlign w:val="bottom"/>
            <w:shd w:val="clear" w:color="auto" w:fill="D8EEF4"/>
          </w:tcPr>
          <w:p>
            <w:pPr>
              <w:spacing w:after="0"/>
              <w:rPr>
                <w:sz w:val="21"/>
                <w:szCs w:val="21"/>
                <w:color w:val="auto"/>
              </w:rPr>
            </w:pPr>
          </w:p>
        </w:tc>
        <w:tc>
          <w:tcPr>
            <w:tcW w:w="1120" w:type="dxa"/>
            <w:vAlign w:val="bottom"/>
            <w:gridSpan w:val="2"/>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260" w:type="dxa"/>
            <w:vAlign w:val="bottom"/>
            <w:shd w:val="clear" w:color="auto" w:fill="D8EEF4"/>
          </w:tcPr>
          <w:p>
            <w:pPr>
              <w:spacing w:after="0"/>
              <w:rPr>
                <w:sz w:val="21"/>
                <w:szCs w:val="21"/>
                <w:color w:val="auto"/>
              </w:rPr>
            </w:pPr>
          </w:p>
        </w:tc>
        <w:tc>
          <w:tcPr>
            <w:tcW w:w="92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360" w:type="dxa"/>
            <w:vAlign w:val="bottom"/>
            <w:shd w:val="clear" w:color="auto" w:fill="D8EEF4"/>
          </w:tcPr>
          <w:p>
            <w:pPr>
              <w:spacing w:after="0"/>
              <w:rPr>
                <w:sz w:val="21"/>
                <w:szCs w:val="21"/>
                <w:color w:val="auto"/>
              </w:rPr>
            </w:pPr>
          </w:p>
        </w:tc>
        <w:tc>
          <w:tcPr>
            <w:tcW w:w="900" w:type="dxa"/>
            <w:vAlign w:val="bottom"/>
            <w:gridSpan w:val="2"/>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4C4C4E"/>
              </w:rPr>
              <w:t>Unrealized gains (losses) on foreign currency borrowings</w:t>
            </w:r>
          </w:p>
        </w:tc>
        <w:tc>
          <w:tcPr>
            <w:tcW w:w="2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(35.9)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(6.0)</w:t>
            </w:r>
          </w:p>
        </w:tc>
        <w:tc>
          <w:tcPr>
            <w:tcW w:w="0" w:type="dxa"/>
            <w:vAlign w:val="bottom"/>
          </w:tcPr>
          <w:p>
            <w:pPr>
              <w:spacing w:after="0"/>
              <w:rPr>
                <w:sz w:val="1"/>
                <w:szCs w:val="1"/>
                <w:color w:val="auto"/>
              </w:rPr>
            </w:pPr>
          </w:p>
        </w:tc>
      </w:tr>
      <w:tr>
        <w:trPr>
          <w:trHeight w:val="244"/>
        </w:trPr>
        <w:tc>
          <w:tcPr>
            <w:tcW w:w="5620" w:type="dxa"/>
            <w:vAlign w:val="bottom"/>
            <w:tcBorders>
              <w:right w:val="single" w:sz="8" w:color="D8EEF4"/>
            </w:tcBorders>
            <w:shd w:val="clear" w:color="auto" w:fill="D8EEF4"/>
          </w:tcPr>
          <w:p>
            <w:pPr>
              <w:spacing w:after="0" w:line="243" w:lineRule="exact"/>
              <w:rPr>
                <w:sz w:val="20"/>
                <w:szCs w:val="20"/>
                <w:color w:val="auto"/>
              </w:rPr>
            </w:pPr>
            <w:r>
              <w:rPr>
                <w:rFonts w:ascii="Times New Roman" w:cs="Times New Roman" w:eastAsia="Times New Roman" w:hAnsi="Times New Roman"/>
                <w:sz w:val="20"/>
                <w:szCs w:val="20"/>
                <w:color w:val="4C4C4E"/>
              </w:rPr>
              <w:t xml:space="preserve">Unrealized gains (losses) on foreign currency transactions </w:t>
            </w:r>
            <w:r>
              <w:rPr>
                <w:rFonts w:ascii="Times New Roman" w:cs="Times New Roman" w:eastAsia="Times New Roman" w:hAnsi="Times New Roman"/>
                <w:sz w:val="26"/>
                <w:szCs w:val="26"/>
                <w:color w:val="4C4C4E"/>
                <w:vertAlign w:val="superscript"/>
              </w:rPr>
              <w:t>(2)(3)</w:t>
            </w:r>
          </w:p>
        </w:tc>
        <w:tc>
          <w:tcPr>
            <w:tcW w:w="240" w:type="dxa"/>
            <w:vAlign w:val="bottom"/>
            <w:shd w:val="clear" w:color="auto" w:fill="D8EEF4"/>
          </w:tcPr>
          <w:p>
            <w:pPr>
              <w:spacing w:after="0"/>
              <w:rPr>
                <w:sz w:val="21"/>
                <w:szCs w:val="21"/>
                <w:color w:val="auto"/>
              </w:rPr>
            </w:pP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w:t>
            </w:r>
          </w:p>
        </w:tc>
        <w:tc>
          <w:tcPr>
            <w:tcW w:w="14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260" w:type="dxa"/>
            <w:vAlign w:val="bottom"/>
            <w:shd w:val="clear" w:color="auto" w:fill="D8EEF4"/>
          </w:tcPr>
          <w:p>
            <w:pPr>
              <w:spacing w:after="0"/>
              <w:rPr>
                <w:sz w:val="21"/>
                <w:szCs w:val="21"/>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w:t>
            </w:r>
          </w:p>
        </w:tc>
        <w:tc>
          <w:tcPr>
            <w:tcW w:w="14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360" w:type="dxa"/>
            <w:vAlign w:val="bottom"/>
            <w:shd w:val="clear" w:color="auto" w:fill="D8EEF4"/>
          </w:tcPr>
          <w:p>
            <w:pPr>
              <w:spacing w:after="0"/>
              <w:rPr>
                <w:sz w:val="21"/>
                <w:szCs w:val="21"/>
                <w:color w:val="auto"/>
              </w:rPr>
            </w:pPr>
          </w:p>
        </w:tc>
        <w:tc>
          <w:tcPr>
            <w:tcW w:w="90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(0.3)</w:t>
            </w:r>
          </w:p>
        </w:tc>
        <w:tc>
          <w:tcPr>
            <w:tcW w:w="0" w:type="dxa"/>
            <w:vAlign w:val="bottom"/>
          </w:tcPr>
          <w:p>
            <w:pPr>
              <w:spacing w:after="0"/>
              <w:rPr>
                <w:sz w:val="1"/>
                <w:szCs w:val="1"/>
                <w:color w:val="auto"/>
              </w:rPr>
            </w:pPr>
          </w:p>
        </w:tc>
      </w:tr>
      <w:tr>
        <w:trPr>
          <w:trHeight w:val="24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4C4C4E"/>
              </w:rPr>
              <w:t>Unrealized gains (losses) on interest rate swaps</w:t>
            </w: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620" w:type="dxa"/>
            <w:vAlign w:val="bottom"/>
            <w:tcBorders>
              <w:right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Income tax provision on unrealized gains (losses)</w:t>
            </w:r>
          </w:p>
        </w:tc>
        <w:tc>
          <w:tcPr>
            <w:tcW w:w="240" w:type="dxa"/>
            <w:vAlign w:val="bottom"/>
            <w:shd w:val="clear" w:color="auto" w:fill="D8EEF4"/>
          </w:tcPr>
          <w:p>
            <w:pPr>
              <w:spacing w:after="0"/>
              <w:rPr>
                <w:sz w:val="22"/>
                <w:szCs w:val="22"/>
                <w:color w:val="auto"/>
              </w:rPr>
            </w:pP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140" w:type="dxa"/>
            <w:vAlign w:val="bottom"/>
            <w:shd w:val="clear" w:color="auto" w:fill="D8EEF4"/>
          </w:tcPr>
          <w:p>
            <w:pPr>
              <w:spacing w:after="0"/>
              <w:rPr>
                <w:sz w:val="22"/>
                <w:szCs w:val="22"/>
                <w:color w:val="auto"/>
              </w:rPr>
            </w:pPr>
          </w:p>
        </w:tc>
        <w:tc>
          <w:tcPr>
            <w:tcW w:w="80" w:type="dxa"/>
            <w:vAlign w:val="bottom"/>
            <w:shd w:val="clear" w:color="auto" w:fill="D8EEF4"/>
          </w:tcPr>
          <w:p>
            <w:pPr>
              <w:spacing w:after="0"/>
              <w:rPr>
                <w:sz w:val="22"/>
                <w:szCs w:val="22"/>
                <w:color w:val="auto"/>
              </w:rPr>
            </w:pPr>
          </w:p>
        </w:tc>
        <w:tc>
          <w:tcPr>
            <w:tcW w:w="260" w:type="dxa"/>
            <w:vAlign w:val="bottom"/>
            <w:shd w:val="clear" w:color="auto" w:fill="D8EEF4"/>
          </w:tcPr>
          <w:p>
            <w:pPr>
              <w:spacing w:after="0"/>
              <w:rPr>
                <w:sz w:val="22"/>
                <w:szCs w:val="22"/>
                <w:color w:val="auto"/>
              </w:rPr>
            </w:pPr>
          </w:p>
        </w:tc>
        <w:tc>
          <w:tcPr>
            <w:tcW w:w="106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(2.6)</w:t>
            </w:r>
          </w:p>
        </w:tc>
        <w:tc>
          <w:tcPr>
            <w:tcW w:w="80" w:type="dxa"/>
            <w:vAlign w:val="bottom"/>
            <w:shd w:val="clear" w:color="auto" w:fill="D8EEF4"/>
          </w:tcPr>
          <w:p>
            <w:pPr>
              <w:spacing w:after="0"/>
              <w:rPr>
                <w:sz w:val="22"/>
                <w:szCs w:val="22"/>
                <w:color w:val="auto"/>
              </w:rPr>
            </w:pPr>
          </w:p>
        </w:tc>
        <w:tc>
          <w:tcPr>
            <w:tcW w:w="360" w:type="dxa"/>
            <w:vAlign w:val="bottom"/>
            <w:shd w:val="clear" w:color="auto" w:fill="D8EEF4"/>
          </w:tcPr>
          <w:p>
            <w:pPr>
              <w:spacing w:after="0"/>
              <w:rPr>
                <w:sz w:val="22"/>
                <w:szCs w:val="22"/>
                <w:color w:val="auto"/>
              </w:rPr>
            </w:pP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80" w:type="dxa"/>
            <w:vAlign w:val="bottom"/>
            <w:shd w:val="clear" w:color="auto" w:fill="D8EEF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D8EEF4"/>
            </w:tcBorders>
          </w:tcPr>
          <w:p>
            <w:pPr>
              <w:spacing w:after="0" w:line="196" w:lineRule="exact"/>
              <w:rPr>
                <w:sz w:val="20"/>
                <w:szCs w:val="20"/>
                <w:color w:val="auto"/>
              </w:rPr>
            </w:pPr>
            <w:r>
              <w:rPr>
                <w:rFonts w:ascii="Times New Roman" w:cs="Times New Roman" w:eastAsia="Times New Roman" w:hAnsi="Times New Roman"/>
                <w:sz w:val="20"/>
                <w:szCs w:val="20"/>
                <w:b w:val="1"/>
                <w:bCs w:val="1"/>
                <w:color w:val="4C4C4E"/>
              </w:rPr>
              <w:t>Net Change in Unrealized Gains (Losses) on Foreign</w:t>
            </w:r>
          </w:p>
        </w:tc>
        <w:tc>
          <w:tcPr>
            <w:tcW w:w="240" w:type="dxa"/>
            <w:vAlign w:val="bottom"/>
            <w:tcBorders>
              <w:top w:val="single" w:sz="8" w:color="4C4C4E"/>
            </w:tcBorders>
          </w:tcPr>
          <w:p>
            <w:pPr>
              <w:spacing w:after="0"/>
              <w:rPr>
                <w:sz w:val="17"/>
                <w:szCs w:val="17"/>
                <w:color w:val="auto"/>
              </w:rPr>
            </w:pPr>
          </w:p>
        </w:tc>
        <w:tc>
          <w:tcPr>
            <w:tcW w:w="980" w:type="dxa"/>
            <w:vAlign w:val="bottom"/>
            <w:tcBorders>
              <w:top w:val="single" w:sz="8" w:color="4C4C4E"/>
            </w:tcBorders>
          </w:tcPr>
          <w:p>
            <w:pPr>
              <w:spacing w:after="0"/>
              <w:rPr>
                <w:sz w:val="17"/>
                <w:szCs w:val="17"/>
                <w:color w:val="auto"/>
              </w:rPr>
            </w:pPr>
          </w:p>
        </w:tc>
        <w:tc>
          <w:tcPr>
            <w:tcW w:w="140" w:type="dxa"/>
            <w:vAlign w:val="bottom"/>
            <w:tcBorders>
              <w:top w:val="single" w:sz="8" w:color="D8EEF4"/>
            </w:tcBorders>
          </w:tcPr>
          <w:p>
            <w:pPr>
              <w:spacing w:after="0"/>
              <w:rPr>
                <w:sz w:val="17"/>
                <w:szCs w:val="17"/>
                <w:color w:val="auto"/>
              </w:rPr>
            </w:pPr>
          </w:p>
        </w:tc>
        <w:tc>
          <w:tcPr>
            <w:tcW w:w="80" w:type="dxa"/>
            <w:vAlign w:val="bottom"/>
            <w:tcBorders>
              <w:top w:val="single" w:sz="8" w:color="D8EEF4"/>
            </w:tcBorders>
          </w:tcPr>
          <w:p>
            <w:pPr>
              <w:spacing w:after="0"/>
              <w:rPr>
                <w:sz w:val="17"/>
                <w:szCs w:val="17"/>
                <w:color w:val="auto"/>
              </w:rPr>
            </w:pPr>
          </w:p>
        </w:tc>
        <w:tc>
          <w:tcPr>
            <w:tcW w:w="260" w:type="dxa"/>
            <w:vAlign w:val="bottom"/>
            <w:tcBorders>
              <w:top w:val="single" w:sz="8" w:color="4C4C4E"/>
            </w:tcBorders>
          </w:tcPr>
          <w:p>
            <w:pPr>
              <w:spacing w:after="0"/>
              <w:rPr>
                <w:sz w:val="17"/>
                <w:szCs w:val="17"/>
                <w:color w:val="auto"/>
              </w:rPr>
            </w:pPr>
          </w:p>
        </w:tc>
        <w:tc>
          <w:tcPr>
            <w:tcW w:w="920" w:type="dxa"/>
            <w:vAlign w:val="bottom"/>
            <w:tcBorders>
              <w:top w:val="single" w:sz="8" w:color="4C4C4E"/>
            </w:tcBorders>
          </w:tcPr>
          <w:p>
            <w:pPr>
              <w:spacing w:after="0"/>
              <w:rPr>
                <w:sz w:val="17"/>
                <w:szCs w:val="17"/>
                <w:color w:val="auto"/>
              </w:rPr>
            </w:pPr>
          </w:p>
        </w:tc>
        <w:tc>
          <w:tcPr>
            <w:tcW w:w="140" w:type="dxa"/>
            <w:vAlign w:val="bottom"/>
            <w:tcBorders>
              <w:top w:val="single" w:sz="8" w:color="D8EEF4"/>
            </w:tcBorders>
          </w:tcPr>
          <w:p>
            <w:pPr>
              <w:spacing w:after="0"/>
              <w:rPr>
                <w:sz w:val="17"/>
                <w:szCs w:val="17"/>
                <w:color w:val="auto"/>
              </w:rPr>
            </w:pPr>
          </w:p>
        </w:tc>
        <w:tc>
          <w:tcPr>
            <w:tcW w:w="80" w:type="dxa"/>
            <w:vAlign w:val="bottom"/>
            <w:tcBorders>
              <w:top w:val="single" w:sz="8" w:color="D8EEF4"/>
            </w:tcBorders>
          </w:tcPr>
          <w:p>
            <w:pPr>
              <w:spacing w:after="0"/>
              <w:rPr>
                <w:sz w:val="17"/>
                <w:szCs w:val="17"/>
                <w:color w:val="auto"/>
              </w:rPr>
            </w:pPr>
          </w:p>
        </w:tc>
        <w:tc>
          <w:tcPr>
            <w:tcW w:w="360" w:type="dxa"/>
            <w:vAlign w:val="bottom"/>
            <w:tcBorders>
              <w:top w:val="single" w:sz="8" w:color="4C4C4E"/>
            </w:tcBorders>
          </w:tcPr>
          <w:p>
            <w:pPr>
              <w:spacing w:after="0"/>
              <w:rPr>
                <w:sz w:val="17"/>
                <w:szCs w:val="17"/>
                <w:color w:val="auto"/>
              </w:rPr>
            </w:pPr>
          </w:p>
        </w:tc>
        <w:tc>
          <w:tcPr>
            <w:tcW w:w="820" w:type="dxa"/>
            <w:vAlign w:val="bottom"/>
            <w:tcBorders>
              <w:top w:val="single" w:sz="8" w:color="4C4C4E"/>
            </w:tcBorders>
          </w:tcPr>
          <w:p>
            <w:pPr>
              <w:spacing w:after="0"/>
              <w:rPr>
                <w:sz w:val="17"/>
                <w:szCs w:val="17"/>
                <w:color w:val="auto"/>
              </w:rPr>
            </w:pPr>
          </w:p>
        </w:tc>
        <w:tc>
          <w:tcPr>
            <w:tcW w:w="80" w:type="dxa"/>
            <w:vAlign w:val="bottom"/>
            <w:tcBorders>
              <w:top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6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4C4C4E"/>
              </w:rPr>
              <w:t>Currency Transactions and Income Tax Provision</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4C4C4E"/>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(35.4)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10.8</w:t>
            </w:r>
          </w:p>
        </w:tc>
        <w:tc>
          <w:tcPr>
            <w:tcW w:w="14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(5.7)</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D8EEF4"/>
              <w:right w:val="single" w:sz="8" w:color="D8EEF4"/>
            </w:tcBorders>
            <w:shd w:val="clear" w:color="auto" w:fill="D8EEF4"/>
          </w:tcPr>
          <w:p>
            <w:pPr>
              <w:spacing w:after="0"/>
              <w:rPr>
                <w:sz w:val="22"/>
                <w:szCs w:val="22"/>
                <w:color w:val="auto"/>
              </w:rPr>
            </w:pPr>
          </w:p>
        </w:tc>
        <w:tc>
          <w:tcPr>
            <w:tcW w:w="240" w:type="dxa"/>
            <w:vAlign w:val="bottom"/>
            <w:tcBorders>
              <w:bottom w:val="single" w:sz="8" w:color="4C4C4E"/>
            </w:tcBorders>
            <w:shd w:val="clear" w:color="auto" w:fill="D8EEF4"/>
          </w:tcPr>
          <w:p>
            <w:pPr>
              <w:spacing w:after="0"/>
              <w:rPr>
                <w:sz w:val="22"/>
                <w:szCs w:val="22"/>
                <w:color w:val="auto"/>
              </w:rPr>
            </w:pPr>
          </w:p>
        </w:tc>
        <w:tc>
          <w:tcPr>
            <w:tcW w:w="980" w:type="dxa"/>
            <w:vAlign w:val="bottom"/>
            <w:tcBorders>
              <w:bottom w:val="single" w:sz="8" w:color="4C4C4E"/>
            </w:tcBorders>
            <w:shd w:val="clear" w:color="auto" w:fill="D8EEF4"/>
          </w:tcPr>
          <w:p>
            <w:pPr>
              <w:spacing w:after="0"/>
              <w:rPr>
                <w:sz w:val="22"/>
                <w:szCs w:val="22"/>
                <w:color w:val="auto"/>
              </w:rPr>
            </w:pPr>
          </w:p>
        </w:tc>
        <w:tc>
          <w:tcPr>
            <w:tcW w:w="140" w:type="dxa"/>
            <w:vAlign w:val="bottom"/>
            <w:tcBorders>
              <w:bottom w:val="single" w:sz="8" w:color="D8EEF4"/>
            </w:tcBorders>
            <w:shd w:val="clear" w:color="auto" w:fill="D8EEF4"/>
          </w:tcPr>
          <w:p>
            <w:pPr>
              <w:spacing w:after="0"/>
              <w:rPr>
                <w:sz w:val="22"/>
                <w:szCs w:val="22"/>
                <w:color w:val="auto"/>
              </w:rPr>
            </w:pPr>
          </w:p>
        </w:tc>
        <w:tc>
          <w:tcPr>
            <w:tcW w:w="80" w:type="dxa"/>
            <w:vAlign w:val="bottom"/>
            <w:tcBorders>
              <w:bottom w:val="single" w:sz="8" w:color="D8EEF4"/>
            </w:tcBorders>
            <w:shd w:val="clear" w:color="auto" w:fill="D8EEF4"/>
          </w:tcPr>
          <w:p>
            <w:pPr>
              <w:spacing w:after="0"/>
              <w:rPr>
                <w:sz w:val="22"/>
                <w:szCs w:val="22"/>
                <w:color w:val="auto"/>
              </w:rPr>
            </w:pPr>
          </w:p>
        </w:tc>
        <w:tc>
          <w:tcPr>
            <w:tcW w:w="260" w:type="dxa"/>
            <w:vAlign w:val="bottom"/>
            <w:tcBorders>
              <w:bottom w:val="single" w:sz="8" w:color="4C4C4E"/>
            </w:tcBorders>
            <w:shd w:val="clear" w:color="auto" w:fill="D8EEF4"/>
          </w:tcPr>
          <w:p>
            <w:pPr>
              <w:spacing w:after="0"/>
              <w:rPr>
                <w:sz w:val="22"/>
                <w:szCs w:val="22"/>
                <w:color w:val="auto"/>
              </w:rPr>
            </w:pPr>
          </w:p>
        </w:tc>
        <w:tc>
          <w:tcPr>
            <w:tcW w:w="920" w:type="dxa"/>
            <w:vAlign w:val="bottom"/>
            <w:tcBorders>
              <w:bottom w:val="single" w:sz="8" w:color="4C4C4E"/>
            </w:tcBorders>
            <w:shd w:val="clear" w:color="auto" w:fill="D8EEF4"/>
          </w:tcPr>
          <w:p>
            <w:pPr>
              <w:spacing w:after="0"/>
              <w:rPr>
                <w:sz w:val="22"/>
                <w:szCs w:val="22"/>
                <w:color w:val="auto"/>
              </w:rPr>
            </w:pPr>
          </w:p>
        </w:tc>
        <w:tc>
          <w:tcPr>
            <w:tcW w:w="140" w:type="dxa"/>
            <w:vAlign w:val="bottom"/>
            <w:tcBorders>
              <w:bottom w:val="single" w:sz="8" w:color="D8EEF4"/>
            </w:tcBorders>
            <w:shd w:val="clear" w:color="auto" w:fill="D8EEF4"/>
          </w:tcPr>
          <w:p>
            <w:pPr>
              <w:spacing w:after="0"/>
              <w:rPr>
                <w:sz w:val="22"/>
                <w:szCs w:val="22"/>
                <w:color w:val="auto"/>
              </w:rPr>
            </w:pPr>
          </w:p>
        </w:tc>
        <w:tc>
          <w:tcPr>
            <w:tcW w:w="80" w:type="dxa"/>
            <w:vAlign w:val="bottom"/>
            <w:tcBorders>
              <w:bottom w:val="single" w:sz="8" w:color="D8EEF4"/>
            </w:tcBorders>
            <w:shd w:val="clear" w:color="auto" w:fill="D8EEF4"/>
          </w:tcPr>
          <w:p>
            <w:pPr>
              <w:spacing w:after="0"/>
              <w:rPr>
                <w:sz w:val="22"/>
                <w:szCs w:val="22"/>
                <w:color w:val="auto"/>
              </w:rPr>
            </w:pPr>
          </w:p>
        </w:tc>
        <w:tc>
          <w:tcPr>
            <w:tcW w:w="360" w:type="dxa"/>
            <w:vAlign w:val="bottom"/>
            <w:tcBorders>
              <w:bottom w:val="single" w:sz="8" w:color="4C4C4E"/>
            </w:tcBorders>
            <w:shd w:val="clear" w:color="auto" w:fill="D8EEF4"/>
          </w:tcPr>
          <w:p>
            <w:pPr>
              <w:spacing w:after="0"/>
              <w:rPr>
                <w:sz w:val="22"/>
                <w:szCs w:val="22"/>
                <w:color w:val="auto"/>
              </w:rPr>
            </w:pPr>
          </w:p>
        </w:tc>
        <w:tc>
          <w:tcPr>
            <w:tcW w:w="820" w:type="dxa"/>
            <w:vAlign w:val="bottom"/>
            <w:tcBorders>
              <w:bottom w:val="single" w:sz="8" w:color="4C4C4E"/>
            </w:tcBorders>
            <w:shd w:val="clear" w:color="auto" w:fill="D8EEF4"/>
          </w:tcPr>
          <w:p>
            <w:pPr>
              <w:spacing w:after="0"/>
              <w:rPr>
                <w:sz w:val="22"/>
                <w:szCs w:val="22"/>
                <w:color w:val="auto"/>
              </w:rPr>
            </w:pPr>
          </w:p>
        </w:tc>
        <w:tc>
          <w:tcPr>
            <w:tcW w:w="80" w:type="dxa"/>
            <w:vAlign w:val="bottom"/>
            <w:tcBorders>
              <w:bottom w:val="single" w:sz="8" w:color="D8EEF4"/>
            </w:tcBorders>
            <w:shd w:val="clear" w:color="auto" w:fill="D8EEF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62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4C4C4E"/>
              </w:rPr>
              <w:t>Net Change in Unrealized Gains (Losses)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4C4C4E"/>
                <w:w w:val="70"/>
              </w:rPr>
              <w:t>$</w:t>
            </w:r>
          </w:p>
        </w:tc>
        <w:tc>
          <w:tcPr>
            <w:tcW w:w="9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4C4C4E"/>
              </w:rPr>
              <w:t>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60"/>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4C4C4E"/>
              </w:rPr>
              <w:t>(42.0)</w:t>
            </w:r>
          </w:p>
        </w:tc>
        <w:tc>
          <w:tcPr>
            <w:tcW w:w="80" w:type="dxa"/>
            <w:vAlign w:val="bottom"/>
          </w:tcPr>
          <w:p>
            <w:pPr>
              <w:spacing w:after="0"/>
              <w:rPr>
                <w:sz w:val="19"/>
                <w:szCs w:val="19"/>
                <w:color w:val="auto"/>
              </w:rPr>
            </w:pPr>
          </w:p>
        </w:tc>
        <w:tc>
          <w:tcPr>
            <w:tcW w:w="360" w:type="dxa"/>
            <w:vAlign w:val="bottom"/>
          </w:tcPr>
          <w:p>
            <w:pPr>
              <w:jc w:val="right"/>
              <w:ind w:right="160"/>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4C4C4E"/>
              </w:rPr>
              <w:t>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4C4C4E"/>
              <w:bottom w:val="single" w:sz="8" w:color="4C4C4E"/>
            </w:tcBorders>
          </w:tcPr>
          <w:p>
            <w:pPr>
              <w:spacing w:after="0" w:line="20" w:lineRule="exact"/>
              <w:rPr>
                <w:sz w:val="1"/>
                <w:szCs w:val="1"/>
                <w:color w:val="auto"/>
              </w:rPr>
            </w:pPr>
          </w:p>
        </w:tc>
        <w:tc>
          <w:tcPr>
            <w:tcW w:w="980" w:type="dxa"/>
            <w:vAlign w:val="bottom"/>
            <w:tcBorders>
              <w:top w:val="single" w:sz="8" w:color="4C4C4E"/>
              <w:bottom w:val="single" w:sz="8" w:color="4C4C4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4C4C4E"/>
              <w:bottom w:val="single" w:sz="8" w:color="4C4C4E"/>
            </w:tcBorders>
          </w:tcPr>
          <w:p>
            <w:pPr>
              <w:spacing w:after="0" w:line="20" w:lineRule="exact"/>
              <w:rPr>
                <w:sz w:val="1"/>
                <w:szCs w:val="1"/>
                <w:color w:val="auto"/>
              </w:rPr>
            </w:pPr>
          </w:p>
        </w:tc>
        <w:tc>
          <w:tcPr>
            <w:tcW w:w="920" w:type="dxa"/>
            <w:vAlign w:val="bottom"/>
            <w:tcBorders>
              <w:top w:val="single" w:sz="8" w:color="4C4C4E"/>
              <w:bottom w:val="single" w:sz="8" w:color="4C4C4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4C4C4E"/>
              <w:bottom w:val="single" w:sz="8" w:color="4C4C4E"/>
            </w:tcBorders>
          </w:tcPr>
          <w:p>
            <w:pPr>
              <w:spacing w:after="0" w:line="20" w:lineRule="exact"/>
              <w:rPr>
                <w:sz w:val="1"/>
                <w:szCs w:val="1"/>
                <w:color w:val="auto"/>
              </w:rPr>
            </w:pPr>
          </w:p>
        </w:tc>
        <w:tc>
          <w:tcPr>
            <w:tcW w:w="820" w:type="dxa"/>
            <w:vAlign w:val="bottom"/>
            <w:tcBorders>
              <w:top w:val="single" w:sz="8" w:color="4C4C4E"/>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3893185</wp:posOffset>
                </wp:positionH>
                <wp:positionV relativeFrom="paragraph">
                  <wp:posOffset>-3175635</wp:posOffset>
                </wp:positionV>
                <wp:extent cx="790575" cy="15494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154940"/>
                        </a:xfrm>
                        <a:prstGeom prst="rect">
                          <a:avLst/>
                        </a:prstGeom>
                        <a:solidFill>
                          <a:srgbClr val="D8EEF4"/>
                        </a:solidFill>
                      </wps:spPr>
                      <wps:bodyPr/>
                    </wps:wsp>
                  </a:graphicData>
                </a:graphic>
              </wp:anchor>
            </w:drawing>
          </mc:Choice>
          <mc:Fallback>
            <w:pict>
              <v:rect id="Shape 69" o:spid="_x0000_s1094" style="position:absolute;margin-left:306.55pt;margin-top:-250.0499pt;width:62.2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4683760</wp:posOffset>
                </wp:positionH>
                <wp:positionV relativeFrom="paragraph">
                  <wp:posOffset>-3185795</wp:posOffset>
                </wp:positionV>
                <wp:extent cx="142240" cy="16446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 cy="164465"/>
                        </a:xfrm>
                        <a:prstGeom prst="rect">
                          <a:avLst/>
                        </a:prstGeom>
                        <a:solidFill>
                          <a:srgbClr val="D8EEF4"/>
                        </a:solidFill>
                      </wps:spPr>
                      <wps:bodyPr/>
                    </wps:wsp>
                  </a:graphicData>
                </a:graphic>
              </wp:anchor>
            </w:drawing>
          </mc:Choice>
          <mc:Fallback>
            <w:pict>
              <v:rect id="Shape 70" o:spid="_x0000_s1095" style="position:absolute;margin-left:368.8pt;margin-top:-250.8499pt;width:11.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drawing>
          <wp:anchor simplePos="0" relativeHeight="251657728" behindDoc="1" locked="0" layoutInCell="0" allowOverlap="1">
            <wp:simplePos x="0" y="0"/>
            <wp:positionH relativeFrom="column">
              <wp:posOffset>3874135</wp:posOffset>
            </wp:positionH>
            <wp:positionV relativeFrom="paragraph">
              <wp:posOffset>-3334385</wp:posOffset>
            </wp:positionV>
            <wp:extent cx="260604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
                      <a:extLst>
                        <a:ext uri="{28A0092B-C50C-407E-A947-70E740481C1C}"/>
                      </a:extLst>
                    </a:blip>
                    <a:srcRect/>
                    <a:stretch>
                      <a:fillRect/>
                    </a:stretch>
                  </pic:blipFill>
                  <pic:spPr bwMode="auto">
                    <a:xfrm>
                      <a:off x="0" y="0"/>
                      <a:ext cx="2606040" cy="38100"/>
                    </a:xfrm>
                    <a:prstGeom prst="rect">
                      <a:avLst/>
                    </a:prstGeom>
                    <a:noFill/>
                  </pic:spPr>
                </pic:pic>
              </a:graphicData>
            </a:graphic>
          </wp:anchor>
        </w:drawing>
      </w:r>
    </w:p>
    <w:p>
      <w:pPr>
        <w:spacing w:after="0" w:line="19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4C4C4E"/>
        </w:rPr>
        <w:t>(1)</w:t>
        <w:tab/>
        <w:t>Table may not sum due to rounding.</w:t>
      </w:r>
    </w:p>
    <w:p>
      <w:pPr>
        <w:spacing w:after="0" w:line="2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4C4C4E"/>
        </w:rPr>
        <w:t>(2)</w:t>
        <w:tab/>
        <w:t>Includes foreign exchange hedging activity.</w:t>
      </w:r>
    </w:p>
    <w:p>
      <w:pPr>
        <w:spacing w:after="0"/>
        <w:tabs>
          <w:tab w:leader="none" w:pos="480" w:val="left"/>
        </w:tabs>
        <w:rPr>
          <w:sz w:val="20"/>
          <w:szCs w:val="20"/>
          <w:color w:val="auto"/>
        </w:rPr>
      </w:pPr>
      <w:r>
        <w:rPr>
          <w:rFonts w:ascii="Times New Roman" w:cs="Times New Roman" w:eastAsia="Times New Roman" w:hAnsi="Times New Roman"/>
          <w:sz w:val="20"/>
          <w:szCs w:val="20"/>
          <w:color w:val="4C4C4E"/>
        </w:rPr>
        <w:t>(3)</w:t>
        <w:tab/>
        <w:t>Amounts round to less than $0.1 million.</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For the years ended December 31, 2025, December 31, 2024, and December 31, 2023, we had net realized losses on investments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4C4C4E"/>
        </w:rPr>
        <w:t>$47.4 million, net realized gains of $9.0 million and net realized gains of $12.2 million, respectively. For the year ended December 31,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2025, we had net realized gains of $0.6 million, for the year ended December 31, 2024, we had net realized losses of $1.2 million and</w:t>
      </w:r>
    </w:p>
    <w:p>
      <w:pPr>
        <w:spacing w:after="0"/>
        <w:rPr>
          <w:sz w:val="20"/>
          <w:szCs w:val="20"/>
          <w:color w:val="auto"/>
        </w:rPr>
      </w:pPr>
      <w:r>
        <w:rPr>
          <w:rFonts w:ascii="Times New Roman" w:cs="Times New Roman" w:eastAsia="Times New Roman" w:hAnsi="Times New Roman"/>
          <w:sz w:val="20"/>
          <w:szCs w:val="20"/>
          <w:color w:val="4C4C4E"/>
        </w:rPr>
        <w:t>for the year ended December 31, 2023, we had net realized gains of $0.2 million, respectively, on foreign currency transactions,</w:t>
      </w:r>
    </w:p>
    <w:p>
      <w:pPr>
        <w:spacing w:after="0"/>
        <w:rPr>
          <w:sz w:val="20"/>
          <w:szCs w:val="20"/>
          <w:color w:val="auto"/>
        </w:rPr>
      </w:pPr>
      <w:r>
        <w:rPr>
          <w:rFonts w:ascii="Times New Roman" w:cs="Times New Roman" w:eastAsia="Times New Roman" w:hAnsi="Times New Roman"/>
          <w:sz w:val="20"/>
          <w:szCs w:val="20"/>
          <w:color w:val="4C4C4E"/>
        </w:rPr>
        <w:t>primarily as a result of translating foreign currency related to our non-USD denominated investments. For the years ended</w:t>
      </w:r>
    </w:p>
    <w:p>
      <w:pPr>
        <w:spacing w:after="0"/>
        <w:rPr>
          <w:sz w:val="20"/>
          <w:szCs w:val="20"/>
          <w:color w:val="auto"/>
        </w:rPr>
      </w:pPr>
      <w:r>
        <w:rPr>
          <w:rFonts w:ascii="Times New Roman" w:cs="Times New Roman" w:eastAsia="Times New Roman" w:hAnsi="Times New Roman"/>
          <w:sz w:val="20"/>
          <w:szCs w:val="20"/>
          <w:color w:val="4C4C4E"/>
        </w:rPr>
        <w:t>December 31, 2025, December 31, 2024 and December 31, 2023, we had net realized gains of $1.1 million, net realized losses of $4.3</w:t>
      </w:r>
    </w:p>
    <w:p>
      <w:pPr>
        <w:spacing w:after="0"/>
        <w:rPr>
          <w:sz w:val="20"/>
          <w:szCs w:val="20"/>
          <w:color w:val="auto"/>
        </w:rPr>
      </w:pPr>
      <w:r>
        <w:rPr>
          <w:rFonts w:ascii="Times New Roman" w:cs="Times New Roman" w:eastAsia="Times New Roman" w:hAnsi="Times New Roman"/>
          <w:sz w:val="20"/>
          <w:szCs w:val="20"/>
          <w:color w:val="4C4C4E"/>
        </w:rPr>
        <w:t>million and net realized losses $0.5 million, respectively, on foreign currency investments. For the years ended December 31, 2025,</w:t>
      </w:r>
    </w:p>
    <w:p>
      <w:pPr>
        <w:spacing w:after="0"/>
        <w:rPr>
          <w:sz w:val="20"/>
          <w:szCs w:val="20"/>
          <w:color w:val="auto"/>
        </w:rPr>
      </w:pPr>
      <w:r>
        <w:rPr>
          <w:rFonts w:ascii="Times New Roman" w:cs="Times New Roman" w:eastAsia="Times New Roman" w:hAnsi="Times New Roman"/>
          <w:sz w:val="20"/>
          <w:szCs w:val="20"/>
          <w:color w:val="4C4C4E"/>
        </w:rPr>
        <w:t>December 31, 2024, and December 31, 2023, we had net realized losses of $2.2 million, net realized gains of $5.1 million and net</w:t>
      </w:r>
    </w:p>
    <w:p>
      <w:pPr>
        <w:spacing w:after="0"/>
        <w:rPr>
          <w:sz w:val="20"/>
          <w:szCs w:val="20"/>
          <w:color w:val="auto"/>
        </w:rPr>
      </w:pPr>
      <w:r>
        <w:rPr>
          <w:rFonts w:ascii="Times New Roman" w:cs="Times New Roman" w:eastAsia="Times New Roman" w:hAnsi="Times New Roman"/>
          <w:sz w:val="20"/>
          <w:szCs w:val="20"/>
          <w:color w:val="4C4C4E"/>
        </w:rPr>
        <w:t>realized gains of $0.5 million, respectively, on foreign currency borrowings. The net realized gains and losses on foreign currency</w:t>
      </w:r>
    </w:p>
    <w:p>
      <w:pPr>
        <w:spacing w:after="0"/>
        <w:rPr>
          <w:sz w:val="20"/>
          <w:szCs w:val="20"/>
          <w:color w:val="auto"/>
        </w:rPr>
      </w:pPr>
      <w:r>
        <w:rPr>
          <w:rFonts w:ascii="Times New Roman" w:cs="Times New Roman" w:eastAsia="Times New Roman" w:hAnsi="Times New Roman"/>
          <w:sz w:val="20"/>
          <w:szCs w:val="20"/>
          <w:color w:val="4C4C4E"/>
        </w:rPr>
        <w:t>borrowings were a result of payments on our revolving credit facility. For the year ended December 31, 2025 we recognized a tax</w:t>
      </w:r>
    </w:p>
    <w:p>
      <w:pPr>
        <w:spacing w:after="0"/>
        <w:rPr>
          <w:sz w:val="20"/>
          <w:szCs w:val="20"/>
          <w:color w:val="auto"/>
        </w:rPr>
      </w:pPr>
      <w:r>
        <w:rPr>
          <w:rFonts w:ascii="Times New Roman" w:cs="Times New Roman" w:eastAsia="Times New Roman" w:hAnsi="Times New Roman"/>
          <w:sz w:val="20"/>
          <w:szCs w:val="20"/>
          <w:color w:val="4C4C4E"/>
        </w:rPr>
        <w:t>expense of $0.9 million pertaining to net realized gains.</w:t>
      </w:r>
    </w:p>
    <w:p>
      <w:pPr>
        <w:spacing w:after="0" w:line="212" w:lineRule="exact"/>
        <w:rPr>
          <w:sz w:val="20"/>
          <w:szCs w:val="20"/>
          <w:color w:val="auto"/>
        </w:rPr>
      </w:pPr>
    </w:p>
    <w:p>
      <w:pPr>
        <w:ind w:right="340" w:firstLine="245"/>
        <w:spacing w:after="0" w:line="247" w:lineRule="auto"/>
        <w:rPr>
          <w:sz w:val="20"/>
          <w:szCs w:val="20"/>
          <w:color w:val="auto"/>
        </w:rPr>
      </w:pPr>
      <w:r>
        <w:rPr>
          <w:rFonts w:ascii="Times New Roman" w:cs="Times New Roman" w:eastAsia="Times New Roman" w:hAnsi="Times New Roman"/>
          <w:sz w:val="20"/>
          <w:szCs w:val="20"/>
          <w:color w:val="4C4C4E"/>
        </w:rPr>
        <w:t>For the year ended December 31, 2025, we had $110.3 million in unrealized gains on 60 portfolio company investments, which was offset by $65.5 million in unrealized losses on 108 portfolio company investments. Unrealized gains for the year ended December 31, 2025 resulted from positive portfolio company specific developments, fluctuations in GBP, EUR, AUD, CAD, and SEK exchange rates, and the reversal of prior period unrealized losses due to realizations. Unrealized losses for the year ended December 31, 2025 resulted from negative credit-related adjustments, widening credit spreads, and the reversal of prior period unrealized gains due to realizations.</w:t>
      </w:r>
    </w:p>
    <w:p>
      <w:pPr>
        <w:spacing w:after="0" w:line="200" w:lineRule="exact"/>
        <w:rPr>
          <w:sz w:val="20"/>
          <w:szCs w:val="20"/>
          <w:color w:val="auto"/>
        </w:rPr>
      </w:pPr>
    </w:p>
    <w:p>
      <w:pPr>
        <w:ind w:right="40" w:firstLine="245"/>
        <w:spacing w:after="0" w:line="249" w:lineRule="auto"/>
        <w:rPr>
          <w:sz w:val="20"/>
          <w:szCs w:val="20"/>
          <w:color w:val="auto"/>
        </w:rPr>
      </w:pPr>
      <w:r>
        <w:rPr>
          <w:rFonts w:ascii="Times New Roman" w:cs="Times New Roman" w:eastAsia="Times New Roman" w:hAnsi="Times New Roman"/>
          <w:sz w:val="20"/>
          <w:szCs w:val="20"/>
          <w:color w:val="4C4C4E"/>
        </w:rPr>
        <w:t>For the year ended December 31, 2024, we had $ 48.9 million in unrealized gains on 70 portfolio company investments, which was offset by $101.7 million in unrealized losses on 100 portfolio company investments. Unrealized gains for the year ended December 31, 2024 resulted from tightening credit spreads and positive portfolio company specific developments. Unrealized losses for the year ended December 31, 2024 resulted from negative portfolio company specific developments and the reversal of prior period unrealized gains due to realizations.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75</w:t>
      </w:r>
    </w:p>
    <w:p>
      <w:pPr>
        <w:sectPr>
          <w:pgSz w:w="11880" w:h="15480" w:orient="portrait"/>
          <w:cols w:equalWidth="0" w:num="1">
            <w:col w:w="10780"/>
          </w:cols>
          <w:pgMar w:left="540" w:top="750" w:right="560" w:bottom="0" w:gutter="0" w:footer="0" w:header="0"/>
          <w:type w:val="continuous"/>
        </w:sectPr>
      </w:pPr>
    </w:p>
    <w:bookmarkStart w:id="75" w:name="page76"/>
    <w:bookmarkEnd w:id="75"/>
    <w:p>
      <w:pPr>
        <w:ind w:right="100" w:firstLine="245"/>
        <w:spacing w:after="0" w:line="249" w:lineRule="auto"/>
        <w:rPr>
          <w:sz w:val="20"/>
          <w:szCs w:val="20"/>
          <w:color w:val="auto"/>
        </w:rPr>
      </w:pPr>
      <w:r>
        <w:rPr>
          <w:rFonts w:ascii="Times New Roman" w:cs="Times New Roman" w:eastAsia="Times New Roman" w:hAnsi="Times New Roman"/>
          <w:sz w:val="20"/>
          <w:szCs w:val="20"/>
          <w:color w:val="4C4C4E"/>
        </w:rPr>
        <w:t>For the year ended December 31, 2023, we had $75.3 million in unrealized gains on 130 portfolio company investments, which was offset by $56.4 million in unrealized losses on 21 portfolio company investments. Unrealized gains for the year ended December 31, 2023 resulted from an increase in fair value, primarily due to positive valuation adjustments, unwind of prior period unrealized losses, and changes in credit spreads. Unrealized losses for the year ended December 31, 2023 resulted from the reversal of prior period unrealized gains due to realizations and negative credit-related adjustments.</w:t>
      </w:r>
    </w:p>
    <w:p>
      <w:pPr>
        <w:spacing w:after="0" w:line="197" w:lineRule="exact"/>
        <w:rPr>
          <w:sz w:val="20"/>
          <w:szCs w:val="20"/>
          <w:color w:val="auto"/>
        </w:rPr>
      </w:pPr>
    </w:p>
    <w:p>
      <w:pPr>
        <w:ind w:right="20" w:firstLine="245"/>
        <w:spacing w:after="0" w:line="245" w:lineRule="auto"/>
        <w:rPr>
          <w:sz w:val="20"/>
          <w:szCs w:val="20"/>
          <w:color w:val="auto"/>
        </w:rPr>
      </w:pPr>
      <w:r>
        <w:rPr>
          <w:rFonts w:ascii="Times New Roman" w:cs="Times New Roman" w:eastAsia="Times New Roman" w:hAnsi="Times New Roman"/>
          <w:sz w:val="20"/>
          <w:szCs w:val="20"/>
          <w:color w:val="4C4C4E"/>
        </w:rPr>
        <w:t>For the year ended December 31, 2025, we had unrealized losses on foreign currency borrowings of $35.9 million, primarily as a result of fluctuations in the AUD, CAD, SEK, GBP and EUR exchange rates. For the years ended December 31, 2024 and 2023, we had an unrealized gain on foreign currency borrowings of $13.4 million and an unrealized loss on foreign currency borrowings of $6.0 million, respectively, primarily as a result of fluctuations in the AUD, CAD, GBP and EUR exchange rates. For the years ended December 31, 2025, December 31, 2024 and December 31, 2023, we had unrealized losses of less than $0.1 million, less than $0.1 million, and $ 0.3 million, respectively, on foreign currency transactions. For the years ended December 31, 2025 and December 31, 2024, we had no unrealized gains or losses on interest rate swaps. For the year ended December 31, 2023 we had an unrealized gain on interest rate swaps of $0.1 million, due to fluctuations in interest rates.</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As of December 31, 2025, we had a deferred tax liability of $4.6 million pertaining to net unrealized gains, related to seven of our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investments. Given the unrealized gains generated by this entity, the deferred tax liability has been offset by a deferred tax asset of</w:t>
      </w:r>
    </w:p>
    <w:p>
      <w:pPr>
        <w:spacing w:after="0"/>
        <w:rPr>
          <w:sz w:val="20"/>
          <w:szCs w:val="20"/>
          <w:color w:val="auto"/>
        </w:rPr>
      </w:pPr>
      <w:r>
        <w:rPr>
          <w:rFonts w:ascii="Times New Roman" w:cs="Times New Roman" w:eastAsia="Times New Roman" w:hAnsi="Times New Roman"/>
          <w:sz w:val="20"/>
          <w:szCs w:val="20"/>
          <w:color w:val="4C4C4E"/>
        </w:rPr>
        <w:t>$0.6 million pertaining to operating losses. We recorded a deferred tax benefit of $0.5 million for the year ended December 31, 2025.</w:t>
      </w:r>
    </w:p>
    <w:p>
      <w:pPr>
        <w:spacing w:after="0" w:line="192" w:lineRule="exact"/>
        <w:rPr>
          <w:sz w:val="20"/>
          <w:szCs w:val="20"/>
          <w:color w:val="auto"/>
        </w:rPr>
      </w:pPr>
    </w:p>
    <w:p>
      <w:pPr>
        <w:ind w:right="180" w:firstLine="245"/>
        <w:spacing w:after="0" w:line="229" w:lineRule="auto"/>
        <w:rPr>
          <w:sz w:val="20"/>
          <w:szCs w:val="20"/>
          <w:color w:val="auto"/>
        </w:rPr>
      </w:pPr>
      <w:r>
        <w:rPr>
          <w:rFonts w:ascii="Times New Roman" w:cs="Times New Roman" w:eastAsia="Times New Roman" w:hAnsi="Times New Roman"/>
          <w:sz w:val="20"/>
          <w:szCs w:val="20"/>
          <w:color w:val="4C4C4E"/>
        </w:rPr>
        <w:t>As of December 31, 2024, we had a deferred tax liability of $5.2 million pertaining to net unrealized gains, related to eight of our investments. Given the unrealized gains generated by this entity, the deferred tax liability has been offset by a deferred tax asset of $0.6 million pertaining to operating losses. We recorded a current tax expense of $0.2 million and a deferred tax expense of $2.6 million for the year ended December 31, 2024.</w:t>
      </w:r>
    </w:p>
    <w:p>
      <w:pPr>
        <w:spacing w:after="0" w:line="183" w:lineRule="exact"/>
        <w:rPr>
          <w:sz w:val="20"/>
          <w:szCs w:val="20"/>
          <w:color w:val="auto"/>
        </w:rPr>
      </w:pPr>
    </w:p>
    <w:p>
      <w:pPr>
        <w:ind w:right="140" w:firstLine="245"/>
        <w:spacing w:after="0" w:line="229" w:lineRule="auto"/>
        <w:rPr>
          <w:sz w:val="20"/>
          <w:szCs w:val="20"/>
          <w:color w:val="auto"/>
        </w:rPr>
      </w:pPr>
      <w:r>
        <w:rPr>
          <w:rFonts w:ascii="Times New Roman" w:cs="Times New Roman" w:eastAsia="Times New Roman" w:hAnsi="Times New Roman"/>
          <w:sz w:val="20"/>
          <w:szCs w:val="20"/>
          <w:color w:val="4C4C4E"/>
        </w:rPr>
        <w:t>As of December 31, 2023, we had a deferred tax liability of $2.8 million pertaining to net unrealized gains, related to seven of our investments. Given the unrealized gains generated by this entity, the deferred tax liability has been offset by a deferred tax asset of $0.9 million pertaining to operating losses. We recorded a current tax expense of $0.1 million and a deferred tax benefit of $0.6 million for the year ended December 31, 2023.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Realized Gross Internal Rate of Return</w:t>
      </w:r>
    </w:p>
    <w:p>
      <w:pPr>
        <w:spacing w:after="0" w:line="120"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Since we began investing in 2011 through December 31, 2025, weighted by capital invested, our exited investments have generated an average realized gross internal rate of return to us of 17.1% (based on total capital invested of $ 9.1 billion and total proceeds from these exited investments of $11.7 billion). Ninety-two percent of these exited investments resulted in a realized gross internal rate of return to us of 10% or greater.</w:t>
      </w:r>
    </w:p>
    <w:p>
      <w:pPr>
        <w:spacing w:after="0" w:line="194"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4C4C4E"/>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8" w:lineRule="exact"/>
        <w:rPr>
          <w:sz w:val="20"/>
          <w:szCs w:val="20"/>
          <w:color w:val="auto"/>
        </w:rPr>
      </w:pPr>
    </w:p>
    <w:p>
      <w:pPr>
        <w:ind w:right="180" w:firstLine="245"/>
        <w:spacing w:after="0" w:line="258" w:lineRule="auto"/>
        <w:rPr>
          <w:sz w:val="20"/>
          <w:szCs w:val="20"/>
          <w:color w:val="auto"/>
        </w:rPr>
      </w:pPr>
      <w:r>
        <w:rPr>
          <w:rFonts w:ascii="Times New Roman" w:cs="Times New Roman" w:eastAsia="Times New Roman" w:hAnsi="Times New Roman"/>
          <w:sz w:val="20"/>
          <w:szCs w:val="20"/>
          <w:color w:val="4C4C4E"/>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88" w:lineRule="exact"/>
        <w:rPr>
          <w:sz w:val="20"/>
          <w:szCs w:val="20"/>
          <w:color w:val="auto"/>
        </w:rPr>
      </w:pPr>
    </w:p>
    <w:p>
      <w:pPr>
        <w:ind w:right="680" w:firstLine="245"/>
        <w:spacing w:after="0" w:line="277" w:lineRule="auto"/>
        <w:rPr>
          <w:sz w:val="20"/>
          <w:szCs w:val="20"/>
          <w:color w:val="auto"/>
        </w:rPr>
      </w:pPr>
      <w:r>
        <w:rPr>
          <w:rFonts w:ascii="Times New Roman" w:cs="Times New Roman" w:eastAsia="Times New Roman" w:hAnsi="Times New Roman"/>
          <w:sz w:val="20"/>
          <w:szCs w:val="20"/>
          <w:color w:val="4C4C4E"/>
        </w:rPr>
        <w:t>Average gross IRR is the average of the gross IRR for each of our exited investments (each calculated as described above), weighted by the total capital invested for each of those investments.</w:t>
      </w:r>
    </w:p>
    <w:p>
      <w:pPr>
        <w:spacing w:after="0" w:line="169" w:lineRule="exact"/>
        <w:rPr>
          <w:sz w:val="20"/>
          <w:szCs w:val="20"/>
          <w:color w:val="auto"/>
        </w:rPr>
      </w:pPr>
    </w:p>
    <w:p>
      <w:pPr>
        <w:ind w:right="300" w:firstLine="245"/>
        <w:spacing w:after="0" w:line="277" w:lineRule="auto"/>
        <w:rPr>
          <w:sz w:val="20"/>
          <w:szCs w:val="20"/>
          <w:color w:val="auto"/>
        </w:rPr>
      </w:pPr>
      <w:r>
        <w:rPr>
          <w:rFonts w:ascii="Times New Roman" w:cs="Times New Roman" w:eastAsia="Times New Roman" w:hAnsi="Times New Roman"/>
          <w:sz w:val="20"/>
          <w:szCs w:val="20"/>
          <w:color w:val="4C4C4E"/>
        </w:rPr>
        <w:t>Average gross IRR on our exited investments reflects only invested and realized cash amounts as described above, and does not reflect any unrealized gains or losses in our portfolio.</w:t>
      </w:r>
    </w:p>
    <w:p>
      <w:pPr>
        <w:spacing w:after="0" w:line="169"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4C4C4E"/>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94"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4C4C4E"/>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76</w:t>
      </w:r>
    </w:p>
    <w:p>
      <w:pPr>
        <w:sectPr>
          <w:pgSz w:w="11880" w:h="15480" w:orient="portrait"/>
          <w:cols w:equalWidth="0" w:num="1">
            <w:col w:w="10780"/>
          </w:cols>
          <w:pgMar w:left="540" w:top="750" w:right="560" w:bottom="0" w:gutter="0" w:footer="0" w:header="0"/>
          <w:type w:val="continuous"/>
        </w:sectPr>
      </w:pPr>
    </w:p>
    <w:bookmarkStart w:id="76" w:name="page77"/>
    <w:bookmarkEnd w:id="76"/>
    <w:p>
      <w:pPr>
        <w:ind w:right="200" w:firstLine="245"/>
        <w:spacing w:after="0" w:line="252" w:lineRule="auto"/>
        <w:rPr>
          <w:sz w:val="20"/>
          <w:szCs w:val="20"/>
          <w:color w:val="auto"/>
        </w:rPr>
      </w:pPr>
      <w:r>
        <w:rPr>
          <w:rFonts w:ascii="Times New Roman" w:cs="Times New Roman" w:eastAsia="Times New Roman" w:hAnsi="Times New Roman"/>
          <w:sz w:val="20"/>
          <w:szCs w:val="20"/>
          <w:color w:val="4C4C4E"/>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Interest Rate and Foreign Currency Hedging</w:t>
      </w:r>
    </w:p>
    <w:p>
      <w:pPr>
        <w:spacing w:after="0" w:line="120" w:lineRule="exact"/>
        <w:rPr>
          <w:sz w:val="20"/>
          <w:szCs w:val="20"/>
          <w:color w:val="auto"/>
        </w:rPr>
      </w:pPr>
    </w:p>
    <w:p>
      <w:pPr>
        <w:ind w:right="60" w:firstLine="245"/>
        <w:spacing w:after="0" w:line="252" w:lineRule="auto"/>
        <w:rPr>
          <w:sz w:val="20"/>
          <w:szCs w:val="20"/>
          <w:color w:val="auto"/>
        </w:rPr>
      </w:pPr>
      <w:r>
        <w:rPr>
          <w:rFonts w:ascii="Times New Roman" w:cs="Times New Roman" w:eastAsia="Times New Roman" w:hAnsi="Times New Roman"/>
          <w:sz w:val="20"/>
          <w:szCs w:val="20"/>
          <w:color w:val="4C4C4E"/>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74" w:lineRule="exact"/>
        <w:rPr>
          <w:sz w:val="20"/>
          <w:szCs w:val="20"/>
          <w:color w:val="auto"/>
        </w:rPr>
      </w:pPr>
    </w:p>
    <w:p>
      <w:pPr>
        <w:ind w:right="160" w:firstLine="245"/>
        <w:spacing w:after="0" w:line="244" w:lineRule="auto"/>
        <w:rPr>
          <w:sz w:val="20"/>
          <w:szCs w:val="20"/>
          <w:color w:val="auto"/>
        </w:rPr>
      </w:pPr>
      <w:r>
        <w:rPr>
          <w:rFonts w:ascii="Times New Roman" w:cs="Times New Roman" w:eastAsia="Times New Roman" w:hAnsi="Times New Roman"/>
          <w:sz w:val="20"/>
          <w:szCs w:val="20"/>
          <w:color w:val="4C4C4E"/>
        </w:rPr>
        <w:t>Our current approach to hedging the foreign currency exposure in our non-U.S. dollar denominated investments is primarily to borrow the par amount in local currency under our Revolving Credit Facility to fund these investments. For the years ended December 31, 2025, December 31, 2024 and December 31, 2023, we had $35.9 million of unrealized losses, $13.4 million of unrealized gains and $6.0 million of unrealized losses, respectively, on the translation of our non-U.S. dollar denominated debt into U.S. dollars; such amounts approximate the corresponding unrealized gains and losses on the translation of our non-U.S. dollar denominated investments into U.S. dollars for the years ended December 31, 2025, December 31, 2024 and December 31, 2023. See Note 2 for additional disclosure regarding our accounting for foreign currency. See Note 7 for additional disclosure regarding the amounts of outstanding debt denominated in each foreign currency at December 31, 2025. See our Consolidated Schedule of Investments for additional disclosure regarding the foreign currency amounts (in both par and fair value) of our non-U.S. dollar denominated investments.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Financial Condition, Liquidity and Capital Resources</w:t>
      </w:r>
    </w:p>
    <w:p>
      <w:pPr>
        <w:spacing w:after="0" w:line="124" w:lineRule="exact"/>
        <w:rPr>
          <w:sz w:val="20"/>
          <w:szCs w:val="20"/>
          <w:color w:val="auto"/>
        </w:rPr>
      </w:pPr>
    </w:p>
    <w:p>
      <w:pPr>
        <w:ind w:right="160" w:firstLine="245"/>
        <w:spacing w:after="0" w:line="277" w:lineRule="auto"/>
        <w:rPr>
          <w:sz w:val="20"/>
          <w:szCs w:val="20"/>
          <w:color w:val="auto"/>
        </w:rPr>
      </w:pPr>
      <w:r>
        <w:rPr>
          <w:rFonts w:ascii="Times New Roman" w:cs="Times New Roman" w:eastAsia="Times New Roman" w:hAnsi="Times New Roman"/>
          <w:sz w:val="20"/>
          <w:szCs w:val="20"/>
          <w:color w:val="4C4C4E"/>
        </w:rPr>
        <w:t>Our liquidity and capital resources are derived primarily from proceeds from equity issuances, advances from our credit facilities, and cash flows from operations. The primary uses of our cash and cash equivalents are:</w:t>
      </w:r>
    </w:p>
    <w:p>
      <w:pPr>
        <w:spacing w:after="0" w:line="64" w:lineRule="exact"/>
        <w:rPr>
          <w:sz w:val="20"/>
          <w:szCs w:val="20"/>
          <w:color w:val="auto"/>
        </w:rPr>
      </w:pPr>
    </w:p>
    <w:p>
      <w:pPr>
        <w:ind w:left="500" w:hanging="255"/>
        <w:spacing w:after="0"/>
        <w:tabs>
          <w:tab w:leader="none" w:pos="500" w:val="left"/>
        </w:tabs>
        <w:numPr>
          <w:ilvl w:val="0"/>
          <w:numId w:val="58"/>
        </w:numPr>
        <w:rPr>
          <w:rFonts w:ascii="Arial" w:cs="Arial" w:eastAsia="Arial" w:hAnsi="Arial"/>
          <w:sz w:val="20"/>
          <w:szCs w:val="20"/>
          <w:color w:val="4C4C4E"/>
        </w:rPr>
      </w:pPr>
      <w:r>
        <w:rPr>
          <w:rFonts w:ascii="Times New Roman" w:cs="Times New Roman" w:eastAsia="Times New Roman" w:hAnsi="Times New Roman"/>
          <w:sz w:val="20"/>
          <w:szCs w:val="20"/>
          <w:color w:val="4C4C4E"/>
        </w:rPr>
        <w:t>investments in portfolio companies and other investments and to comply with certain portfolio diversification requirements;</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8"/>
        </w:numPr>
        <w:rPr>
          <w:rFonts w:ascii="Arial" w:cs="Arial" w:eastAsia="Arial" w:hAnsi="Arial"/>
          <w:sz w:val="20"/>
          <w:szCs w:val="20"/>
          <w:color w:val="4C4C4E"/>
        </w:rPr>
      </w:pPr>
      <w:r>
        <w:rPr>
          <w:rFonts w:ascii="Times New Roman" w:cs="Times New Roman" w:eastAsia="Times New Roman" w:hAnsi="Times New Roman"/>
          <w:sz w:val="20"/>
          <w:szCs w:val="20"/>
          <w:color w:val="4C4C4E"/>
        </w:rPr>
        <w:t>the cost of operations (including paying our Adviser);</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8"/>
        </w:numPr>
        <w:rPr>
          <w:rFonts w:ascii="Arial" w:cs="Arial" w:eastAsia="Arial" w:hAnsi="Arial"/>
          <w:sz w:val="20"/>
          <w:szCs w:val="20"/>
          <w:color w:val="4C4C4E"/>
        </w:rPr>
      </w:pPr>
      <w:r>
        <w:rPr>
          <w:rFonts w:ascii="Times New Roman" w:cs="Times New Roman" w:eastAsia="Times New Roman" w:hAnsi="Times New Roman"/>
          <w:sz w:val="20"/>
          <w:szCs w:val="20"/>
          <w:color w:val="4C4C4E"/>
        </w:rPr>
        <w:t>debt service, repayment, and other financing costs; and</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8"/>
        </w:numPr>
        <w:rPr>
          <w:rFonts w:ascii="Arial" w:cs="Arial" w:eastAsia="Arial" w:hAnsi="Arial"/>
          <w:sz w:val="20"/>
          <w:szCs w:val="20"/>
          <w:color w:val="4C4C4E"/>
        </w:rPr>
      </w:pPr>
      <w:r>
        <w:rPr>
          <w:rFonts w:ascii="Times New Roman" w:cs="Times New Roman" w:eastAsia="Times New Roman" w:hAnsi="Times New Roman"/>
          <w:sz w:val="20"/>
          <w:szCs w:val="20"/>
          <w:color w:val="4C4C4E"/>
        </w:rPr>
        <w:t>cash dividends to the holders of our shares.</w:t>
      </w:r>
    </w:p>
    <w:p>
      <w:pPr>
        <w:spacing w:after="0" w:line="239" w:lineRule="exact"/>
        <w:rPr>
          <w:sz w:val="20"/>
          <w:szCs w:val="20"/>
          <w:color w:val="auto"/>
        </w:rPr>
      </w:pPr>
    </w:p>
    <w:p>
      <w:pPr>
        <w:ind w:right="40" w:firstLine="245"/>
        <w:spacing w:after="0" w:line="243" w:lineRule="auto"/>
        <w:rPr>
          <w:sz w:val="20"/>
          <w:szCs w:val="20"/>
          <w:color w:val="auto"/>
        </w:rPr>
      </w:pPr>
      <w:r>
        <w:rPr>
          <w:rFonts w:ascii="Times New Roman" w:cs="Times New Roman" w:eastAsia="Times New Roman" w:hAnsi="Times New Roman"/>
          <w:sz w:val="20"/>
          <w:szCs w:val="20"/>
          <w:color w:val="4C4C4E"/>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cs="Times New Roman" w:eastAsia="Times New Roman" w:hAnsi="Times New Roman"/>
          <w:sz w:val="20"/>
          <w:szCs w:val="20"/>
          <w:i w:val="1"/>
          <w:iCs w:val="1"/>
          <w:color w:val="4C4C4E"/>
        </w:rPr>
        <w:t>Key Components of Our Results of Operations — Leverage</w:t>
      </w:r>
      <w:r>
        <w:rPr>
          <w:rFonts w:ascii="Times New Roman" w:cs="Times New Roman" w:eastAsia="Times New Roman" w:hAnsi="Times New Roman"/>
          <w:sz w:val="20"/>
          <w:szCs w:val="20"/>
          <w:color w:val="4C4C4E"/>
        </w:rPr>
        <w:t>” above. As of December 31, 2025 and December 31, 2024, our asset coverage ratio was 191.5% and 182.5%,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209" w:lineRule="exact"/>
        <w:rPr>
          <w:sz w:val="20"/>
          <w:szCs w:val="20"/>
          <w:color w:val="auto"/>
        </w:rPr>
      </w:pPr>
    </w:p>
    <w:p>
      <w:pPr>
        <w:jc w:val="both"/>
        <w:ind w:right="40" w:firstLine="245"/>
        <w:spacing w:after="0" w:line="258" w:lineRule="auto"/>
        <w:rPr>
          <w:sz w:val="20"/>
          <w:szCs w:val="20"/>
          <w:color w:val="auto"/>
        </w:rPr>
      </w:pPr>
      <w:r>
        <w:rPr>
          <w:rFonts w:ascii="Times New Roman" w:cs="Times New Roman" w:eastAsia="Times New Roman" w:hAnsi="Times New Roman"/>
          <w:sz w:val="20"/>
          <w:szCs w:val="20"/>
          <w:color w:val="4C4C4E"/>
        </w:rPr>
        <w:t>Cash and cash equivalents as of December 31, 2025, taken together with cash available under our credit facilities, is expected to be sufficient for our investing activities and to conduct our operations in the near term. As of December 31, 2025, we had approximately $1.1 billion of availability on our Revolving Credit Facility, subject to asset coverage limitations.</w:t>
      </w:r>
    </w:p>
    <w:p>
      <w:pPr>
        <w:spacing w:after="0" w:line="188"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4C4C4E"/>
        </w:rPr>
        <w:t>As of December 31, 2025, we had $19.7 million in cash and cash equivalents, including $16.7 million of restricted cash. During the year ended December 31, 2025, cash provided by operating activities was $401.6 million, primarily attributable to repayments and proceeds from investments of $1,339.4 million, an increase in net assets resulting from operations of $170.5 million and other operating activity of $9.8 million, which was partially offset by funding portfolio investments of $1,118.1 million. Cash used in financing activities was $409.2 million during the period due to paydowns on our Revolving Credit Facility of $1,567.8 million, dividends paid of $170.3 million and deferred financing costs of $7.3 million, which was partially offset by borrowings of $1,336.2 million.</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77</w:t>
      </w:r>
    </w:p>
    <w:p>
      <w:pPr>
        <w:sectPr>
          <w:pgSz w:w="11880" w:h="15480" w:orient="portrait"/>
          <w:cols w:equalWidth="0" w:num="1">
            <w:col w:w="10780"/>
          </w:cols>
          <w:pgMar w:left="540" w:top="750" w:right="560" w:bottom="0" w:gutter="0" w:footer="0" w:header="0"/>
          <w:type w:val="continuous"/>
        </w:sectPr>
      </w:pPr>
    </w:p>
    <w:bookmarkStart w:id="77" w:name="page78"/>
    <w:bookmarkEnd w:id="77"/>
    <w:p>
      <w:pPr>
        <w:ind w:right="20" w:firstLine="245"/>
        <w:spacing w:after="0" w:line="246" w:lineRule="auto"/>
        <w:rPr>
          <w:sz w:val="20"/>
          <w:szCs w:val="20"/>
          <w:color w:val="auto"/>
        </w:rPr>
      </w:pPr>
      <w:r>
        <w:rPr>
          <w:rFonts w:ascii="Times New Roman" w:cs="Times New Roman" w:eastAsia="Times New Roman" w:hAnsi="Times New Roman"/>
          <w:sz w:val="20"/>
          <w:szCs w:val="20"/>
          <w:color w:val="4C4C4E"/>
        </w:rPr>
        <w:t>As of December 31, 2024, we had $27.3 million in cash and cash equivalents, including $22.4 million of restricted cash. During the year ended December 31, 2024, cash used in operating activities was $45.5 million, primarily attributable to funding portfolio investments of $1,096.1 million, which was partially offset by repayments and proceeds from investments of $863.4 million, an increase in net assets resulting from operations of $186.6 million and other operating activity of $0.7 million. Cash provided by financing activities was $ 47.6 million during the period due to borrowings of $1,784.9 million and proceeds from issuance of common stock, net of offering and underwriting costs of $93.3 million, which was partially offset by paydowns on our Revolving Credit Facility of $1,653.1 million, dividends paid of $168.7 million and deferred financing costs of $8.8 million.</w:t>
      </w:r>
    </w:p>
    <w:p>
      <w:pPr>
        <w:spacing w:after="0" w:line="200" w:lineRule="exact"/>
        <w:rPr>
          <w:sz w:val="20"/>
          <w:szCs w:val="20"/>
          <w:color w:val="auto"/>
        </w:rPr>
      </w:pPr>
    </w:p>
    <w:p>
      <w:pPr>
        <w:ind w:right="20" w:firstLine="245"/>
        <w:spacing w:after="0" w:line="246" w:lineRule="auto"/>
        <w:rPr>
          <w:sz w:val="20"/>
          <w:szCs w:val="20"/>
          <w:color w:val="auto"/>
        </w:rPr>
      </w:pPr>
      <w:r>
        <w:rPr>
          <w:rFonts w:ascii="Times New Roman" w:cs="Times New Roman" w:eastAsia="Times New Roman" w:hAnsi="Times New Roman"/>
          <w:sz w:val="20"/>
          <w:szCs w:val="20"/>
          <w:color w:val="4C4C4E"/>
        </w:rPr>
        <w:t>As of December 31, 2023, we had $25.2 million in cash and cash equivalents, including $24.0 million of restricted cash. During the year ended December 31, 2023, cash used in operating activities was $236.8 million, primarily attributable to funding portfolio investments of $943.5 million and other operating activity of $30.0 million, which was partially offset by repayments and proceeds from investments of $514.7 million and an increase in net assets resulting from operations of $222.0 million. Cash provided by financing activities was $236.3 million during the period due to borrowings of $1,546.2 million and proceeds from issuance of common stock, net of offering and underwriting costs of $89.2 million, which was partially offset by paydowns on our Revolving Credit Facility of $1,233.3 million, dividends paid of $156.4 million and deferred financing costs of $9.4 million.</w:t>
      </w:r>
    </w:p>
    <w:p>
      <w:pPr>
        <w:spacing w:after="0" w:line="200" w:lineRule="exact"/>
        <w:rPr>
          <w:sz w:val="20"/>
          <w:szCs w:val="20"/>
          <w:color w:val="auto"/>
        </w:rPr>
      </w:pPr>
    </w:p>
    <w:p>
      <w:pPr>
        <w:ind w:right="520" w:firstLine="245"/>
        <w:spacing w:after="0" w:line="277" w:lineRule="auto"/>
        <w:rPr>
          <w:sz w:val="20"/>
          <w:szCs w:val="20"/>
          <w:color w:val="auto"/>
        </w:rPr>
      </w:pPr>
      <w:r>
        <w:rPr>
          <w:rFonts w:ascii="Times New Roman" w:cs="Times New Roman" w:eastAsia="Times New Roman" w:hAnsi="Times New Roman"/>
          <w:sz w:val="20"/>
          <w:szCs w:val="20"/>
          <w:color w:val="4C4C4E"/>
        </w:rPr>
        <w:t>As of December 31, 2025, we had $ 16.7 million restricted cash pledged as collateral under our interest rate swap agreements, compared to $22.4 million for the year ended December 31,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Equity</w:t>
      </w:r>
    </w:p>
    <w:p>
      <w:pPr>
        <w:spacing w:after="0" w:line="240"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On March 5, 2024, we issued a total of 4,000,000 shares of common stock at $20.52 per share. Net of underwriting fees and offering costs, we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94" w:lineRule="exact"/>
        <w:rPr>
          <w:sz w:val="20"/>
          <w:szCs w:val="20"/>
          <w:color w:val="auto"/>
        </w:rPr>
      </w:pPr>
    </w:p>
    <w:p>
      <w:pPr>
        <w:ind w:right="480" w:firstLine="245"/>
        <w:spacing w:after="0" w:line="252" w:lineRule="auto"/>
        <w:rPr>
          <w:sz w:val="20"/>
          <w:szCs w:val="20"/>
          <w:color w:val="auto"/>
        </w:rPr>
      </w:pPr>
      <w:r>
        <w:rPr>
          <w:rFonts w:ascii="Times New Roman" w:cs="Times New Roman" w:eastAsia="Times New Roman" w:hAnsi="Times New Roman"/>
          <w:sz w:val="20"/>
          <w:szCs w:val="20"/>
          <w:color w:val="4C4C4E"/>
        </w:rPr>
        <w:t>We are a party to equity distribution agreements with several banks (the “Equity Distribution Agreements”). The Equity Distribution Agreements provide that we may from time to time issue and sell, by means of “at the market” offerings, up to $ 100 million of the Company’s common stock. Under the currently effective Equity Distribution Agreements, common stock with an aggregate offering amount of $100 million remained available for issuance as of December 31, 2025.</w:t>
      </w:r>
    </w:p>
    <w:p>
      <w:pPr>
        <w:spacing w:after="0" w:line="194" w:lineRule="exact"/>
        <w:rPr>
          <w:sz w:val="20"/>
          <w:szCs w:val="20"/>
          <w:color w:val="auto"/>
        </w:rPr>
      </w:pPr>
    </w:p>
    <w:p>
      <w:pPr>
        <w:jc w:val="both"/>
        <w:ind w:right="360" w:firstLine="245"/>
        <w:spacing w:after="0" w:line="258" w:lineRule="auto"/>
        <w:rPr>
          <w:sz w:val="20"/>
          <w:szCs w:val="20"/>
          <w:color w:val="auto"/>
        </w:rPr>
      </w:pPr>
      <w:r>
        <w:rPr>
          <w:rFonts w:ascii="Times New Roman" w:cs="Times New Roman" w:eastAsia="Times New Roman" w:hAnsi="Times New Roman"/>
          <w:sz w:val="20"/>
          <w:szCs w:val="20"/>
          <w:color w:val="4C4C4E"/>
        </w:rPr>
        <w:t>During the years ended December 31, 2025 and December 31, 2024, we issued 1,043,714 and 1,231,937 shares of our common stock, respectively, to investors who have not opted out of our dividend reinvestment plan for proceeds of $22.5 million and $24.7 million, respectively.</w:t>
      </w:r>
    </w:p>
    <w:p>
      <w:pPr>
        <w:spacing w:after="0" w:line="188" w:lineRule="exact"/>
        <w:rPr>
          <w:sz w:val="20"/>
          <w:szCs w:val="20"/>
          <w:color w:val="auto"/>
        </w:rPr>
      </w:pPr>
    </w:p>
    <w:p>
      <w:pPr>
        <w:ind w:right="80" w:firstLine="245"/>
        <w:spacing w:after="0" w:line="246" w:lineRule="auto"/>
        <w:rPr>
          <w:sz w:val="20"/>
          <w:szCs w:val="20"/>
          <w:color w:val="auto"/>
        </w:rPr>
      </w:pPr>
      <w:r>
        <w:rPr>
          <w:rFonts w:ascii="Times New Roman" w:cs="Times New Roman" w:eastAsia="Times New Roman" w:hAnsi="Times New Roman"/>
          <w:sz w:val="20"/>
          <w:szCs w:val="20"/>
          <w:color w:val="4C4C4E"/>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2025 (expiring on May 31, 2026). Under the program, we may repurchase up to $ 50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For the years ended December 31, 2025 and December 31, 2024, no shares were repurchased.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Debt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Revolving Credit Facility</w:t>
      </w:r>
    </w:p>
    <w:p>
      <w:pPr>
        <w:spacing w:after="0" w:line="118" w:lineRule="exact"/>
        <w:rPr>
          <w:sz w:val="20"/>
          <w:szCs w:val="20"/>
          <w:color w:val="auto"/>
        </w:rPr>
      </w:pPr>
    </w:p>
    <w:p>
      <w:pPr>
        <w:ind w:right="340" w:firstLine="245"/>
        <w:spacing w:after="0" w:line="258" w:lineRule="auto"/>
        <w:rPr>
          <w:sz w:val="20"/>
          <w:szCs w:val="20"/>
          <w:color w:val="auto"/>
        </w:rPr>
      </w:pPr>
      <w:r>
        <w:rPr>
          <w:rFonts w:ascii="Times New Roman" w:cs="Times New Roman" w:eastAsia="Times New Roman" w:hAnsi="Times New Roman"/>
          <w:sz w:val="20"/>
          <w:szCs w:val="20"/>
          <w:color w:val="4C4C4E"/>
        </w:rPr>
        <w:t>On August 23, 2012, we entered into a senior secured revolving credit agreement with Truist Bank (as a successor by merger to SunTrust Bank), as administrative agent, and J.P. Morgan Chase Bank, N.A., as a syndication agent, and certain other lenders (as amended and restated, the “Revolving Credit Facility”).</w:t>
      </w:r>
    </w:p>
    <w:p>
      <w:pPr>
        <w:spacing w:after="0" w:line="68" w:lineRule="exact"/>
        <w:rPr>
          <w:sz w:val="20"/>
          <w:szCs w:val="20"/>
          <w:color w:val="auto"/>
        </w:rPr>
      </w:pPr>
    </w:p>
    <w:p>
      <w:pPr>
        <w:jc w:val="both"/>
        <w:ind w:right="120" w:firstLine="245"/>
        <w:spacing w:after="0" w:line="258" w:lineRule="auto"/>
        <w:rPr>
          <w:sz w:val="20"/>
          <w:szCs w:val="20"/>
          <w:color w:val="auto"/>
        </w:rPr>
      </w:pPr>
      <w:r>
        <w:rPr>
          <w:rFonts w:ascii="Times New Roman" w:cs="Times New Roman" w:eastAsia="Times New Roman" w:hAnsi="Times New Roman"/>
          <w:sz w:val="20"/>
          <w:szCs w:val="20"/>
          <w:color w:val="4C4C4E"/>
        </w:rPr>
        <w:t>As of December 31, 2025, aggregate commitments under the Revolving Credit Facility were $1.675 billion. The Revolving Credit Facility includes an uncommitted accordion feature that allows us, under certain circumstances, to increase the size of the Revolving Credit Facility to up to $2.5 billion.</w:t>
      </w:r>
    </w:p>
    <w:p>
      <w:pPr>
        <w:spacing w:after="0" w:line="68" w:lineRule="exact"/>
        <w:rPr>
          <w:sz w:val="20"/>
          <w:szCs w:val="20"/>
          <w:color w:val="auto"/>
        </w:rPr>
      </w:pPr>
    </w:p>
    <w:p>
      <w:pPr>
        <w:jc w:val="both"/>
        <w:ind w:right="60" w:firstLine="245"/>
        <w:spacing w:after="0" w:line="258" w:lineRule="auto"/>
        <w:rPr>
          <w:sz w:val="20"/>
          <w:szCs w:val="20"/>
          <w:color w:val="auto"/>
        </w:rPr>
      </w:pPr>
      <w:r>
        <w:rPr>
          <w:rFonts w:ascii="Times New Roman" w:cs="Times New Roman" w:eastAsia="Times New Roman" w:hAnsi="Times New Roman"/>
          <w:sz w:val="20"/>
          <w:szCs w:val="20"/>
          <w:color w:val="4C4C4E"/>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w:t>
      </w:r>
    </w:p>
    <w:p>
      <w:pPr>
        <w:sectPr>
          <w:pgSz w:w="11880" w:h="15480" w:orient="portrait"/>
          <w:cols w:equalWidth="0" w:num="1">
            <w:col w:w="10800"/>
          </w:cols>
          <w:pgMar w:left="540" w:top="750" w:right="540" w:bottom="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78</w:t>
      </w:r>
    </w:p>
    <w:p>
      <w:pPr>
        <w:sectPr>
          <w:pgSz w:w="11880" w:h="15480" w:orient="portrait"/>
          <w:cols w:equalWidth="0" w:num="1">
            <w:col w:w="10800"/>
          </w:cols>
          <w:pgMar w:left="540" w:top="750" w:right="540" w:bottom="0" w:gutter="0" w:footer="0" w:header="0"/>
          <w:type w:val="continuous"/>
        </w:sectPr>
      </w:pPr>
    </w:p>
    <w:bookmarkStart w:id="78" w:name="page79"/>
    <w:bookmarkEnd w:id="78"/>
    <w:p>
      <w:pPr>
        <w:ind w:right="360"/>
        <w:spacing w:after="0" w:line="277" w:lineRule="auto"/>
        <w:rPr>
          <w:sz w:val="20"/>
          <w:szCs w:val="20"/>
          <w:color w:val="auto"/>
        </w:rPr>
      </w:pPr>
      <w:r>
        <w:rPr>
          <w:rFonts w:ascii="Times New Roman" w:cs="Times New Roman" w:eastAsia="Times New Roman" w:hAnsi="Times New Roman"/>
          <w:sz w:val="20"/>
          <w:szCs w:val="20"/>
          <w:color w:val="4C4C4E"/>
        </w:rPr>
        <w:t>ended on February 4, 2025 and the stated maturity is February 4, 2026 and (B) with respect to $170.0 million of commitments, the revolving period ends April 24, 2026 and the stated maturity is April 23, 2027.</w:t>
      </w:r>
    </w:p>
    <w:p>
      <w:pPr>
        <w:spacing w:after="0" w:line="49" w:lineRule="exact"/>
        <w:rPr>
          <w:sz w:val="20"/>
          <w:szCs w:val="20"/>
          <w:color w:val="auto"/>
        </w:rPr>
      </w:pPr>
    </w:p>
    <w:p>
      <w:pPr>
        <w:ind w:right="220" w:firstLine="245"/>
        <w:spacing w:after="0" w:line="252" w:lineRule="auto"/>
        <w:rPr>
          <w:sz w:val="20"/>
          <w:szCs w:val="20"/>
          <w:color w:val="auto"/>
        </w:rPr>
      </w:pPr>
      <w:r>
        <w:rPr>
          <w:rFonts w:ascii="Times New Roman" w:cs="Times New Roman" w:eastAsia="Times New Roman" w:hAnsi="Times New Roman"/>
          <w:sz w:val="20"/>
          <w:szCs w:val="20"/>
          <w:color w:val="4C4C4E"/>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spacing w:after="0" w:line="74"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4C4C4E"/>
        </w:rPr>
        <w:t>We may borrow amounts in U.S. dollars or certain other permitted currencies. As of December 31, 2025, we had outstanding debt denominated in Australian dollars (AUD) of 3.0 million, British pounds (GBP) of 48.5 million, Canadian dollars (CAD) of 5.0 million, Swedish Krona (SEK) of 218.0 million and Euro (EUR) of 245.9 million on our Revolving Credit Facility, included in the Outstanding Principal amount in the table below. As of December 31, 2024, we had outstanding debt denominated in Australian dollars (AUD) of 63.0 million, British pounds (GBP) of 62.4 million, Canadian dollars (CAD) of 5.0 million, Swedish Krona (SEK) of 80.2 million and Euro (EUR) of 167.2 million on our Revolving Credit Facility, included in the Outstanding Principal amount in the table below.</w:t>
      </w:r>
    </w:p>
    <w:p>
      <w:pPr>
        <w:spacing w:after="0" w:line="80"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4C4C4E"/>
        </w:rPr>
        <w:t>The Revolving Credit Facility also provides for the issuance of letters of credit up to an aggregate amount of $75 million. As of December 31, 2025 and December 31, 2024 we had $21.7 million and $21.8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74" w:lineRule="exact"/>
        <w:rPr>
          <w:sz w:val="20"/>
          <w:szCs w:val="20"/>
          <w:color w:val="auto"/>
        </w:rPr>
      </w:pPr>
    </w:p>
    <w:p>
      <w:pPr>
        <w:ind w:firstLine="245"/>
        <w:spacing w:after="0" w:line="243" w:lineRule="auto"/>
        <w:rPr>
          <w:sz w:val="20"/>
          <w:szCs w:val="20"/>
          <w:color w:val="auto"/>
        </w:rPr>
      </w:pPr>
      <w:r>
        <w:rPr>
          <w:rFonts w:ascii="Times New Roman" w:cs="Times New Roman" w:eastAsia="Times New Roman" w:hAnsi="Times New Roman"/>
          <w:sz w:val="20"/>
          <w:szCs w:val="20"/>
          <w:color w:val="4C4C4E"/>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of the time of drawdown, and loans may be converted from one rate to another at any time, subject to certain conditions. We also pay a fee of 0.325% on undrawn amounts and, in respect of each undrawn letter of credit, a fee and interest rate equal to the then applicable margin while the letter of credit is outstanding.</w:t>
      </w:r>
    </w:p>
    <w:p>
      <w:pPr>
        <w:spacing w:after="0" w:line="86"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4C4C4E"/>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74" w:lineRule="exact"/>
        <w:rPr>
          <w:sz w:val="20"/>
          <w:szCs w:val="20"/>
          <w:color w:val="auto"/>
        </w:rPr>
      </w:pPr>
    </w:p>
    <w:p>
      <w:pPr>
        <w:jc w:val="both"/>
        <w:ind w:right="500" w:firstLine="245"/>
        <w:spacing w:after="0" w:line="258" w:lineRule="auto"/>
        <w:rPr>
          <w:sz w:val="20"/>
          <w:szCs w:val="20"/>
          <w:color w:val="auto"/>
        </w:rPr>
      </w:pPr>
      <w:r>
        <w:rPr>
          <w:rFonts w:ascii="Times New Roman" w:cs="Times New Roman" w:eastAsia="Times New Roman" w:hAnsi="Times New Roman"/>
          <w:sz w:val="20"/>
          <w:szCs w:val="20"/>
          <w:color w:val="4C4C4E"/>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spacing w:after="0" w:line="83" w:lineRule="exact"/>
        <w:rPr>
          <w:sz w:val="20"/>
          <w:szCs w:val="20"/>
          <w:color w:val="auto"/>
        </w:rPr>
      </w:pPr>
    </w:p>
    <w:p>
      <w:pPr>
        <w:ind w:left="500" w:hanging="255"/>
        <w:spacing w:after="0"/>
        <w:tabs>
          <w:tab w:leader="none" w:pos="500" w:val="left"/>
        </w:tabs>
        <w:numPr>
          <w:ilvl w:val="0"/>
          <w:numId w:val="59"/>
        </w:numPr>
        <w:rPr>
          <w:rFonts w:ascii="Arial" w:cs="Arial" w:eastAsia="Arial" w:hAnsi="Arial"/>
          <w:sz w:val="20"/>
          <w:szCs w:val="20"/>
          <w:color w:val="4C4C4E"/>
        </w:rPr>
      </w:pPr>
      <w:r>
        <w:rPr>
          <w:rFonts w:ascii="Times New Roman" w:cs="Times New Roman" w:eastAsia="Times New Roman" w:hAnsi="Times New Roman"/>
          <w:sz w:val="20"/>
          <w:szCs w:val="20"/>
          <w:color w:val="4C4C4E"/>
        </w:rPr>
        <w:t>an asset coverage ratio of no less than 2 to 1 on the last day of any fiscal quarter;</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59"/>
        </w:numPr>
        <w:rPr>
          <w:rFonts w:ascii="Arial" w:cs="Arial" w:eastAsia="Arial" w:hAnsi="Arial"/>
          <w:sz w:val="20"/>
          <w:szCs w:val="20"/>
          <w:color w:val="4C4C4E"/>
        </w:rPr>
      </w:pPr>
      <w:r>
        <w:rPr>
          <w:rFonts w:ascii="Times New Roman" w:cs="Times New Roman" w:eastAsia="Times New Roman" w:hAnsi="Times New Roman"/>
          <w:sz w:val="20"/>
          <w:szCs w:val="20"/>
          <w:color w:val="4C4C4E"/>
        </w:rPr>
        <w:t>stockholders’ equity of at least $650 million plus 25% of the net proceeds of the sale of equity interests after April 24, 2024; and</w:t>
      </w:r>
    </w:p>
    <w:p>
      <w:pPr>
        <w:spacing w:after="0" w:line="133" w:lineRule="exact"/>
        <w:rPr>
          <w:rFonts w:ascii="Arial" w:cs="Arial" w:eastAsia="Arial" w:hAnsi="Arial"/>
          <w:sz w:val="20"/>
          <w:szCs w:val="20"/>
          <w:color w:val="4C4C4E"/>
        </w:rPr>
      </w:pPr>
    </w:p>
    <w:p>
      <w:pPr>
        <w:ind w:left="500" w:right="60" w:hanging="255"/>
        <w:spacing w:after="0" w:line="252" w:lineRule="auto"/>
        <w:tabs>
          <w:tab w:leader="none" w:pos="500" w:val="left"/>
        </w:tabs>
        <w:numPr>
          <w:ilvl w:val="0"/>
          <w:numId w:val="59"/>
        </w:numPr>
        <w:rPr>
          <w:rFonts w:ascii="Arial" w:cs="Arial" w:eastAsia="Arial" w:hAnsi="Arial"/>
          <w:sz w:val="20"/>
          <w:szCs w:val="20"/>
          <w:color w:val="4C4C4E"/>
        </w:rPr>
      </w:pPr>
      <w:r>
        <w:rPr>
          <w:rFonts w:ascii="Times New Roman" w:cs="Times New Roman" w:eastAsia="Times New Roman" w:hAnsi="Times New Roman"/>
          <w:sz w:val="20"/>
          <w:szCs w:val="20"/>
          <w:color w:val="4C4C4E"/>
        </w:rPr>
        <w:t>minimum asset coverage ratio of no less than 1.5 to 1 with respect to (i) the consolidated assets of our and our subsidiary’s guarantors (including certain limitations on the contribution of equity in financing subsidiaries) to (ii) the secured debt of our and our subsidiary’s guarantors plus unsecured senior securities of our and our subsidiary guarantors that mature within 90 days of the date of determination (the “Obligor Asset Coverage Ratio”).</w:t>
      </w:r>
    </w:p>
    <w:p>
      <w:pPr>
        <w:spacing w:after="0" w:line="73" w:lineRule="exact"/>
        <w:rPr>
          <w:sz w:val="20"/>
          <w:szCs w:val="20"/>
          <w:color w:val="auto"/>
        </w:rPr>
      </w:pPr>
    </w:p>
    <w:p>
      <w:pPr>
        <w:ind w:right="700" w:firstLine="245"/>
        <w:spacing w:after="0" w:line="277" w:lineRule="auto"/>
        <w:rPr>
          <w:sz w:val="20"/>
          <w:szCs w:val="20"/>
          <w:color w:val="auto"/>
        </w:rPr>
      </w:pPr>
      <w:r>
        <w:rPr>
          <w:rFonts w:ascii="Times New Roman" w:cs="Times New Roman" w:eastAsia="Times New Roman" w:hAnsi="Times New Roman"/>
          <w:sz w:val="20"/>
          <w:szCs w:val="20"/>
          <w:color w:val="4C4C4E"/>
        </w:rPr>
        <w:t>The Revolving Credit Facility also contains certain additional concentration limits in connection with the calculation of the borrowing base, based on the Obligor Asset Coverage Ratio.</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Net proceeds received from the issuance of the 2030 Notes were used to pay down borrowings on the Revolving Credit Facility.</w:t>
      </w:r>
    </w:p>
    <w:p>
      <w:pPr>
        <w:spacing w:after="0" w:line="120" w:lineRule="exact"/>
        <w:rPr>
          <w:sz w:val="20"/>
          <w:szCs w:val="20"/>
          <w:color w:val="auto"/>
        </w:rPr>
      </w:pPr>
    </w:p>
    <w:p>
      <w:pPr>
        <w:ind w:right="680" w:firstLine="245"/>
        <w:spacing w:after="0" w:line="277" w:lineRule="auto"/>
        <w:rPr>
          <w:sz w:val="20"/>
          <w:szCs w:val="20"/>
          <w:color w:val="auto"/>
        </w:rPr>
      </w:pPr>
      <w:r>
        <w:rPr>
          <w:rFonts w:ascii="Times New Roman" w:cs="Times New Roman" w:eastAsia="Times New Roman" w:hAnsi="Times New Roman"/>
          <w:sz w:val="20"/>
          <w:szCs w:val="20"/>
          <w:color w:val="4C4C4E"/>
        </w:rPr>
        <w:t>As of December 31, 2025 and December 31, 2024, the Company was in compliance with the terms of the Revolving Credit Facility.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2023 Notes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 January 2018, we issued $150.0 million aggregate principal amount of unsecured notes that matured on January 22, 2023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“2023 Notes”). The principal amount of the 2023 Notes was payable at maturity. The 2023 Notes bore interest at a rate of 4.50% per</w:t>
      </w:r>
    </w:p>
    <w:p>
      <w:pPr>
        <w:spacing w:after="0"/>
        <w:rPr>
          <w:sz w:val="20"/>
          <w:szCs w:val="20"/>
          <w:color w:val="auto"/>
        </w:rPr>
      </w:pPr>
      <w:r>
        <w:rPr>
          <w:rFonts w:ascii="Times New Roman" w:cs="Times New Roman" w:eastAsia="Times New Roman" w:hAnsi="Times New Roman"/>
          <w:sz w:val="20"/>
          <w:szCs w:val="20"/>
          <w:color w:val="4C4C4E"/>
        </w:rPr>
        <w:t>year, payable semi-annually commencing on July 22, 2018, and were redeemable in whole or in part at our option at any time at par</w:t>
      </w:r>
    </w:p>
    <w:p>
      <w:pPr>
        <w:sectPr>
          <w:pgSz w:w="11880" w:h="15480" w:orient="portrait"/>
          <w:cols w:equalWidth="0" w:num="1">
            <w:col w:w="10800"/>
          </w:cols>
          <w:pgMar w:left="540" w:top="750" w:right="540" w:bottom="0" w:gutter="0" w:footer="0" w:header="0"/>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79</w:t>
      </w:r>
    </w:p>
    <w:p>
      <w:pPr>
        <w:sectPr>
          <w:pgSz w:w="11880" w:h="15480" w:orient="portrait"/>
          <w:cols w:equalWidth="0" w:num="1">
            <w:col w:w="10800"/>
          </w:cols>
          <w:pgMar w:left="540" w:top="750" w:right="540" w:bottom="0" w:gutter="0" w:footer="0" w:header="0"/>
          <w:type w:val="continuous"/>
        </w:sectPr>
      </w:pPr>
    </w:p>
    <w:bookmarkStart w:id="79" w:name="page80"/>
    <w:bookmarkEnd w:id="79"/>
    <w:p>
      <w:pPr>
        <w:ind w:right="120"/>
        <w:spacing w:after="0" w:line="252" w:lineRule="auto"/>
        <w:rPr>
          <w:sz w:val="20"/>
          <w:szCs w:val="20"/>
          <w:color w:val="auto"/>
        </w:rPr>
      </w:pPr>
      <w:r>
        <w:rPr>
          <w:rFonts w:ascii="Times New Roman" w:cs="Times New Roman" w:eastAsia="Times New Roman" w:hAnsi="Times New Roman"/>
          <w:sz w:val="20"/>
          <w:szCs w:val="20"/>
          <w:color w:val="4C4C4E"/>
        </w:rPr>
        <w:t>plus a “make whole” premium. 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2024 Notes</w:t>
      </w:r>
    </w:p>
    <w:p>
      <w:pPr>
        <w:spacing w:after="0" w:line="118"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4C4C4E"/>
        </w:rPr>
        <w:t>In November 2019, we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8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4C4C4E"/>
        </w:rPr>
        <w:t>In February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77" w:lineRule="exact"/>
        <w:rPr>
          <w:sz w:val="20"/>
          <w:szCs w:val="20"/>
          <w:color w:val="auto"/>
        </w:rPr>
      </w:pPr>
    </w:p>
    <w:p>
      <w:pPr>
        <w:ind w:right="140" w:firstLine="245"/>
        <w:spacing w:after="0" w:line="258" w:lineRule="auto"/>
        <w:rPr>
          <w:sz w:val="20"/>
          <w:szCs w:val="20"/>
          <w:color w:val="auto"/>
        </w:rPr>
      </w:pPr>
      <w:r>
        <w:rPr>
          <w:rFonts w:ascii="Times New Roman" w:cs="Times New Roman" w:eastAsia="Times New Roman" w:hAnsi="Times New Roman"/>
          <w:sz w:val="20"/>
          <w:szCs w:val="20"/>
          <w:color w:val="4C4C4E"/>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w:t>
      </w:r>
    </w:p>
    <w:p>
      <w:pPr>
        <w:spacing w:after="0" w:line="68" w:lineRule="exact"/>
        <w:rPr>
          <w:sz w:val="20"/>
          <w:szCs w:val="20"/>
          <w:color w:val="auto"/>
        </w:rPr>
      </w:pPr>
    </w:p>
    <w:p>
      <w:pPr>
        <w:ind w:right="440" w:firstLine="245"/>
        <w:spacing w:after="0" w:line="277" w:lineRule="auto"/>
        <w:rPr>
          <w:sz w:val="20"/>
          <w:szCs w:val="20"/>
          <w:color w:val="auto"/>
        </w:rPr>
      </w:pPr>
      <w:r>
        <w:rPr>
          <w:rFonts w:ascii="Times New Roman" w:cs="Times New Roman" w:eastAsia="Times New Roman" w:hAnsi="Times New Roman"/>
          <w:sz w:val="20"/>
          <w:szCs w:val="20"/>
          <w:color w:val="4C4C4E"/>
        </w:rPr>
        <w:t>The 2024 Notes matured on November 1, 2024 and were fully repaid. The corresponding swap transaction associated with the issuance of the 2024 Notes also matured on November 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2026 Notes</w:t>
      </w:r>
    </w:p>
    <w:p>
      <w:pPr>
        <w:spacing w:after="0" w:line="118"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4C4C4E"/>
        </w:rPr>
        <w:t>In February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 connection with the issuance of the 2026 Notes, we entered into an interest rate swap to align the interest rates of our liabilities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with our investment portfolio, which consists of predominately floating rate loans. The notional amount of the interest rate swap is</w:t>
      </w:r>
    </w:p>
    <w:p>
      <w:pPr>
        <w:spacing w:after="0"/>
        <w:rPr>
          <w:sz w:val="20"/>
          <w:szCs w:val="20"/>
          <w:color w:val="auto"/>
        </w:rPr>
      </w:pPr>
      <w:r>
        <w:rPr>
          <w:rFonts w:ascii="Times New Roman" w:cs="Times New Roman" w:eastAsia="Times New Roman" w:hAnsi="Times New Roman"/>
          <w:sz w:val="20"/>
          <w:szCs w:val="20"/>
          <w:color w:val="4C4C4E"/>
        </w:rPr>
        <w:t>$300.0 million, which matures on August 1, 2026, matching the maturity date of the 2026 Notes. As a result of the swap, our effective</w:t>
      </w:r>
    </w:p>
    <w:p>
      <w:pPr>
        <w:spacing w:after="0"/>
        <w:rPr>
          <w:sz w:val="20"/>
          <w:szCs w:val="20"/>
          <w:color w:val="auto"/>
        </w:rPr>
      </w:pPr>
      <w:r>
        <w:rPr>
          <w:rFonts w:ascii="Times New Roman" w:cs="Times New Roman" w:eastAsia="Times New Roman" w:hAnsi="Times New Roman"/>
          <w:sz w:val="20"/>
          <w:szCs w:val="20"/>
          <w:color w:val="4C4C4E"/>
        </w:rPr>
        <w:t>interest rate on the 2026 Notes is SOFR plus 2.17%. The interest expense related to the 2026 Notes is offset by proceeds received</w:t>
      </w:r>
    </w:p>
    <w:p>
      <w:pPr>
        <w:spacing w:after="0"/>
        <w:rPr>
          <w:sz w:val="20"/>
          <w:szCs w:val="20"/>
          <w:color w:val="auto"/>
        </w:rPr>
      </w:pPr>
      <w:r>
        <w:rPr>
          <w:rFonts w:ascii="Times New Roman" w:cs="Times New Roman" w:eastAsia="Times New Roman" w:hAnsi="Times New Roman"/>
          <w:sz w:val="20"/>
          <w:szCs w:val="20"/>
          <w:color w:val="4C4C4E"/>
        </w:rPr>
        <w:t>from the interest rate swaps designated as a hedge. The swap adjusted interest expense is included as a component of interest expense</w:t>
      </w:r>
    </w:p>
    <w:p>
      <w:pPr>
        <w:spacing w:after="0"/>
        <w:rPr>
          <w:sz w:val="20"/>
          <w:szCs w:val="20"/>
          <w:color w:val="auto"/>
        </w:rPr>
      </w:pPr>
      <w:r>
        <w:rPr>
          <w:rFonts w:ascii="Times New Roman" w:cs="Times New Roman" w:eastAsia="Times New Roman" w:hAnsi="Times New Roman"/>
          <w:sz w:val="20"/>
          <w:szCs w:val="20"/>
          <w:color w:val="4C4C4E"/>
        </w:rPr>
        <w:t>on our Consolidated Statements of Operations. As of December 31, 2025 and December 31, 2024, the effective hedge interest rate</w:t>
      </w:r>
    </w:p>
    <w:p>
      <w:pPr>
        <w:spacing w:after="0"/>
        <w:rPr>
          <w:sz w:val="20"/>
          <w:szCs w:val="20"/>
          <w:color w:val="auto"/>
        </w:rPr>
      </w:pPr>
      <w:r>
        <w:rPr>
          <w:rFonts w:ascii="Times New Roman" w:cs="Times New Roman" w:eastAsia="Times New Roman" w:hAnsi="Times New Roman"/>
          <w:sz w:val="20"/>
          <w:szCs w:val="20"/>
          <w:color w:val="4C4C4E"/>
        </w:rPr>
        <w:t>swaps had a fair value of $(5.8) million and $(17.6) million, respectively, which is offset within interest expense by an equal, but</w:t>
      </w:r>
    </w:p>
    <w:p>
      <w:pPr>
        <w:spacing w:after="0"/>
        <w:rPr>
          <w:sz w:val="20"/>
          <w:szCs w:val="20"/>
          <w:color w:val="auto"/>
        </w:rPr>
      </w:pPr>
      <w:r>
        <w:rPr>
          <w:rFonts w:ascii="Times New Roman" w:cs="Times New Roman" w:eastAsia="Times New Roman" w:hAnsi="Times New Roman"/>
          <w:sz w:val="20"/>
          <w:szCs w:val="20"/>
          <w:color w:val="4C4C4E"/>
        </w:rPr>
        <w:t>opposite, fair value change for the hedged risk on the 2026 Notes.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2028 Notes</w:t>
      </w:r>
    </w:p>
    <w:p>
      <w:pPr>
        <w:spacing w:after="0" w:line="118"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4C4C4E"/>
        </w:rPr>
        <w:t>In August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spacing w:after="0" w:line="200" w:lineRule="exact"/>
        <w:rPr>
          <w:sz w:val="20"/>
          <w:szCs w:val="20"/>
          <w:color w:val="auto"/>
        </w:rPr>
      </w:pPr>
    </w:p>
    <w:p>
      <w:pPr>
        <w:ind w:right="20" w:firstLine="245"/>
        <w:spacing w:after="0" w:line="263" w:lineRule="auto"/>
        <w:rPr>
          <w:sz w:val="20"/>
          <w:szCs w:val="20"/>
          <w:color w:val="auto"/>
        </w:rPr>
      </w:pPr>
      <w:r>
        <w:rPr>
          <w:rFonts w:ascii="Times New Roman" w:cs="Times New Roman" w:eastAsia="Times New Roman" w:hAnsi="Times New Roman"/>
          <w:sz w:val="19"/>
          <w:szCs w:val="19"/>
          <w:color w:val="4C4C4E"/>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13,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our Consolidated Statements of Operations. As of December 31, 2025 and December 31, 2024, the effective hedge interest</w:t>
      </w:r>
    </w:p>
    <w:p>
      <w:pPr>
        <w:sectPr>
          <w:pgSz w:w="11880" w:h="15480" w:orient="portrait"/>
          <w:cols w:equalWidth="0" w:num="1">
            <w:col w:w="10780"/>
          </w:cols>
          <w:pgMar w:left="540" w:top="750" w:right="560" w:bottom="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80</w:t>
      </w:r>
    </w:p>
    <w:p>
      <w:pPr>
        <w:sectPr>
          <w:pgSz w:w="11880" w:h="15480" w:orient="portrait"/>
          <w:cols w:equalWidth="0" w:num="1">
            <w:col w:w="10780"/>
          </w:cols>
          <w:pgMar w:left="540" w:top="750" w:right="560" w:bottom="0" w:gutter="0" w:footer="0" w:header="0"/>
          <w:type w:val="continuous"/>
        </w:sectPr>
      </w:pPr>
    </w:p>
    <w:bookmarkStart w:id="80" w:name="page81"/>
    <w:bookmarkEnd w:id="80"/>
    <w:p>
      <w:pPr>
        <w:ind w:right="320"/>
        <w:spacing w:after="0" w:line="277" w:lineRule="auto"/>
        <w:rPr>
          <w:sz w:val="20"/>
          <w:szCs w:val="20"/>
          <w:color w:val="auto"/>
        </w:rPr>
      </w:pPr>
      <w:r>
        <w:rPr>
          <w:rFonts w:ascii="Times New Roman" w:cs="Times New Roman" w:eastAsia="Times New Roman" w:hAnsi="Times New Roman"/>
          <w:sz w:val="20"/>
          <w:szCs w:val="20"/>
          <w:color w:val="4C4C4E"/>
        </w:rPr>
        <w:t>rate swaps had a fair value of $4.5 million and $(1.4) million, respectively, which is offset within interest expense by an equal, but opposite, fair value change for the hedged risk on the 2028 Notes.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2029 Notes</w:t>
      </w:r>
    </w:p>
    <w:p>
      <w:pPr>
        <w:spacing w:after="0" w:line="118"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In January 2024,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$341.6 million. We used the net proceeds of the 2029 Notes to repay outstanding indebtedness under the Revolving Credit Facility.</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 connection with the issuance of the 2029 Notes, we entered into an interest rate swap to align the interest rates of its liabilities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with our investment portfolio, which consists of predominately floating rate loans. The notional amount of the interest rate swap is</w:t>
      </w:r>
    </w:p>
    <w:p>
      <w:pPr>
        <w:spacing w:after="0"/>
        <w:rPr>
          <w:sz w:val="20"/>
          <w:szCs w:val="20"/>
          <w:color w:val="auto"/>
        </w:rPr>
      </w:pPr>
      <w:r>
        <w:rPr>
          <w:rFonts w:ascii="Times New Roman" w:cs="Times New Roman" w:eastAsia="Times New Roman" w:hAnsi="Times New Roman"/>
          <w:sz w:val="20"/>
          <w:szCs w:val="20"/>
          <w:color w:val="4C4C4E"/>
        </w:rPr>
        <w:t>$350.0 million, which matures on March 1, 2029, matching the maturity date of the 2029 Notes. As a result of the swap, our effective</w:t>
      </w:r>
    </w:p>
    <w:p>
      <w:pPr>
        <w:spacing w:after="0"/>
        <w:rPr>
          <w:sz w:val="20"/>
          <w:szCs w:val="20"/>
          <w:color w:val="auto"/>
        </w:rPr>
      </w:pPr>
      <w:r>
        <w:rPr>
          <w:rFonts w:ascii="Times New Roman" w:cs="Times New Roman" w:eastAsia="Times New Roman" w:hAnsi="Times New Roman"/>
          <w:sz w:val="20"/>
          <w:szCs w:val="20"/>
          <w:color w:val="4C4C4E"/>
        </w:rPr>
        <w:t>interest rate on the 2029 Notes is SOFR plus 2.44%. The interest expense related to the 2029 Notes is offset by proceeds received</w:t>
      </w:r>
    </w:p>
    <w:p>
      <w:pPr>
        <w:spacing w:after="0"/>
        <w:rPr>
          <w:sz w:val="20"/>
          <w:szCs w:val="20"/>
          <w:color w:val="auto"/>
        </w:rPr>
      </w:pPr>
      <w:r>
        <w:rPr>
          <w:rFonts w:ascii="Times New Roman" w:cs="Times New Roman" w:eastAsia="Times New Roman" w:hAnsi="Times New Roman"/>
          <w:sz w:val="20"/>
          <w:szCs w:val="20"/>
          <w:color w:val="4C4C4E"/>
        </w:rPr>
        <w:t>from the interest rate swaps designated as a hedge. The swap adjusted interest expense is included as a component of interest expense</w:t>
      </w:r>
    </w:p>
    <w:p>
      <w:pPr>
        <w:spacing w:after="0"/>
        <w:rPr>
          <w:sz w:val="20"/>
          <w:szCs w:val="20"/>
          <w:color w:val="auto"/>
        </w:rPr>
      </w:pPr>
      <w:r>
        <w:rPr>
          <w:rFonts w:ascii="Times New Roman" w:cs="Times New Roman" w:eastAsia="Times New Roman" w:hAnsi="Times New Roman"/>
          <w:sz w:val="20"/>
          <w:szCs w:val="20"/>
          <w:color w:val="4C4C4E"/>
        </w:rPr>
        <w:t>on our Consolidated Statements of Operations. As of December 31, 2025 and December 31, 2024 the effective hedge interest rate</w:t>
      </w:r>
    </w:p>
    <w:p>
      <w:pPr>
        <w:spacing w:after="0"/>
        <w:rPr>
          <w:sz w:val="20"/>
          <w:szCs w:val="20"/>
          <w:color w:val="auto"/>
        </w:rPr>
      </w:pPr>
      <w:r>
        <w:rPr>
          <w:rFonts w:ascii="Times New Roman" w:cs="Times New Roman" w:eastAsia="Times New Roman" w:hAnsi="Times New Roman"/>
          <w:sz w:val="20"/>
          <w:szCs w:val="20"/>
          <w:color w:val="4C4C4E"/>
        </w:rPr>
        <w:t>swaps had a fair value of $3.3 million and $(5.2) million, respectively, which is offset within interest expense by an equal, but</w:t>
      </w:r>
    </w:p>
    <w:p>
      <w:pPr>
        <w:spacing w:after="0"/>
        <w:rPr>
          <w:sz w:val="20"/>
          <w:szCs w:val="20"/>
          <w:color w:val="auto"/>
        </w:rPr>
      </w:pPr>
      <w:r>
        <w:rPr>
          <w:rFonts w:ascii="Times New Roman" w:cs="Times New Roman" w:eastAsia="Times New Roman" w:hAnsi="Times New Roman"/>
          <w:sz w:val="20"/>
          <w:szCs w:val="20"/>
          <w:color w:val="4C4C4E"/>
        </w:rPr>
        <w:t>opposite, fair value change for the hedged risk on the 2029 Notes.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2030 Notes</w:t>
      </w:r>
    </w:p>
    <w:p>
      <w:pPr>
        <w:spacing w:after="0" w:line="118"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4C4C4E"/>
        </w:rPr>
        <w:t>In February 2025, we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We used the net proceeds of the 2030 Notes to repay outstanding indebtedness under the Revolving Credit Facility.</w:t>
      </w:r>
    </w:p>
    <w:p>
      <w:pPr>
        <w:spacing w:after="0" w:line="200" w:lineRule="exact"/>
        <w:rPr>
          <w:sz w:val="20"/>
          <w:szCs w:val="20"/>
          <w:color w:val="auto"/>
        </w:rPr>
      </w:pPr>
    </w:p>
    <w:p>
      <w:pPr>
        <w:ind w:right="40" w:firstLine="245"/>
        <w:spacing w:after="0" w:line="245" w:lineRule="auto"/>
        <w:rPr>
          <w:sz w:val="20"/>
          <w:szCs w:val="20"/>
          <w:color w:val="auto"/>
        </w:rPr>
      </w:pPr>
      <w:r>
        <w:rPr>
          <w:rFonts w:ascii="Times New Roman" w:cs="Times New Roman" w:eastAsia="Times New Roman" w:hAnsi="Times New Roman"/>
          <w:sz w:val="20"/>
          <w:szCs w:val="20"/>
          <w:color w:val="4C4C4E"/>
        </w:rPr>
        <w:t>In connection with the issuance of the 2030 Notes, we entered into an interest rate swap to align the interest rates of its liabilities with our investment portfolio, which consists of predominately floating rate loans. The notional amount of the interest rate swap is $300.0 million, which matures on August 15, 2030, matching the maturity date of the 2030 Notes. As a result of the swap, our effective interest rate on the 2030 Notes is SOFR plus 1.53%. The interest expense related to the 2030 Notes is offset by proceeds received from the interest rate swaps designated as a hedge. The swap adjusted interest expense is included as a component of interest expense on our Consolidated Statements of Operations. As of December 31, 2025, the effective hedge interest rate swaps had a fair value of $8.3 million which is offset within interest expense by an equal, but opposite, fair value change for the hedged risk on the 2030 Notes.</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Debt obligations consisted of the following as of December 31, 2025 and December 31, 2024:</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jc w:val="right"/>
              <w:ind w:right="765"/>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7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rPr>
              <w:t>Aggregate Principal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4C4C4E"/>
              </w:rPr>
              <w:t>Outstanding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4C4C4E"/>
              </w:rPr>
              <w:t>Amount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4C4C4E"/>
              </w:rPr>
              <w:t>Carrying</w:t>
            </w:r>
          </w:p>
        </w:tc>
        <w:tc>
          <w:tcPr>
            <w:tcW w:w="80" w:type="dxa"/>
            <w:vAlign w:val="bottom"/>
          </w:tcPr>
          <w:p>
            <w:pPr>
              <w:spacing w:after="0"/>
              <w:rPr>
                <w:sz w:val="17"/>
                <w:szCs w:val="17"/>
                <w:color w:val="auto"/>
              </w:rPr>
            </w:pPr>
          </w:p>
        </w:tc>
      </w:tr>
      <w:tr>
        <w:trPr>
          <w:trHeight w:val="203"/>
        </w:trPr>
        <w:tc>
          <w:tcPr>
            <w:tcW w:w="374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1460" w:type="dxa"/>
            <w:vAlign w:val="bottom"/>
            <w:tcBorders>
              <w:bottom w:val="single" w:sz="8" w:color="4C4C4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rPr>
              <w:t>Amount Committed</w:t>
            </w:r>
          </w:p>
        </w:tc>
        <w:tc>
          <w:tcPr>
            <w:tcW w:w="220" w:type="dxa"/>
            <w:vAlign w:val="bottom"/>
            <w:tcBorders>
              <w:bottom w:val="single" w:sz="8" w:color="D8EEF4"/>
            </w:tcBorders>
          </w:tcPr>
          <w:p>
            <w:pPr>
              <w:spacing w:after="0"/>
              <w:rPr>
                <w:sz w:val="17"/>
                <w:szCs w:val="17"/>
                <w:color w:val="auto"/>
              </w:rPr>
            </w:pPr>
          </w:p>
        </w:tc>
        <w:tc>
          <w:tcPr>
            <w:tcW w:w="160" w:type="dxa"/>
            <w:vAlign w:val="bottom"/>
            <w:tcBorders>
              <w:bottom w:val="single" w:sz="8" w:color="4C4C4E"/>
            </w:tcBorders>
          </w:tcPr>
          <w:p>
            <w:pPr>
              <w:spacing w:after="0"/>
              <w:rPr>
                <w:sz w:val="17"/>
                <w:szCs w:val="17"/>
                <w:color w:val="auto"/>
              </w:rPr>
            </w:pPr>
          </w:p>
        </w:tc>
        <w:tc>
          <w:tcPr>
            <w:tcW w:w="1140" w:type="dxa"/>
            <w:vAlign w:val="bottom"/>
            <w:tcBorders>
              <w:bottom w:val="single" w:sz="8" w:color="4C4C4E"/>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4C4C4E"/>
              </w:rPr>
              <w:t>Principal</w:t>
            </w:r>
          </w:p>
        </w:tc>
        <w:tc>
          <w:tcPr>
            <w:tcW w:w="220" w:type="dxa"/>
            <w:vAlign w:val="bottom"/>
            <w:tcBorders>
              <w:bottom w:val="single" w:sz="8" w:color="D8EEF4"/>
            </w:tcBorders>
          </w:tcPr>
          <w:p>
            <w:pPr>
              <w:spacing w:after="0"/>
              <w:rPr>
                <w:sz w:val="17"/>
                <w:szCs w:val="17"/>
                <w:color w:val="auto"/>
              </w:rPr>
            </w:pPr>
          </w:p>
        </w:tc>
        <w:tc>
          <w:tcPr>
            <w:tcW w:w="180" w:type="dxa"/>
            <w:vAlign w:val="bottom"/>
            <w:tcBorders>
              <w:bottom w:val="single" w:sz="8" w:color="4C4C4E"/>
            </w:tcBorders>
          </w:tcPr>
          <w:p>
            <w:pPr>
              <w:spacing w:after="0"/>
              <w:rPr>
                <w:sz w:val="17"/>
                <w:szCs w:val="17"/>
                <w:color w:val="auto"/>
              </w:rPr>
            </w:pPr>
          </w:p>
        </w:tc>
        <w:tc>
          <w:tcPr>
            <w:tcW w:w="1120" w:type="dxa"/>
            <w:vAlign w:val="bottom"/>
            <w:tcBorders>
              <w:bottom w:val="single" w:sz="8" w:color="4C4C4E"/>
            </w:tcBorders>
          </w:tcPr>
          <w:p>
            <w:pPr>
              <w:jc w:val="right"/>
              <w:ind w:right="165"/>
              <w:spacing w:after="0" w:line="204" w:lineRule="exact"/>
              <w:rPr>
                <w:sz w:val="20"/>
                <w:szCs w:val="20"/>
                <w:color w:val="auto"/>
              </w:rPr>
            </w:pPr>
            <w:r>
              <w:rPr>
                <w:rFonts w:ascii="Times New Roman" w:cs="Times New Roman" w:eastAsia="Times New Roman" w:hAnsi="Times New Roman"/>
                <w:sz w:val="16"/>
                <w:szCs w:val="16"/>
                <w:b w:val="1"/>
                <w:bCs w:val="1"/>
                <w:color w:val="4C4C4E"/>
                <w:w w:val="99"/>
              </w:rPr>
              <w:t xml:space="preserve">Available </w:t>
            </w:r>
            <w:r>
              <w:rPr>
                <w:rFonts w:ascii="Times New Roman" w:cs="Times New Roman" w:eastAsia="Times New Roman" w:hAnsi="Times New Roman"/>
                <w:sz w:val="20"/>
                <w:szCs w:val="20"/>
                <w:b w:val="1"/>
                <w:bCs w:val="1"/>
                <w:color w:val="4C4C4E"/>
                <w:w w:val="99"/>
                <w:vertAlign w:val="superscript"/>
              </w:rPr>
              <w:t>(1)</w:t>
            </w:r>
          </w:p>
        </w:tc>
        <w:tc>
          <w:tcPr>
            <w:tcW w:w="220" w:type="dxa"/>
            <w:vAlign w:val="bottom"/>
            <w:tcBorders>
              <w:bottom w:val="single" w:sz="8" w:color="D8EEF4"/>
            </w:tcBorders>
          </w:tcPr>
          <w:p>
            <w:pPr>
              <w:spacing w:after="0"/>
              <w:rPr>
                <w:sz w:val="17"/>
                <w:szCs w:val="17"/>
                <w:color w:val="auto"/>
              </w:rPr>
            </w:pPr>
          </w:p>
        </w:tc>
        <w:tc>
          <w:tcPr>
            <w:tcW w:w="200" w:type="dxa"/>
            <w:vAlign w:val="bottom"/>
            <w:tcBorders>
              <w:bottom w:val="single" w:sz="8" w:color="4C4C4E"/>
            </w:tcBorders>
          </w:tcPr>
          <w:p>
            <w:pPr>
              <w:spacing w:after="0"/>
              <w:rPr>
                <w:sz w:val="17"/>
                <w:szCs w:val="17"/>
                <w:color w:val="auto"/>
              </w:rPr>
            </w:pPr>
          </w:p>
        </w:tc>
        <w:tc>
          <w:tcPr>
            <w:tcW w:w="1100" w:type="dxa"/>
            <w:vAlign w:val="bottom"/>
            <w:tcBorders>
              <w:bottom w:val="single" w:sz="8" w:color="4C4C4E"/>
            </w:tcBorders>
          </w:tcPr>
          <w:p>
            <w:pPr>
              <w:jc w:val="right"/>
              <w:ind w:right="230"/>
              <w:spacing w:after="0" w:line="203" w:lineRule="exact"/>
              <w:rPr>
                <w:sz w:val="20"/>
                <w:szCs w:val="20"/>
                <w:color w:val="auto"/>
              </w:rPr>
            </w:pPr>
            <w:r>
              <w:rPr>
                <w:rFonts w:ascii="Times New Roman" w:cs="Times New Roman" w:eastAsia="Times New Roman" w:hAnsi="Times New Roman"/>
                <w:sz w:val="23"/>
                <w:szCs w:val="23"/>
                <w:b w:val="1"/>
                <w:bCs w:val="1"/>
                <w:color w:val="4C4C4E"/>
                <w:vertAlign w:val="subscript"/>
              </w:rPr>
              <w:t>Value</w:t>
            </w:r>
            <w:r>
              <w:rPr>
                <w:rFonts w:ascii="Times New Roman" w:cs="Times New Roman" w:eastAsia="Times New Roman" w:hAnsi="Times New Roman"/>
                <w:sz w:val="9"/>
                <w:szCs w:val="9"/>
                <w:b w:val="1"/>
                <w:bCs w:val="1"/>
                <w:color w:val="4C4C4E"/>
              </w:rPr>
              <w:t xml:space="preserve"> (2)(3)</w:t>
            </w:r>
          </w:p>
        </w:tc>
        <w:tc>
          <w:tcPr>
            <w:tcW w:w="80" w:type="dxa"/>
            <w:vAlign w:val="bottom"/>
            <w:tcBorders>
              <w:bottom w:val="single" w:sz="8" w:color="D8EEF4"/>
            </w:tcBorders>
          </w:tcPr>
          <w:p>
            <w:pPr>
              <w:spacing w:after="0"/>
              <w:rPr>
                <w:sz w:val="17"/>
                <w:szCs w:val="17"/>
                <w:color w:val="auto"/>
              </w:rPr>
            </w:pPr>
          </w:p>
        </w:tc>
      </w:tr>
      <w:tr>
        <w:trPr>
          <w:trHeight w:val="239"/>
        </w:trPr>
        <w:tc>
          <w:tcPr>
            <w:tcW w:w="37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Revolving Credit Facility</w:t>
            </w:r>
          </w:p>
        </w:tc>
        <w:tc>
          <w:tcPr>
            <w:tcW w:w="480" w:type="dxa"/>
            <w:vAlign w:val="bottom"/>
            <w:shd w:val="clear" w:color="auto" w:fill="D8EEF4"/>
          </w:tcPr>
          <w:p>
            <w:pPr>
              <w:jc w:val="right"/>
              <w:ind w:right="290"/>
              <w:spacing w:after="0"/>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1,675.0</w:t>
            </w:r>
          </w:p>
        </w:tc>
        <w:tc>
          <w:tcPr>
            <w:tcW w:w="220" w:type="dxa"/>
            <w:vAlign w:val="bottom"/>
            <w:shd w:val="clear" w:color="auto" w:fill="D8EEF4"/>
          </w:tcPr>
          <w:p>
            <w:pPr>
              <w:spacing w:after="0"/>
              <w:rPr>
                <w:sz w:val="20"/>
                <w:szCs w:val="20"/>
                <w:color w:val="auto"/>
              </w:rPr>
            </w:pP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513.9</w:t>
            </w:r>
          </w:p>
        </w:tc>
        <w:tc>
          <w:tcPr>
            <w:tcW w:w="220" w:type="dxa"/>
            <w:vAlign w:val="bottom"/>
            <w:shd w:val="clear" w:color="auto" w:fill="D8EEF4"/>
          </w:tcPr>
          <w:p>
            <w:pPr>
              <w:spacing w:after="0"/>
              <w:rPr>
                <w:sz w:val="20"/>
                <w:szCs w:val="20"/>
                <w:color w:val="auto"/>
              </w:rPr>
            </w:pPr>
          </w:p>
        </w:tc>
        <w:tc>
          <w:tcPr>
            <w:tcW w:w="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1,139.3</w:t>
            </w:r>
          </w:p>
        </w:tc>
        <w:tc>
          <w:tcPr>
            <w:tcW w:w="220" w:type="dxa"/>
            <w:vAlign w:val="bottom"/>
            <w:shd w:val="clear" w:color="auto" w:fill="D8EEF4"/>
          </w:tcPr>
          <w:p>
            <w:pPr>
              <w:spacing w:after="0"/>
              <w:rPr>
                <w:sz w:val="20"/>
                <w:szCs w:val="20"/>
                <w:color w:val="auto"/>
              </w:rPr>
            </w:pPr>
          </w:p>
        </w:tc>
        <w:tc>
          <w:tcPr>
            <w:tcW w:w="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498.8</w:t>
            </w:r>
          </w:p>
        </w:tc>
        <w:tc>
          <w:tcPr>
            <w:tcW w:w="80" w:type="dxa"/>
            <w:vAlign w:val="bottom"/>
            <w:shd w:val="clear" w:color="auto" w:fill="D8EEF4"/>
          </w:tcPr>
          <w:p>
            <w:pPr>
              <w:spacing w:after="0"/>
              <w:rPr>
                <w:sz w:val="20"/>
                <w:szCs w:val="20"/>
                <w:color w:val="auto"/>
              </w:rPr>
            </w:pPr>
          </w:p>
        </w:tc>
      </w:tr>
      <w:tr>
        <w:trPr>
          <w:trHeight w:val="244"/>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4C4C4E"/>
              </w:rPr>
              <w:t>2026 Notes</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293.5</w:t>
            </w:r>
          </w:p>
        </w:tc>
        <w:tc>
          <w:tcPr>
            <w:tcW w:w="80" w:type="dxa"/>
            <w:vAlign w:val="bottom"/>
          </w:tcPr>
          <w:p>
            <w:pPr>
              <w:spacing w:after="0"/>
              <w:rPr>
                <w:sz w:val="21"/>
                <w:szCs w:val="21"/>
                <w:color w:val="auto"/>
              </w:rPr>
            </w:pPr>
          </w:p>
        </w:tc>
      </w:tr>
      <w:tr>
        <w:trPr>
          <w:trHeight w:val="244"/>
        </w:trPr>
        <w:tc>
          <w:tcPr>
            <w:tcW w:w="37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2028 Notes</w:t>
            </w:r>
          </w:p>
        </w:tc>
        <w:tc>
          <w:tcPr>
            <w:tcW w:w="480" w:type="dxa"/>
            <w:vAlign w:val="bottom"/>
            <w:shd w:val="clear" w:color="auto" w:fill="D8EEF4"/>
          </w:tcPr>
          <w:p>
            <w:pPr>
              <w:spacing w:after="0"/>
              <w:rPr>
                <w:sz w:val="21"/>
                <w:szCs w:val="21"/>
                <w:color w:val="auto"/>
              </w:rPr>
            </w:pP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shd w:val="clear" w:color="auto" w:fill="D8EEF4"/>
          </w:tcPr>
          <w:p>
            <w:pPr>
              <w:spacing w:after="0"/>
              <w:rPr>
                <w:sz w:val="21"/>
                <w:szCs w:val="21"/>
                <w:color w:val="auto"/>
              </w:rPr>
            </w:pPr>
          </w:p>
        </w:tc>
        <w:tc>
          <w:tcPr>
            <w:tcW w:w="16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301.2</w:t>
            </w:r>
          </w:p>
        </w:tc>
        <w:tc>
          <w:tcPr>
            <w:tcW w:w="80" w:type="dxa"/>
            <w:vAlign w:val="bottom"/>
            <w:shd w:val="clear" w:color="auto" w:fill="D8EEF4"/>
          </w:tcPr>
          <w:p>
            <w:pPr>
              <w:spacing w:after="0"/>
              <w:rPr>
                <w:sz w:val="21"/>
                <w:szCs w:val="21"/>
                <w:color w:val="auto"/>
              </w:rPr>
            </w:pPr>
          </w:p>
        </w:tc>
      </w:tr>
      <w:tr>
        <w:trPr>
          <w:trHeight w:val="244"/>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4C4C4E"/>
              </w:rPr>
              <w:t>2029 Notes</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348.0</w:t>
            </w:r>
          </w:p>
        </w:tc>
        <w:tc>
          <w:tcPr>
            <w:tcW w:w="80" w:type="dxa"/>
            <w:vAlign w:val="bottom"/>
          </w:tcPr>
          <w:p>
            <w:pPr>
              <w:spacing w:after="0"/>
              <w:rPr>
                <w:sz w:val="21"/>
                <w:szCs w:val="21"/>
                <w:color w:val="auto"/>
              </w:rPr>
            </w:pPr>
          </w:p>
        </w:tc>
      </w:tr>
      <w:tr>
        <w:trPr>
          <w:trHeight w:val="244"/>
        </w:trPr>
        <w:tc>
          <w:tcPr>
            <w:tcW w:w="37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2030 Notes</w:t>
            </w:r>
          </w:p>
        </w:tc>
        <w:tc>
          <w:tcPr>
            <w:tcW w:w="480" w:type="dxa"/>
            <w:vAlign w:val="bottom"/>
            <w:tcBorders>
              <w:bottom w:val="single" w:sz="8" w:color="4C4C4E"/>
            </w:tcBorders>
            <w:shd w:val="clear" w:color="auto" w:fill="D8EEF4"/>
          </w:tcPr>
          <w:p>
            <w:pPr>
              <w:spacing w:after="0"/>
              <w:rPr>
                <w:sz w:val="21"/>
                <w:szCs w:val="21"/>
                <w:color w:val="auto"/>
              </w:rPr>
            </w:pPr>
          </w:p>
        </w:tc>
        <w:tc>
          <w:tcPr>
            <w:tcW w:w="9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shd w:val="clear" w:color="auto" w:fill="D8EEF4"/>
          </w:tcPr>
          <w:p>
            <w:pPr>
              <w:spacing w:after="0"/>
              <w:rPr>
                <w:sz w:val="21"/>
                <w:szCs w:val="21"/>
                <w:color w:val="auto"/>
              </w:rPr>
            </w:pPr>
          </w:p>
        </w:tc>
        <w:tc>
          <w:tcPr>
            <w:tcW w:w="160" w:type="dxa"/>
            <w:vAlign w:val="bottom"/>
            <w:tcBorders>
              <w:bottom w:val="single" w:sz="8" w:color="4C4C4E"/>
            </w:tcBorders>
            <w:shd w:val="clear" w:color="auto" w:fill="D8EEF4"/>
          </w:tcPr>
          <w:p>
            <w:pPr>
              <w:spacing w:after="0"/>
              <w:rPr>
                <w:sz w:val="21"/>
                <w:szCs w:val="21"/>
                <w:color w:val="auto"/>
              </w:rPr>
            </w:pPr>
          </w:p>
        </w:tc>
        <w:tc>
          <w:tcPr>
            <w:tcW w:w="11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shd w:val="clear" w:color="auto" w:fill="D8EEF4"/>
          </w:tcPr>
          <w:p>
            <w:pPr>
              <w:spacing w:after="0"/>
              <w:rPr>
                <w:sz w:val="21"/>
                <w:szCs w:val="21"/>
                <w:color w:val="auto"/>
              </w:rPr>
            </w:pPr>
          </w:p>
        </w:tc>
        <w:tc>
          <w:tcPr>
            <w:tcW w:w="180" w:type="dxa"/>
            <w:vAlign w:val="bottom"/>
            <w:tcBorders>
              <w:bottom w:val="single" w:sz="8" w:color="4C4C4E"/>
            </w:tcBorders>
            <w:shd w:val="clear" w:color="auto" w:fill="D8EEF4"/>
          </w:tcPr>
          <w:p>
            <w:pPr>
              <w:spacing w:after="0"/>
              <w:rPr>
                <w:sz w:val="21"/>
                <w:szCs w:val="21"/>
                <w:color w:val="auto"/>
              </w:rPr>
            </w:pPr>
          </w:p>
        </w:tc>
        <w:tc>
          <w:tcPr>
            <w:tcW w:w="11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shd w:val="clear" w:color="auto" w:fill="D8EEF4"/>
          </w:tcPr>
          <w:p>
            <w:pPr>
              <w:spacing w:after="0"/>
              <w:rPr>
                <w:sz w:val="21"/>
                <w:szCs w:val="21"/>
                <w:color w:val="auto"/>
              </w:rPr>
            </w:pPr>
          </w:p>
        </w:tc>
        <w:tc>
          <w:tcPr>
            <w:tcW w:w="200" w:type="dxa"/>
            <w:vAlign w:val="bottom"/>
            <w:tcBorders>
              <w:bottom w:val="single" w:sz="8" w:color="4C4C4E"/>
            </w:tcBorders>
            <w:shd w:val="clear" w:color="auto" w:fill="D8EEF4"/>
          </w:tcPr>
          <w:p>
            <w:pPr>
              <w:spacing w:after="0"/>
              <w:rPr>
                <w:sz w:val="21"/>
                <w:szCs w:val="21"/>
                <w:color w:val="auto"/>
              </w:rPr>
            </w:pPr>
          </w:p>
        </w:tc>
        <w:tc>
          <w:tcPr>
            <w:tcW w:w="1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301.7</w:t>
            </w:r>
          </w:p>
        </w:tc>
        <w:tc>
          <w:tcPr>
            <w:tcW w:w="80" w:type="dxa"/>
            <w:vAlign w:val="bottom"/>
            <w:shd w:val="clear" w:color="auto" w:fill="D8EEF4"/>
          </w:tcPr>
          <w:p>
            <w:pPr>
              <w:spacing w:after="0"/>
              <w:rPr>
                <w:sz w:val="21"/>
                <w:szCs w:val="21"/>
                <w:color w:val="auto"/>
              </w:rPr>
            </w:pPr>
          </w:p>
        </w:tc>
      </w:tr>
      <w:tr>
        <w:trPr>
          <w:trHeight w:val="239"/>
        </w:trPr>
        <w:tc>
          <w:tcPr>
            <w:tcW w:w="37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Debt</w:t>
            </w:r>
          </w:p>
        </w:tc>
        <w:tc>
          <w:tcPr>
            <w:tcW w:w="480" w:type="dxa"/>
            <w:vAlign w:val="bottom"/>
            <w:tcBorders>
              <w:bottom w:val="single" w:sz="8" w:color="4C4C4E"/>
            </w:tcBorders>
          </w:tcPr>
          <w:p>
            <w:pPr>
              <w:jc w:val="right"/>
              <w:ind w:right="290"/>
              <w:spacing w:after="0"/>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2,925.0</w:t>
            </w:r>
          </w:p>
        </w:tc>
        <w:tc>
          <w:tcPr>
            <w:tcW w:w="220" w:type="dxa"/>
            <w:vAlign w:val="bottom"/>
          </w:tcPr>
          <w:p>
            <w:pPr>
              <w:spacing w:after="0"/>
              <w:rPr>
                <w:sz w:val="20"/>
                <w:szCs w:val="20"/>
                <w:color w:val="auto"/>
              </w:rPr>
            </w:pPr>
          </w:p>
        </w:tc>
        <w:tc>
          <w:tcPr>
            <w:tcW w:w="1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4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1,763.9</w:t>
            </w:r>
          </w:p>
        </w:tc>
        <w:tc>
          <w:tcPr>
            <w:tcW w:w="220" w:type="dxa"/>
            <w:vAlign w:val="bottom"/>
          </w:tcPr>
          <w:p>
            <w:pPr>
              <w:spacing w:after="0"/>
              <w:rPr>
                <w:sz w:val="20"/>
                <w:szCs w:val="20"/>
                <w:color w:val="auto"/>
              </w:rPr>
            </w:pPr>
          </w:p>
        </w:tc>
        <w:tc>
          <w:tcPr>
            <w:tcW w:w="1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1,139.3</w:t>
            </w:r>
          </w:p>
        </w:tc>
        <w:tc>
          <w:tcPr>
            <w:tcW w:w="220" w:type="dxa"/>
            <w:vAlign w:val="bottom"/>
          </w:tcPr>
          <w:p>
            <w:pPr>
              <w:spacing w:after="0"/>
              <w:rPr>
                <w:sz w:val="20"/>
                <w:szCs w:val="20"/>
                <w:color w:val="auto"/>
              </w:rPr>
            </w:pPr>
          </w:p>
        </w:tc>
        <w:tc>
          <w:tcPr>
            <w:tcW w:w="2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1,743.2</w:t>
            </w:r>
          </w:p>
        </w:tc>
        <w:tc>
          <w:tcPr>
            <w:tcW w:w="8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480" w:type="dxa"/>
            <w:vAlign w:val="bottom"/>
            <w:tcBorders>
              <w:bottom w:val="single" w:sz="8" w:color="4C4C4E"/>
            </w:tcBorders>
          </w:tcPr>
          <w:p>
            <w:pPr>
              <w:spacing w:after="0" w:line="20" w:lineRule="exact"/>
              <w:rPr>
                <w:sz w:val="1"/>
                <w:szCs w:val="1"/>
                <w:color w:val="auto"/>
              </w:rPr>
            </w:pPr>
          </w:p>
        </w:tc>
        <w:tc>
          <w:tcPr>
            <w:tcW w:w="98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114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112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4C4C4E"/>
            </w:tcBorders>
          </w:tcPr>
          <w:p>
            <w:pPr>
              <w:spacing w:after="0" w:line="20" w:lineRule="exact"/>
              <w:rPr>
                <w:sz w:val="1"/>
                <w:szCs w:val="1"/>
                <w:color w:val="auto"/>
              </w:rPr>
            </w:pPr>
          </w:p>
        </w:tc>
        <w:tc>
          <w:tcPr>
            <w:tcW w:w="110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-1252220</wp:posOffset>
            </wp:positionV>
            <wp:extent cx="386651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9">
                      <a:extLst>
                        <a:ext uri="{28A0092B-C50C-407E-A947-70E740481C1C}"/>
                      </a:extLst>
                    </a:blip>
                    <a:srcRect/>
                    <a:stretch>
                      <a:fillRect/>
                    </a:stretch>
                  </pic:blipFill>
                  <pic:spPr bwMode="auto">
                    <a:xfrm>
                      <a:off x="0" y="0"/>
                      <a:ext cx="3866515" cy="38100"/>
                    </a:xfrm>
                    <a:prstGeom prst="rect">
                      <a:avLst/>
                    </a:prstGeom>
                    <a:noFill/>
                  </pic:spPr>
                </pic:pic>
              </a:graphicData>
            </a:graphic>
          </wp:anchor>
        </w:drawing>
      </w:r>
    </w:p>
    <w:p>
      <w:pPr>
        <w:spacing w:after="0" w:line="191" w:lineRule="exact"/>
        <w:rPr>
          <w:sz w:val="20"/>
          <w:szCs w:val="20"/>
          <w:color w:val="auto"/>
        </w:rPr>
      </w:pPr>
    </w:p>
    <w:p>
      <w:pPr>
        <w:ind w:left="480" w:right="840" w:hanging="480"/>
        <w:spacing w:after="0" w:line="254" w:lineRule="auto"/>
        <w:tabs>
          <w:tab w:leader="none" w:pos="480" w:val="left"/>
        </w:tabs>
        <w:numPr>
          <w:ilvl w:val="0"/>
          <w:numId w:val="6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amount available may be subject to limitations related to the borrowing base under the Revolving Credit Facility, outstanding letters of credit issued and asset coverage requirements.</w:t>
      </w:r>
    </w:p>
    <w:p>
      <w:pPr>
        <w:spacing w:after="0" w:line="1" w:lineRule="exact"/>
        <w:rPr>
          <w:rFonts w:ascii="Times New Roman" w:cs="Times New Roman" w:eastAsia="Times New Roman" w:hAnsi="Times New Roman"/>
          <w:sz w:val="20"/>
          <w:szCs w:val="20"/>
          <w:color w:val="4C4C4E"/>
        </w:rPr>
      </w:pPr>
    </w:p>
    <w:p>
      <w:pPr>
        <w:jc w:val="both"/>
        <w:ind w:left="480" w:right="100" w:hanging="480"/>
        <w:spacing w:after="0"/>
        <w:tabs>
          <w:tab w:leader="none" w:pos="480" w:val="left"/>
        </w:tabs>
        <w:numPr>
          <w:ilvl w:val="0"/>
          <w:numId w:val="6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values of the Revolving Credit Facility, 2026 Notes, 2028 Notes, 2029 Notes and 2030 Notes are presented net of the combination of deferred financing costs and original issue discounts totaling $15.1 million, $0.7 million, $3.3 million, $5.3 million and $6.6 million, respectively.</w:t>
      </w:r>
    </w:p>
    <w:p>
      <w:pPr>
        <w:ind w:left="480" w:hanging="480"/>
        <w:spacing w:after="0" w:line="244" w:lineRule="auto"/>
        <w:tabs>
          <w:tab w:leader="none" w:pos="480" w:val="left"/>
        </w:tabs>
        <w:numPr>
          <w:ilvl w:val="0"/>
          <w:numId w:val="6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values of the 2026 Notes, 2028 Notes, 2029 Notes and 2030 Notes are presented inclusive of an incremental $(5.8) million, $4.5 million, $3.3 million and $8.3 million, which represents an adjustment in the carrying values of the 2026 Notes, 2028 Notes, 2029 Notes and 2030 Notes, each resulting from a hedge accounting relationship.</w:t>
      </w:r>
    </w:p>
    <w:p>
      <w:pPr>
        <w:sectPr>
          <w:pgSz w:w="11880" w:h="15480" w:orient="portrait"/>
          <w:cols w:equalWidth="0" w:num="1">
            <w:col w:w="10760"/>
          </w:cols>
          <w:pgMar w:left="540" w:top="750" w:right="580" w:bottom="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81</w:t>
      </w:r>
    </w:p>
    <w:p>
      <w:pPr>
        <w:sectPr>
          <w:pgSz w:w="11880" w:h="15480" w:orient="portrait"/>
          <w:cols w:equalWidth="0" w:num="1">
            <w:col w:w="10760"/>
          </w:cols>
          <w:pgMar w:left="540" w:top="750" w:right="580" w:bottom="0" w:gutter="0" w:footer="0" w:header="0"/>
          <w:type w:val="continuous"/>
        </w:sectPr>
      </w:pPr>
    </w:p>
    <w:bookmarkStart w:id="81" w:name="page82"/>
    <w:bookmarkEnd w:id="81"/>
    <w:tbl>
      <w:tblPr>
        <w:tblLayout w:type="fixed"/>
        <w:tblInd w:w="540" w:type="dxa"/>
        <w:tblCellMar>
          <w:top w:w="0" w:type="dxa"/>
          <w:left w:w="0" w:type="dxa"/>
          <w:bottom w:w="0" w:type="dxa"/>
          <w:right w:w="0" w:type="dxa"/>
        </w:tblCellMar>
      </w:tblPr>
      <w:tr>
        <w:trPr>
          <w:trHeight w:val="199"/>
        </w:trPr>
        <w:tc>
          <w:tcPr>
            <w:tcW w:w="3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4"/>
          </w:tcPr>
          <w:p>
            <w:pPr>
              <w:jc w:val="right"/>
              <w:ind w:right="746"/>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4"/>
        </w:trPr>
        <w:tc>
          <w:tcPr>
            <w:tcW w:w="37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rPr>
              <w:t>Aggregate Principal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4C4C4E"/>
              </w:rPr>
              <w:t>Outstanding</w:t>
            </w:r>
          </w:p>
        </w:tc>
        <w:tc>
          <w:tcPr>
            <w:tcW w:w="160" w:type="dxa"/>
            <w:vAlign w:val="bottom"/>
          </w:tcPr>
          <w:p>
            <w:pPr>
              <w:spacing w:after="0"/>
              <w:rPr>
                <w:sz w:val="16"/>
                <w:szCs w:val="16"/>
                <w:color w:val="auto"/>
              </w:rPr>
            </w:pPr>
          </w:p>
        </w:tc>
        <w:tc>
          <w:tcPr>
            <w:tcW w:w="1120" w:type="dxa"/>
            <w:vAlign w:val="bottom"/>
          </w:tcPr>
          <w:p>
            <w:pPr>
              <w:jc w:val="right"/>
              <w:ind w:right="266"/>
              <w:spacing w:after="0"/>
              <w:rPr>
                <w:sz w:val="20"/>
                <w:szCs w:val="20"/>
                <w:color w:val="auto"/>
              </w:rPr>
            </w:pPr>
            <w:r>
              <w:rPr>
                <w:rFonts w:ascii="Times New Roman" w:cs="Times New Roman" w:eastAsia="Times New Roman" w:hAnsi="Times New Roman"/>
                <w:sz w:val="16"/>
                <w:szCs w:val="16"/>
                <w:b w:val="1"/>
                <w:bCs w:val="1"/>
                <w:color w:val="4C4C4E"/>
              </w:rPr>
              <w:t>Amount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4C4C4E"/>
              </w:rPr>
              <w:t>Carrying</w:t>
            </w: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rPr>
              <w:t>Amount Committed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4C4C4E"/>
                <w:w w:val="98"/>
              </w:rPr>
              <w:t>Principal</w:t>
            </w:r>
          </w:p>
        </w:tc>
        <w:tc>
          <w:tcPr>
            <w:tcW w:w="160" w:type="dxa"/>
            <w:vAlign w:val="bottom"/>
          </w:tcPr>
          <w:p>
            <w:pPr>
              <w:spacing w:after="0"/>
              <w:rPr>
                <w:sz w:val="17"/>
                <w:szCs w:val="17"/>
                <w:color w:val="auto"/>
              </w:rPr>
            </w:pPr>
          </w:p>
        </w:tc>
        <w:tc>
          <w:tcPr>
            <w:tcW w:w="1120" w:type="dxa"/>
            <w:vAlign w:val="bottom"/>
          </w:tcPr>
          <w:p>
            <w:pPr>
              <w:jc w:val="right"/>
              <w:ind w:right="146"/>
              <w:spacing w:after="0" w:line="204" w:lineRule="exact"/>
              <w:rPr>
                <w:sz w:val="20"/>
                <w:szCs w:val="20"/>
                <w:color w:val="auto"/>
              </w:rPr>
            </w:pPr>
            <w:r>
              <w:rPr>
                <w:rFonts w:ascii="Times New Roman" w:cs="Times New Roman" w:eastAsia="Times New Roman" w:hAnsi="Times New Roman"/>
                <w:sz w:val="16"/>
                <w:szCs w:val="16"/>
                <w:b w:val="1"/>
                <w:bCs w:val="1"/>
                <w:color w:val="4C4C4E"/>
              </w:rPr>
              <w:t xml:space="preserve">Available </w:t>
            </w:r>
            <w:r>
              <w:rPr>
                <w:rFonts w:ascii="Times New Roman" w:cs="Times New Roman" w:eastAsia="Times New Roman" w:hAnsi="Times New Roman"/>
                <w:sz w:val="20"/>
                <w:szCs w:val="20"/>
                <w:b w:val="1"/>
                <w:bCs w:val="1"/>
                <w:color w:val="4C4C4E"/>
                <w:vertAlign w:val="superscript"/>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23"/>
                <w:szCs w:val="23"/>
                <w:b w:val="1"/>
                <w:bCs w:val="1"/>
                <w:color w:val="4C4C4E"/>
                <w:vertAlign w:val="subscript"/>
              </w:rPr>
              <w:t>Value</w:t>
            </w:r>
            <w:r>
              <w:rPr>
                <w:rFonts w:ascii="Times New Roman" w:cs="Times New Roman" w:eastAsia="Times New Roman" w:hAnsi="Times New Roman"/>
                <w:sz w:val="9"/>
                <w:szCs w:val="9"/>
                <w:b w:val="1"/>
                <w:bCs w:val="1"/>
                <w:color w:val="4C4C4E"/>
              </w:rPr>
              <w:t xml:space="preserve"> (2)(3)</w:t>
            </w:r>
          </w:p>
        </w:tc>
      </w:tr>
      <w:tr>
        <w:trPr>
          <w:trHeight w:val="225"/>
        </w:trPr>
        <w:tc>
          <w:tcPr>
            <w:tcW w:w="370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Revolving Credit Facility</w:t>
            </w:r>
          </w:p>
        </w:tc>
        <w:tc>
          <w:tcPr>
            <w:tcW w:w="480" w:type="dxa"/>
            <w:vAlign w:val="bottom"/>
            <w:tcBorders>
              <w:top w:val="single" w:sz="8" w:color="4C4C4E"/>
            </w:tcBorders>
            <w:shd w:val="clear" w:color="auto" w:fill="D8EEF4"/>
          </w:tcPr>
          <w:p>
            <w:pPr>
              <w:jc w:val="right"/>
              <w:ind w:right="29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1,700.0</w:t>
            </w:r>
          </w:p>
        </w:tc>
        <w:tc>
          <w:tcPr>
            <w:tcW w:w="22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1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1,004.1</w:t>
            </w:r>
          </w:p>
        </w:tc>
        <w:tc>
          <w:tcPr>
            <w:tcW w:w="22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1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674.2</w:t>
            </w:r>
          </w:p>
        </w:tc>
        <w:tc>
          <w:tcPr>
            <w:tcW w:w="200" w:type="dxa"/>
            <w:vAlign w:val="bottom"/>
            <w:tcBorders>
              <w:top w:val="single" w:sz="8" w:color="D8EEF4"/>
            </w:tcBorders>
            <w:shd w:val="clear" w:color="auto" w:fill="D8EEF4"/>
          </w:tcPr>
          <w:p>
            <w:pPr>
              <w:spacing w:after="0"/>
              <w:rPr>
                <w:sz w:val="19"/>
                <w:szCs w:val="19"/>
                <w:color w:val="auto"/>
              </w:rPr>
            </w:pPr>
          </w:p>
        </w:tc>
        <w:tc>
          <w:tcPr>
            <w:tcW w:w="220" w:type="dxa"/>
            <w:vAlign w:val="bottom"/>
            <w:tcBorders>
              <w:top w:val="single" w:sz="8" w:color="4C4C4E"/>
            </w:tcBorders>
            <w:shd w:val="clear" w:color="auto" w:fill="D8EE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tcBorders>
              <w:top w:val="single" w:sz="8" w:color="4C4C4E"/>
            </w:tcBorders>
            <w:shd w:val="clear" w:color="auto" w:fill="D8EEF4"/>
          </w:tcPr>
          <w:p>
            <w:pPr>
              <w:ind w:left="620"/>
              <w:spacing w:after="0" w:line="225" w:lineRule="exact"/>
              <w:rPr>
                <w:sz w:val="20"/>
                <w:szCs w:val="20"/>
                <w:color w:val="auto"/>
              </w:rPr>
            </w:pPr>
            <w:r>
              <w:rPr>
                <w:rFonts w:ascii="Times New Roman" w:cs="Times New Roman" w:eastAsia="Times New Roman" w:hAnsi="Times New Roman"/>
                <w:sz w:val="20"/>
                <w:szCs w:val="20"/>
                <w:color w:val="4C4C4E"/>
                <w:w w:val="93"/>
              </w:rPr>
              <w:t>988.6</w:t>
            </w:r>
          </w:p>
        </w:tc>
        <w:tc>
          <w:tcPr>
            <w:tcW w:w="80" w:type="dxa"/>
            <w:vAlign w:val="bottom"/>
            <w:tcBorders>
              <w:top w:val="single" w:sz="8" w:color="D8EEF4"/>
            </w:tcBorders>
            <w:shd w:val="clear" w:color="auto" w:fill="D8EEF4"/>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4C4C4E"/>
              </w:rPr>
              <w:t>2026 Notes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20"/>
                <w:szCs w:val="20"/>
                <w:color w:val="4C4C4E"/>
                <w:w w:val="93"/>
              </w:rPr>
              <w:t>280.5</w:t>
            </w:r>
          </w:p>
        </w:tc>
        <w:tc>
          <w:tcPr>
            <w:tcW w:w="80" w:type="dxa"/>
            <w:vAlign w:val="bottom"/>
          </w:tcPr>
          <w:p>
            <w:pPr>
              <w:spacing w:after="0"/>
              <w:rPr>
                <w:sz w:val="20"/>
                <w:szCs w:val="20"/>
                <w:color w:val="auto"/>
              </w:rPr>
            </w:pPr>
          </w:p>
        </w:tc>
      </w:tr>
      <w:tr>
        <w:trPr>
          <w:trHeight w:val="230"/>
        </w:trPr>
        <w:tc>
          <w:tcPr>
            <w:tcW w:w="37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2028 Notes</w:t>
            </w:r>
          </w:p>
        </w:tc>
        <w:tc>
          <w:tcPr>
            <w:tcW w:w="480" w:type="dxa"/>
            <w:vAlign w:val="bottom"/>
            <w:shd w:val="clear" w:color="auto" w:fill="D8EEF4"/>
          </w:tcPr>
          <w:p>
            <w:pPr>
              <w:spacing w:after="0"/>
              <w:rPr>
                <w:sz w:val="20"/>
                <w:szCs w:val="20"/>
                <w:color w:val="auto"/>
              </w:rPr>
            </w:pP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134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300.0</w:t>
            </w:r>
          </w:p>
        </w:tc>
        <w:tc>
          <w:tcPr>
            <w:tcW w:w="160" w:type="dxa"/>
            <w:vAlign w:val="bottom"/>
            <w:shd w:val="clear" w:color="auto" w:fill="D8EEF4"/>
          </w:tcPr>
          <w:p>
            <w:pPr>
              <w:spacing w:after="0"/>
              <w:rPr>
                <w:sz w:val="20"/>
                <w:szCs w:val="20"/>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1140" w:type="dxa"/>
            <w:vAlign w:val="bottom"/>
            <w:gridSpan w:val="2"/>
            <w:shd w:val="clear" w:color="auto" w:fill="D8EEF4"/>
          </w:tcPr>
          <w:p>
            <w:pPr>
              <w:ind w:left="620"/>
              <w:spacing w:after="0"/>
              <w:rPr>
                <w:sz w:val="20"/>
                <w:szCs w:val="20"/>
                <w:color w:val="auto"/>
              </w:rPr>
            </w:pPr>
            <w:r>
              <w:rPr>
                <w:rFonts w:ascii="Times New Roman" w:cs="Times New Roman" w:eastAsia="Times New Roman" w:hAnsi="Times New Roman"/>
                <w:sz w:val="20"/>
                <w:szCs w:val="20"/>
                <w:color w:val="4C4C4E"/>
              </w:rPr>
              <w:t>294.1</w:t>
            </w: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4C4C4E"/>
              </w:rPr>
              <w:t>2029 Notes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350.0</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4C4C4E"/>
              </w:rPr>
              <w:t>337.9</w:t>
            </w:r>
          </w:p>
        </w:tc>
      </w:tr>
      <w:tr>
        <w:trPr>
          <w:trHeight w:val="225"/>
        </w:trPr>
        <w:tc>
          <w:tcPr>
            <w:tcW w:w="3700" w:type="dxa"/>
            <w:vAlign w:val="bottom"/>
            <w:tcBorders>
              <w:top w:val="single" w:sz="8" w:color="D8EEF4"/>
            </w:tcBorders>
            <w:shd w:val="clear" w:color="auto" w:fill="D8EEF4"/>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4C4C4E"/>
              </w:rPr>
              <w:t>Total Debt</w:t>
            </w:r>
          </w:p>
        </w:tc>
        <w:tc>
          <w:tcPr>
            <w:tcW w:w="480" w:type="dxa"/>
            <w:vAlign w:val="bottom"/>
            <w:tcBorders>
              <w:top w:val="single" w:sz="8" w:color="4C4C4E"/>
              <w:bottom w:val="single" w:sz="8" w:color="4C4C4E"/>
            </w:tcBorders>
            <w:shd w:val="clear" w:color="auto" w:fill="D8EEF4"/>
          </w:tcPr>
          <w:p>
            <w:pPr>
              <w:jc w:val="right"/>
              <w:ind w:right="29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2,650.0</w:t>
            </w:r>
          </w:p>
        </w:tc>
        <w:tc>
          <w:tcPr>
            <w:tcW w:w="22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12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1,954.1</w:t>
            </w:r>
          </w:p>
        </w:tc>
        <w:tc>
          <w:tcPr>
            <w:tcW w:w="22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12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674.2</w:t>
            </w:r>
          </w:p>
        </w:tc>
        <w:tc>
          <w:tcPr>
            <w:tcW w:w="200" w:type="dxa"/>
            <w:vAlign w:val="bottom"/>
            <w:tcBorders>
              <w:top w:val="single" w:sz="8" w:color="D8EEF4"/>
            </w:tcBorders>
            <w:shd w:val="clear" w:color="auto" w:fill="D8EEF4"/>
          </w:tcPr>
          <w:p>
            <w:pPr>
              <w:spacing w:after="0"/>
              <w:rPr>
                <w:sz w:val="19"/>
                <w:szCs w:val="19"/>
                <w:color w:val="auto"/>
              </w:rPr>
            </w:pPr>
          </w:p>
        </w:tc>
        <w:tc>
          <w:tcPr>
            <w:tcW w:w="220" w:type="dxa"/>
            <w:vAlign w:val="bottom"/>
            <w:tcBorders>
              <w:top w:val="single" w:sz="8" w:color="4C4C4E"/>
              <w:bottom w:val="single" w:sz="8" w:color="4C4C4E"/>
            </w:tcBorders>
            <w:shd w:val="clear" w:color="auto" w:fill="D8EE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tcBorders>
              <w:top w:val="single" w:sz="8" w:color="4C4C4E"/>
              <w:bottom w:val="single" w:sz="8" w:color="4C4C4E"/>
            </w:tcBorders>
            <w:shd w:val="clear" w:color="auto" w:fill="D8EEF4"/>
          </w:tcPr>
          <w:p>
            <w:pPr>
              <w:ind w:left="460"/>
              <w:spacing w:after="0" w:line="225" w:lineRule="exact"/>
              <w:rPr>
                <w:sz w:val="20"/>
                <w:szCs w:val="20"/>
                <w:color w:val="auto"/>
              </w:rPr>
            </w:pPr>
            <w:r>
              <w:rPr>
                <w:rFonts w:ascii="Times New Roman" w:cs="Times New Roman" w:eastAsia="Times New Roman" w:hAnsi="Times New Roman"/>
                <w:sz w:val="20"/>
                <w:szCs w:val="20"/>
                <w:color w:val="4C4C4E"/>
                <w:w w:val="96"/>
              </w:rPr>
              <w:t>1,901.1</w:t>
            </w:r>
          </w:p>
        </w:tc>
        <w:tc>
          <w:tcPr>
            <w:tcW w:w="80" w:type="dxa"/>
            <w:vAlign w:val="bottom"/>
            <w:tcBorders>
              <w:top w:val="single" w:sz="8" w:color="D8EEF4"/>
            </w:tcBorders>
            <w:shd w:val="clear" w:color="auto" w:fill="D8EEF4"/>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480" w:type="dxa"/>
            <w:vAlign w:val="bottom"/>
            <w:tcBorders>
              <w:bottom w:val="single" w:sz="8" w:color="4C4C4E"/>
            </w:tcBorders>
          </w:tcPr>
          <w:p>
            <w:pPr>
              <w:spacing w:after="0" w:line="20" w:lineRule="exact"/>
              <w:rPr>
                <w:sz w:val="1"/>
                <w:szCs w:val="1"/>
                <w:color w:val="auto"/>
              </w:rPr>
            </w:pPr>
          </w:p>
        </w:tc>
        <w:tc>
          <w:tcPr>
            <w:tcW w:w="98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112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112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106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2671445</wp:posOffset>
            </wp:positionH>
            <wp:positionV relativeFrom="paragraph">
              <wp:posOffset>-1035050</wp:posOffset>
            </wp:positionV>
            <wp:extent cx="381762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0">
                      <a:extLst>
                        <a:ext uri="{28A0092B-C50C-407E-A947-70E740481C1C}"/>
                      </a:extLst>
                    </a:blip>
                    <a:srcRect/>
                    <a:stretch>
                      <a:fillRect/>
                    </a:stretch>
                  </pic:blipFill>
                  <pic:spPr bwMode="auto">
                    <a:xfrm>
                      <a:off x="0" y="0"/>
                      <a:ext cx="3817620" cy="38100"/>
                    </a:xfrm>
                    <a:prstGeom prst="rect">
                      <a:avLst/>
                    </a:prstGeom>
                    <a:noFill/>
                  </pic:spPr>
                </pic:pic>
              </a:graphicData>
            </a:graphic>
          </wp:anchor>
        </w:drawing>
      </w:r>
    </w:p>
    <w:p>
      <w:pPr>
        <w:spacing w:after="0" w:line="191" w:lineRule="exact"/>
        <w:rPr>
          <w:sz w:val="20"/>
          <w:szCs w:val="20"/>
          <w:color w:val="auto"/>
        </w:rPr>
      </w:pPr>
    </w:p>
    <w:p>
      <w:pPr>
        <w:ind w:left="480" w:right="860" w:hanging="480"/>
        <w:spacing w:after="0" w:line="254" w:lineRule="auto"/>
        <w:tabs>
          <w:tab w:leader="none" w:pos="480" w:val="left"/>
        </w:tabs>
        <w:numPr>
          <w:ilvl w:val="0"/>
          <w:numId w:val="6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amount available may be subject to limitations related to the borrowing base under the Revolving Credit Facility, outstanding letters of credit issued and asset coverage requirements.</w:t>
      </w:r>
    </w:p>
    <w:p>
      <w:pPr>
        <w:spacing w:after="0" w:line="1" w:lineRule="exact"/>
        <w:rPr>
          <w:rFonts w:ascii="Times New Roman" w:cs="Times New Roman" w:eastAsia="Times New Roman" w:hAnsi="Times New Roman"/>
          <w:sz w:val="20"/>
          <w:szCs w:val="20"/>
          <w:color w:val="4C4C4E"/>
        </w:rPr>
      </w:pPr>
    </w:p>
    <w:p>
      <w:pPr>
        <w:ind w:left="480" w:right="160" w:hanging="480"/>
        <w:spacing w:after="0"/>
        <w:tabs>
          <w:tab w:leader="none" w:pos="480" w:val="left"/>
        </w:tabs>
        <w:numPr>
          <w:ilvl w:val="0"/>
          <w:numId w:val="6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values of the Revolving Credit Facility, 2026 Notes, 2028 Notes and 2029 Notes are presented net of the combination of deferred financing costs and original issue discounts totaling $15.4 million, $1.8 million, $4.5 million and $6.9 million, respectively.</w:t>
      </w:r>
    </w:p>
    <w:p>
      <w:pPr>
        <w:ind w:left="480" w:hanging="480"/>
        <w:spacing w:after="0"/>
        <w:tabs>
          <w:tab w:leader="none" w:pos="480" w:val="left"/>
        </w:tabs>
        <w:numPr>
          <w:ilvl w:val="0"/>
          <w:numId w:val="6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values of the 2026 Notes, 2028 Notes and 2029 Notes are presented inclusive of an incremental $(17.6) million,</w:t>
      </w:r>
    </w:p>
    <w:p>
      <w:pPr>
        <w:ind w:left="480"/>
        <w:spacing w:after="0" w:line="248" w:lineRule="auto"/>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$(1.4) million and $(5.2) million, which represents an adjustment in the carrying values of the 2026 Notes, 2028 Notes and 2029 Notes, each resulting from a hedge accounting relationship.</w:t>
      </w:r>
    </w:p>
    <w:p>
      <w:pPr>
        <w:spacing w:after="0" w:line="197" w:lineRule="exact"/>
        <w:rPr>
          <w:sz w:val="20"/>
          <w:szCs w:val="20"/>
          <w:color w:val="auto"/>
        </w:rPr>
      </w:pPr>
    </w:p>
    <w:p>
      <w:pPr>
        <w:ind w:right="120" w:firstLine="300"/>
        <w:spacing w:after="0" w:line="277" w:lineRule="auto"/>
        <w:rPr>
          <w:sz w:val="20"/>
          <w:szCs w:val="20"/>
          <w:color w:val="auto"/>
        </w:rPr>
      </w:pPr>
      <w:r>
        <w:rPr>
          <w:rFonts w:ascii="Times New Roman" w:cs="Times New Roman" w:eastAsia="Times New Roman" w:hAnsi="Times New Roman"/>
          <w:sz w:val="20"/>
          <w:szCs w:val="20"/>
          <w:color w:val="4C4C4E"/>
        </w:rPr>
        <w:t>As of December 31, 2025 and December 31, 2024, we were in compliance with the terms of our debt arrangements. We intend to continue to utilize our credit facilities to fund investments and for other general corporate purposes.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Off-Balance Sheet Arrangements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Portfolio Company Commitments</w:t>
      </w:r>
    </w:p>
    <w:p>
      <w:pPr>
        <w:spacing w:after="0" w:line="120"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4C4C4E"/>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2025 and December 31, 2024, we had the following commitments to fund investments in current portfolio companies:</w:t>
      </w:r>
    </w:p>
    <w:p>
      <w:pPr>
        <w:sectPr>
          <w:pgSz w:w="11880" w:h="15480" w:orient="portrait"/>
          <w:cols w:equalWidth="0" w:num="1">
            <w:col w:w="10780"/>
          </w:cols>
          <w:pgMar w:left="540" w:top="102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82</w:t>
      </w:r>
    </w:p>
    <w:p>
      <w:pPr>
        <w:sectPr>
          <w:pgSz w:w="11880" w:h="15480" w:orient="portrait"/>
          <w:cols w:equalWidth="0" w:num="1">
            <w:col w:w="10780"/>
          </w:cols>
          <w:pgMar w:left="540" w:top="1026" w:right="560" w:bottom="0" w:gutter="0" w:footer="0" w:header="0"/>
          <w:type w:val="continuous"/>
        </w:sectPr>
      </w:pPr>
    </w:p>
    <w:bookmarkStart w:id="82" w:name="page83"/>
    <w:bookmarkEnd w:id="82"/>
    <w:tbl>
      <w:tblPr>
        <w:tblLayout w:type="fixed"/>
        <w:tblInd w:w="180" w:type="dxa"/>
        <w:tblCellMar>
          <w:top w:w="0" w:type="dxa"/>
          <w:left w:w="0" w:type="dxa"/>
          <w:bottom w:w="0" w:type="dxa"/>
          <w:right w:w="0" w:type="dxa"/>
        </w:tblCellMar>
      </w:tblPr>
      <w:tr>
        <w:trPr>
          <w:trHeight w:val="203"/>
        </w:trPr>
        <w:tc>
          <w:tcPr>
            <w:tcW w:w="478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160" w:type="dxa"/>
            <w:vAlign w:val="bottom"/>
            <w:tcBorders>
              <w:bottom w:val="single" w:sz="8" w:color="4C4C4E"/>
            </w:tcBorders>
          </w:tcPr>
          <w:p>
            <w:pPr>
              <w:spacing w:after="0"/>
              <w:rPr>
                <w:sz w:val="17"/>
                <w:szCs w:val="17"/>
                <w:color w:val="auto"/>
              </w:rPr>
            </w:pPr>
          </w:p>
        </w:tc>
        <w:tc>
          <w:tcPr>
            <w:tcW w:w="1580" w:type="dxa"/>
            <w:vAlign w:val="bottom"/>
            <w:tcBorders>
              <w:bottom w:val="single" w:sz="8" w:color="4C4C4E"/>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00" w:type="dxa"/>
            <w:vAlign w:val="bottom"/>
            <w:tcBorders>
              <w:bottom w:val="single" w:sz="8" w:color="D8EEF4"/>
            </w:tcBorders>
          </w:tcPr>
          <w:p>
            <w:pPr>
              <w:spacing w:after="0"/>
              <w:rPr>
                <w:sz w:val="17"/>
                <w:szCs w:val="17"/>
                <w:color w:val="auto"/>
              </w:rPr>
            </w:pPr>
          </w:p>
        </w:tc>
        <w:tc>
          <w:tcPr>
            <w:tcW w:w="200" w:type="dxa"/>
            <w:vAlign w:val="bottom"/>
            <w:tcBorders>
              <w:bottom w:val="single" w:sz="8" w:color="4C4C4E"/>
            </w:tcBorders>
          </w:tcPr>
          <w:p>
            <w:pPr>
              <w:spacing w:after="0"/>
              <w:rPr>
                <w:sz w:val="17"/>
                <w:szCs w:val="17"/>
                <w:color w:val="auto"/>
              </w:rPr>
            </w:pPr>
          </w:p>
        </w:tc>
        <w:tc>
          <w:tcPr>
            <w:tcW w:w="1660" w:type="dxa"/>
            <w:vAlign w:val="bottom"/>
            <w:tcBorders>
              <w:bottom w:val="single" w:sz="8" w:color="4C4C4E"/>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60" w:type="dxa"/>
            <w:vAlign w:val="bottom"/>
            <w:tcBorders>
              <w:bottom w:val="single" w:sz="8" w:color="D8EEF4"/>
            </w:tcBorders>
          </w:tcPr>
          <w:p>
            <w:pPr>
              <w:spacing w:after="0"/>
              <w:rPr>
                <w:sz w:val="17"/>
                <w:szCs w:val="17"/>
                <w:color w:val="auto"/>
              </w:rPr>
            </w:pPr>
          </w:p>
        </w:tc>
      </w:tr>
      <w:tr>
        <w:trPr>
          <w:trHeight w:val="239"/>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Alaska Bidco Oy - Delayed Draw &amp; Revolver</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0.2</w:t>
            </w:r>
          </w:p>
        </w:tc>
        <w:tc>
          <w:tcPr>
            <w:tcW w:w="200" w:type="dxa"/>
            <w:vAlign w:val="bottom"/>
            <w:shd w:val="clear" w:color="auto" w:fill="D8EEF4"/>
          </w:tcPr>
          <w:p>
            <w:pPr>
              <w:spacing w:after="0"/>
              <w:rPr>
                <w:sz w:val="20"/>
                <w:szCs w:val="20"/>
                <w:color w:val="auto"/>
              </w:rPr>
            </w:pPr>
          </w:p>
        </w:tc>
        <w:tc>
          <w:tcPr>
            <w:tcW w:w="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0.2</w:t>
            </w:r>
          </w:p>
        </w:tc>
        <w:tc>
          <w:tcPr>
            <w:tcW w:w="60" w:type="dxa"/>
            <w:vAlign w:val="bottom"/>
            <w:shd w:val="clear" w:color="auto" w:fill="D8EEF4"/>
          </w:tcPr>
          <w:p>
            <w:pPr>
              <w:spacing w:after="0"/>
              <w:rPr>
                <w:sz w:val="20"/>
                <w:szCs w:val="20"/>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Aledade, Inc. -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Alpha Midco, Inc. - Delayed Draw &amp;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American Achievement, Corp. -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Apellis Pharmaceuticals, Inc. - Delayed Draw</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5.3</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Aptean, Inc. - Delayed Draw &amp;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w:t>
            </w:r>
          </w:p>
        </w:tc>
        <w:tc>
          <w:tcPr>
            <w:tcW w:w="60" w:type="dxa"/>
            <w:vAlign w:val="bottom"/>
          </w:tcPr>
          <w:p>
            <w:pPr>
              <w:spacing w:after="0"/>
              <w:rPr>
                <w:sz w:val="21"/>
                <w:szCs w:val="21"/>
                <w:color w:val="auto"/>
              </w:rPr>
            </w:pPr>
          </w:p>
        </w:tc>
      </w:tr>
      <w:tr>
        <w:trPr>
          <w:trHeight w:val="225"/>
        </w:trPr>
        <w:tc>
          <w:tcPr>
            <w:tcW w:w="4780" w:type="dxa"/>
            <w:vAlign w:val="bottom"/>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Arcwood Environmental, Inc. - Delayed Draw &amp;</w:t>
            </w:r>
          </w:p>
        </w:tc>
        <w:tc>
          <w:tcPr>
            <w:tcW w:w="160" w:type="dxa"/>
            <w:vAlign w:val="bottom"/>
            <w:shd w:val="clear" w:color="auto" w:fill="D8EEF4"/>
          </w:tcPr>
          <w:p>
            <w:pPr>
              <w:spacing w:after="0"/>
              <w:rPr>
                <w:sz w:val="19"/>
                <w:szCs w:val="19"/>
                <w:color w:val="auto"/>
              </w:rPr>
            </w:pPr>
          </w:p>
        </w:tc>
        <w:tc>
          <w:tcPr>
            <w:tcW w:w="1580" w:type="dxa"/>
            <w:vAlign w:val="bottom"/>
            <w:shd w:val="clear" w:color="auto" w:fill="D8EEF4"/>
          </w:tcPr>
          <w:p>
            <w:pPr>
              <w:spacing w:after="0"/>
              <w:rPr>
                <w:sz w:val="19"/>
                <w:szCs w:val="19"/>
                <w:color w:val="auto"/>
              </w:rPr>
            </w:pPr>
          </w:p>
        </w:tc>
        <w:tc>
          <w:tcPr>
            <w:tcW w:w="200" w:type="dxa"/>
            <w:vAlign w:val="bottom"/>
            <w:shd w:val="clear" w:color="auto" w:fill="D8EEF4"/>
          </w:tcPr>
          <w:p>
            <w:pPr>
              <w:spacing w:after="0"/>
              <w:rPr>
                <w:sz w:val="19"/>
                <w:szCs w:val="19"/>
                <w:color w:val="auto"/>
              </w:rPr>
            </w:pPr>
          </w:p>
        </w:tc>
        <w:tc>
          <w:tcPr>
            <w:tcW w:w="200" w:type="dxa"/>
            <w:vAlign w:val="bottom"/>
            <w:shd w:val="clear" w:color="auto" w:fill="D8EEF4"/>
          </w:tcPr>
          <w:p>
            <w:pPr>
              <w:spacing w:after="0"/>
              <w:rPr>
                <w:sz w:val="19"/>
                <w:szCs w:val="19"/>
                <w:color w:val="auto"/>
              </w:rPr>
            </w:pPr>
          </w:p>
        </w:tc>
        <w:tc>
          <w:tcPr>
            <w:tcW w:w="1660" w:type="dxa"/>
            <w:vAlign w:val="bottom"/>
            <w:shd w:val="clear" w:color="auto" w:fill="D8EEF4"/>
          </w:tcPr>
          <w:p>
            <w:pPr>
              <w:spacing w:after="0"/>
              <w:rPr>
                <w:sz w:val="19"/>
                <w:szCs w:val="19"/>
                <w:color w:val="auto"/>
              </w:rPr>
            </w:pPr>
          </w:p>
        </w:tc>
        <w:tc>
          <w:tcPr>
            <w:tcW w:w="60" w:type="dxa"/>
            <w:vAlign w:val="bottom"/>
            <w:shd w:val="clear" w:color="auto" w:fill="D8EEF4"/>
          </w:tcPr>
          <w:p>
            <w:pPr>
              <w:spacing w:after="0"/>
              <w:rPr>
                <w:sz w:val="19"/>
                <w:szCs w:val="19"/>
                <w:color w:val="auto"/>
              </w:rPr>
            </w:pPr>
          </w:p>
        </w:tc>
      </w:tr>
      <w:tr>
        <w:trPr>
          <w:trHeight w:val="249"/>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2.5</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Arrow Buyer, Inc. - Delayed Draw</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5.5</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Arrowhead Pharmaceuticals, Inc. - Delayed Draw</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27.7</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32.0</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Artisan Bidco, Inc. -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5.7</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Avalara, Inc. -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3.9</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AVSC Holding Corp. -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4.8</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Axonify, Inc. - Delayed Draw</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0.7</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Azurite Intermediate Holdings, Inc. - Revolver &amp; Equity</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5.6</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Babylon Finco Limited - Delayed Draw</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0.3</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Banyan Software Holdings, LLC - Delayed Draw</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3.9</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Bayshore Intermediate #2, L.P. -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2.7</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BCTO Ace Purchaser, Inc. - Delayed Draw &amp;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0.3</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BCTO Bluebill Buyer, Inc. - Delayed Draw</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4.1</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Ben Nevis Midco Limited - Delayed Draw</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BlueSnap, Inc. - Delayed Draw &amp;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5.1</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BTRS Holdings, Inc. - Delayed Draw &amp;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Cirrus (Bidco) Ltd - Delayed Draw</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Cordance Operations, LLC - Delayed Draw &amp;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6.7</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Coupa Holdings, LLC - Delayed Draw &amp;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6.8</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6.8</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Crewline Buyer, Inc. - Revolver &amp; Equity</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6.1</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Disco Parent, Inc. -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EDB Parent, LLC - Delayed Draw</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5.1</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Elysian Finco Ltd. - Delayed Draw &amp;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1.9</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Elysium BidCo Limited -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w:t>
            </w:r>
          </w:p>
        </w:tc>
        <w:tc>
          <w:tcPr>
            <w:tcW w:w="60" w:type="dxa"/>
            <w:vAlign w:val="bottom"/>
          </w:tcPr>
          <w:p>
            <w:pPr>
              <w:spacing w:after="0"/>
              <w:rPr>
                <w:sz w:val="21"/>
                <w:szCs w:val="21"/>
                <w:color w:val="auto"/>
              </w:rPr>
            </w:pPr>
          </w:p>
        </w:tc>
      </w:tr>
      <w:tr>
        <w:trPr>
          <w:trHeight w:val="224"/>
        </w:trPr>
        <w:tc>
          <w:tcPr>
            <w:tcW w:w="4780" w:type="dxa"/>
            <w:vAlign w:val="bottom"/>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Employment Hero Holdings Pty Ltd. - Delayed Draw &amp;</w:t>
            </w:r>
          </w:p>
        </w:tc>
        <w:tc>
          <w:tcPr>
            <w:tcW w:w="160" w:type="dxa"/>
            <w:vAlign w:val="bottom"/>
            <w:shd w:val="clear" w:color="auto" w:fill="D8EEF4"/>
          </w:tcPr>
          <w:p>
            <w:pPr>
              <w:spacing w:after="0"/>
              <w:rPr>
                <w:sz w:val="19"/>
                <w:szCs w:val="19"/>
                <w:color w:val="auto"/>
              </w:rPr>
            </w:pPr>
          </w:p>
        </w:tc>
        <w:tc>
          <w:tcPr>
            <w:tcW w:w="1580" w:type="dxa"/>
            <w:vAlign w:val="bottom"/>
            <w:shd w:val="clear" w:color="auto" w:fill="D8EEF4"/>
          </w:tcPr>
          <w:p>
            <w:pPr>
              <w:spacing w:after="0"/>
              <w:rPr>
                <w:sz w:val="19"/>
                <w:szCs w:val="19"/>
                <w:color w:val="auto"/>
              </w:rPr>
            </w:pPr>
          </w:p>
        </w:tc>
        <w:tc>
          <w:tcPr>
            <w:tcW w:w="200" w:type="dxa"/>
            <w:vAlign w:val="bottom"/>
            <w:shd w:val="clear" w:color="auto" w:fill="D8EEF4"/>
          </w:tcPr>
          <w:p>
            <w:pPr>
              <w:spacing w:after="0"/>
              <w:rPr>
                <w:sz w:val="19"/>
                <w:szCs w:val="19"/>
                <w:color w:val="auto"/>
              </w:rPr>
            </w:pPr>
          </w:p>
        </w:tc>
        <w:tc>
          <w:tcPr>
            <w:tcW w:w="200" w:type="dxa"/>
            <w:vAlign w:val="bottom"/>
            <w:shd w:val="clear" w:color="auto" w:fill="D8EEF4"/>
          </w:tcPr>
          <w:p>
            <w:pPr>
              <w:spacing w:after="0"/>
              <w:rPr>
                <w:sz w:val="19"/>
                <w:szCs w:val="19"/>
                <w:color w:val="auto"/>
              </w:rPr>
            </w:pPr>
          </w:p>
        </w:tc>
        <w:tc>
          <w:tcPr>
            <w:tcW w:w="1660" w:type="dxa"/>
            <w:vAlign w:val="bottom"/>
            <w:shd w:val="clear" w:color="auto" w:fill="D8EEF4"/>
          </w:tcPr>
          <w:p>
            <w:pPr>
              <w:spacing w:after="0"/>
              <w:rPr>
                <w:sz w:val="19"/>
                <w:szCs w:val="19"/>
                <w:color w:val="auto"/>
              </w:rPr>
            </w:pPr>
          </w:p>
        </w:tc>
        <w:tc>
          <w:tcPr>
            <w:tcW w:w="60" w:type="dxa"/>
            <w:vAlign w:val="bottom"/>
            <w:shd w:val="clear" w:color="auto" w:fill="D8EEF4"/>
          </w:tcPr>
          <w:p>
            <w:pPr>
              <w:spacing w:after="0"/>
              <w:rPr>
                <w:sz w:val="19"/>
                <w:szCs w:val="19"/>
                <w:color w:val="auto"/>
              </w:rPr>
            </w:pPr>
          </w:p>
        </w:tc>
      </w:tr>
      <w:tr>
        <w:trPr>
          <w:trHeight w:val="250"/>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1.9</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EMS Linq, Inc. -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4.6</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Erling Lux Bidco SARL - Delayed Draw &amp;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6.1</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2.8</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Eventus Buyer, LLC - Delayed Draw &amp;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10.0</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ExtraHop Networks, Inc. - Delayed Draw &amp;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3.4</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Flight Intermediate HoldCo, Inc. - Delayed Draw</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37.9</w:t>
            </w:r>
          </w:p>
        </w:tc>
        <w:tc>
          <w:tcPr>
            <w:tcW w:w="60" w:type="dxa"/>
            <w:vAlign w:val="bottom"/>
          </w:tcPr>
          <w:p>
            <w:pPr>
              <w:spacing w:after="0"/>
              <w:rPr>
                <w:sz w:val="21"/>
                <w:szCs w:val="21"/>
                <w:color w:val="auto"/>
              </w:rPr>
            </w:pPr>
          </w:p>
        </w:tc>
      </w:tr>
      <w:tr>
        <w:trPr>
          <w:trHeight w:val="224"/>
        </w:trPr>
        <w:tc>
          <w:tcPr>
            <w:tcW w:w="4780" w:type="dxa"/>
            <w:vAlign w:val="bottom"/>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ForeScout Technologies, Inc. - Delayed Draw &amp;</w:t>
            </w:r>
          </w:p>
        </w:tc>
        <w:tc>
          <w:tcPr>
            <w:tcW w:w="160" w:type="dxa"/>
            <w:vAlign w:val="bottom"/>
            <w:shd w:val="clear" w:color="auto" w:fill="D8EEF4"/>
          </w:tcPr>
          <w:p>
            <w:pPr>
              <w:spacing w:after="0"/>
              <w:rPr>
                <w:sz w:val="19"/>
                <w:szCs w:val="19"/>
                <w:color w:val="auto"/>
              </w:rPr>
            </w:pPr>
          </w:p>
        </w:tc>
        <w:tc>
          <w:tcPr>
            <w:tcW w:w="1580" w:type="dxa"/>
            <w:vAlign w:val="bottom"/>
            <w:shd w:val="clear" w:color="auto" w:fill="D8EEF4"/>
          </w:tcPr>
          <w:p>
            <w:pPr>
              <w:spacing w:after="0"/>
              <w:rPr>
                <w:sz w:val="19"/>
                <w:szCs w:val="19"/>
                <w:color w:val="auto"/>
              </w:rPr>
            </w:pPr>
          </w:p>
        </w:tc>
        <w:tc>
          <w:tcPr>
            <w:tcW w:w="200" w:type="dxa"/>
            <w:vAlign w:val="bottom"/>
            <w:shd w:val="clear" w:color="auto" w:fill="D8EEF4"/>
          </w:tcPr>
          <w:p>
            <w:pPr>
              <w:spacing w:after="0"/>
              <w:rPr>
                <w:sz w:val="19"/>
                <w:szCs w:val="19"/>
                <w:color w:val="auto"/>
              </w:rPr>
            </w:pPr>
          </w:p>
        </w:tc>
        <w:tc>
          <w:tcPr>
            <w:tcW w:w="200" w:type="dxa"/>
            <w:vAlign w:val="bottom"/>
            <w:shd w:val="clear" w:color="auto" w:fill="D8EEF4"/>
          </w:tcPr>
          <w:p>
            <w:pPr>
              <w:spacing w:after="0"/>
              <w:rPr>
                <w:sz w:val="19"/>
                <w:szCs w:val="19"/>
                <w:color w:val="auto"/>
              </w:rPr>
            </w:pPr>
          </w:p>
        </w:tc>
        <w:tc>
          <w:tcPr>
            <w:tcW w:w="1660" w:type="dxa"/>
            <w:vAlign w:val="bottom"/>
            <w:shd w:val="clear" w:color="auto" w:fill="D8EEF4"/>
          </w:tcPr>
          <w:p>
            <w:pPr>
              <w:spacing w:after="0"/>
              <w:rPr>
                <w:sz w:val="19"/>
                <w:szCs w:val="19"/>
                <w:color w:val="auto"/>
              </w:rPr>
            </w:pPr>
          </w:p>
        </w:tc>
        <w:tc>
          <w:tcPr>
            <w:tcW w:w="60" w:type="dxa"/>
            <w:vAlign w:val="bottom"/>
            <w:shd w:val="clear" w:color="auto" w:fill="D8EEF4"/>
          </w:tcPr>
          <w:p>
            <w:pPr>
              <w:spacing w:after="0"/>
              <w:rPr>
                <w:sz w:val="19"/>
                <w:szCs w:val="19"/>
                <w:color w:val="auto"/>
              </w:rPr>
            </w:pPr>
          </w:p>
        </w:tc>
      </w:tr>
      <w:tr>
        <w:trPr>
          <w:trHeight w:val="249"/>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Fullsteam Operations, LLC - Delayed Draw &amp;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8.9</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Galileo Parent, Inc. -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3.5</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5.5</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Greenshoot Bidco B.V. -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Hippo XPA Bidco AB - Delayed Draw &amp;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9.4</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1.7</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HireVue, Inc. -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HMP Omnimedia, LLC - Delayed Draw &amp;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9.8</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Ingenovis Health Finance, LLC -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IRGSE Holding Corp. -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5.7</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Kahua, Inc. - Delayed Draw</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Kangaroo Bidco AS - Delayed Draw</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w:t>
            </w:r>
          </w:p>
        </w:tc>
        <w:tc>
          <w:tcPr>
            <w:tcW w:w="60" w:type="dxa"/>
            <w:vAlign w:val="bottom"/>
            <w:shd w:val="clear" w:color="auto" w:fill="D8EEF4"/>
          </w:tcPr>
          <w:p>
            <w:pPr>
              <w:spacing w:after="0"/>
              <w:rPr>
                <w:sz w:val="21"/>
                <w:szCs w:val="21"/>
                <w:color w:val="auto"/>
              </w:rPr>
            </w:pPr>
          </w:p>
        </w:tc>
      </w:tr>
      <w:tr>
        <w:trPr>
          <w:trHeight w:val="225"/>
        </w:trPr>
        <w:tc>
          <w:tcPr>
            <w:tcW w:w="47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4C4C4E"/>
              </w:rPr>
              <w:t>Kaseware Intermediate Holding Company - Delayed</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Draw &amp; Revolver</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Kryptona BidCo US, LLC -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2.2</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2.2</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LeanTaaS Holdings, Inc. - Delayed Draw</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18.8</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LIHA Holdco B.V. - Delayed Draw &amp; Revolver</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200" w:type="dxa"/>
            <w:vAlign w:val="bottom"/>
            <w:shd w:val="clear" w:color="auto" w:fill="D8EEF4"/>
          </w:tcPr>
          <w:p>
            <w:pPr>
              <w:spacing w:after="0"/>
              <w:rPr>
                <w:sz w:val="21"/>
                <w:szCs w:val="21"/>
                <w:color w:val="auto"/>
              </w:rPr>
            </w:pPr>
          </w:p>
        </w:tc>
        <w:tc>
          <w:tcPr>
            <w:tcW w:w="200" w:type="dxa"/>
            <w:vAlign w:val="bottom"/>
            <w:shd w:val="clear" w:color="auto" w:fill="D8EEF4"/>
          </w:tcPr>
          <w:p>
            <w:pPr>
              <w:spacing w:after="0"/>
              <w:rPr>
                <w:sz w:val="21"/>
                <w:szCs w:val="21"/>
                <w:color w:val="auto"/>
              </w:rPr>
            </w:pP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w:t>
            </w:r>
          </w:p>
        </w:tc>
        <w:tc>
          <w:tcPr>
            <w:tcW w:w="60" w:type="dxa"/>
            <w:vAlign w:val="bottom"/>
            <w:shd w:val="clear" w:color="auto" w:fill="D8EEF4"/>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9000"/>
          </w:cols>
          <w:pgMar w:left="1440" w:top="764" w:right="1440" w:bottom="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83</w:t>
      </w:r>
    </w:p>
    <w:p>
      <w:pPr>
        <w:sectPr>
          <w:pgSz w:w="11880" w:h="15480" w:orient="portrait"/>
          <w:cols w:equalWidth="0" w:num="1">
            <w:col w:w="9000"/>
          </w:cols>
          <w:pgMar w:left="1440" w:top="764" w:right="1440" w:bottom="0" w:gutter="0" w:footer="0" w:header="0"/>
          <w:type w:val="continuous"/>
        </w:sectPr>
      </w:pPr>
    </w:p>
    <w:bookmarkStart w:id="83" w:name="page84"/>
    <w:bookmarkEnd w:id="83"/>
    <w:tbl>
      <w:tblPr>
        <w:tblLayout w:type="fixed"/>
        <w:tblInd w:w="1080" w:type="dxa"/>
        <w:tblCellMar>
          <w:top w:w="0" w:type="dxa"/>
          <w:left w:w="0" w:type="dxa"/>
          <w:bottom w:w="0" w:type="dxa"/>
          <w:right w:w="0" w:type="dxa"/>
        </w:tblCellMar>
      </w:tblPr>
      <w:tr>
        <w:trPr>
          <w:trHeight w:val="249"/>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Lynx BidCo - Delayed Draw &amp; Revolver</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6.7</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0.9</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Marcura Equities LTD - Delayed Draw &amp; Revolver</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1.7</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9.1</w:t>
            </w:r>
          </w:p>
        </w:tc>
        <w:tc>
          <w:tcPr>
            <w:tcW w:w="60" w:type="dxa"/>
            <w:vAlign w:val="bottom"/>
            <w:shd w:val="clear" w:color="auto" w:fill="D8EEF4"/>
          </w:tcPr>
          <w:p>
            <w:pPr>
              <w:spacing w:after="0"/>
              <w:rPr>
                <w:sz w:val="21"/>
                <w:szCs w:val="21"/>
                <w:color w:val="auto"/>
              </w:rPr>
            </w:pPr>
          </w:p>
        </w:tc>
      </w:tr>
      <w:tr>
        <w:trPr>
          <w:trHeight w:val="225"/>
        </w:trPr>
        <w:tc>
          <w:tcPr>
            <w:tcW w:w="47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4C4C4E"/>
              </w:rPr>
              <w:t>Merit Software Finance Holdings, LLC - Delayed Draw</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&amp; Revolver</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11.8</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Omnigo Software, LLC - Delayed Draw &amp; Revolver</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1.9</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8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PDI TA Holdings, Inc. - Delayed Draw &amp; Revolver</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3.3</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PrimePay Intermediate, LLC - Delayed Draw</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4.0</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PrimeRevenue, Inc. - Revolver</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6.3</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QSR Acquisition Co. - Delayed Draw</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15.0</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Rail Acquisitions LLC - Delayed Draw &amp; Revolver</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5.7</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RainFocus, LLC - Delayed Draw</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5.3</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8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25"/>
        </w:trPr>
        <w:tc>
          <w:tcPr>
            <w:tcW w:w="47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4C4C4E"/>
              </w:rPr>
              <w:t>Rapid Data GmbH Unternehmensberatung - Delayed</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Draw &amp; Revolver</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Raptor US Buyer II Corp. - Revolver</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0.7</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Sapphire Software Buyer, Inc. - Revolver</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3.3</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Scorpio Bidco - Delayed Draw</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Sediver S.p.A. - Delayed Draw</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4.1</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3.6</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Severin Acquisition, LLC - Delayed Draw &amp; Revolver</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5.0</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Shiftmove GmbH - Delayed Draw</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10.2</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13.6</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SkyLark UK DebtCo Limited - Delayed Draw</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6.9</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SL Buyer Corp. - Delayed Draw</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11.2</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SMA Technologies Holdings, LLC - Revolver</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Sport Alliance GmbH - Revolver</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0.5</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0.6</w:t>
            </w:r>
          </w:p>
        </w:tc>
        <w:tc>
          <w:tcPr>
            <w:tcW w:w="60" w:type="dxa"/>
            <w:vAlign w:val="bottom"/>
          </w:tcPr>
          <w:p>
            <w:pPr>
              <w:spacing w:after="0"/>
              <w:rPr>
                <w:sz w:val="21"/>
                <w:szCs w:val="21"/>
                <w:color w:val="auto"/>
              </w:rPr>
            </w:pPr>
          </w:p>
        </w:tc>
      </w:tr>
      <w:tr>
        <w:trPr>
          <w:trHeight w:val="224"/>
        </w:trPr>
        <w:tc>
          <w:tcPr>
            <w:tcW w:w="4780" w:type="dxa"/>
            <w:vAlign w:val="bottom"/>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Tango Management Consulting, LLC - Delayed Draw &amp;</w:t>
            </w:r>
          </w:p>
        </w:tc>
        <w:tc>
          <w:tcPr>
            <w:tcW w:w="680" w:type="dxa"/>
            <w:vAlign w:val="bottom"/>
            <w:shd w:val="clear" w:color="auto" w:fill="D8EEF4"/>
          </w:tcPr>
          <w:p>
            <w:pPr>
              <w:spacing w:after="0"/>
              <w:rPr>
                <w:sz w:val="19"/>
                <w:szCs w:val="19"/>
                <w:color w:val="auto"/>
              </w:rPr>
            </w:pPr>
          </w:p>
        </w:tc>
        <w:tc>
          <w:tcPr>
            <w:tcW w:w="1060" w:type="dxa"/>
            <w:vAlign w:val="bottom"/>
            <w:shd w:val="clear" w:color="auto" w:fill="D8EEF4"/>
          </w:tcPr>
          <w:p>
            <w:pPr>
              <w:spacing w:after="0"/>
              <w:rPr>
                <w:sz w:val="19"/>
                <w:szCs w:val="19"/>
                <w:color w:val="auto"/>
              </w:rPr>
            </w:pPr>
          </w:p>
        </w:tc>
        <w:tc>
          <w:tcPr>
            <w:tcW w:w="200" w:type="dxa"/>
            <w:vAlign w:val="bottom"/>
            <w:shd w:val="clear" w:color="auto" w:fill="D8EEF4"/>
          </w:tcPr>
          <w:p>
            <w:pPr>
              <w:spacing w:after="0"/>
              <w:rPr>
                <w:sz w:val="19"/>
                <w:szCs w:val="19"/>
                <w:color w:val="auto"/>
              </w:rPr>
            </w:pPr>
          </w:p>
        </w:tc>
        <w:tc>
          <w:tcPr>
            <w:tcW w:w="740" w:type="dxa"/>
            <w:vAlign w:val="bottom"/>
            <w:shd w:val="clear" w:color="auto" w:fill="D8EEF4"/>
          </w:tcPr>
          <w:p>
            <w:pPr>
              <w:spacing w:after="0"/>
              <w:rPr>
                <w:sz w:val="19"/>
                <w:szCs w:val="19"/>
                <w:color w:val="auto"/>
              </w:rPr>
            </w:pPr>
          </w:p>
        </w:tc>
        <w:tc>
          <w:tcPr>
            <w:tcW w:w="1120" w:type="dxa"/>
            <w:vAlign w:val="bottom"/>
            <w:shd w:val="clear" w:color="auto" w:fill="D8EEF4"/>
          </w:tcPr>
          <w:p>
            <w:pPr>
              <w:spacing w:after="0"/>
              <w:rPr>
                <w:sz w:val="19"/>
                <w:szCs w:val="19"/>
                <w:color w:val="auto"/>
              </w:rPr>
            </w:pPr>
          </w:p>
        </w:tc>
        <w:tc>
          <w:tcPr>
            <w:tcW w:w="60" w:type="dxa"/>
            <w:vAlign w:val="bottom"/>
            <w:shd w:val="clear" w:color="auto" w:fill="D8EEF4"/>
          </w:tcPr>
          <w:p>
            <w:pPr>
              <w:spacing w:after="0"/>
              <w:rPr>
                <w:sz w:val="19"/>
                <w:szCs w:val="19"/>
                <w:color w:val="auto"/>
              </w:rPr>
            </w:pPr>
          </w:p>
        </w:tc>
      </w:tr>
      <w:tr>
        <w:trPr>
          <w:trHeight w:val="250"/>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Revolver</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23.8</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TRP Assets, LLC - Delayed Draw</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10.2</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10.2</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Truck-Lite Co., LLC - Delayed Draw &amp; Revolver</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8.7</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TS Imagine Inc. - Revolver</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0.8</w:t>
            </w:r>
          </w:p>
        </w:tc>
        <w:tc>
          <w:tcPr>
            <w:tcW w:w="60" w:type="dxa"/>
            <w:vAlign w:val="bottom"/>
          </w:tcPr>
          <w:p>
            <w:pPr>
              <w:spacing w:after="0"/>
              <w:rPr>
                <w:sz w:val="21"/>
                <w:szCs w:val="21"/>
                <w:color w:val="auto"/>
              </w:rPr>
            </w:pPr>
          </w:p>
        </w:tc>
      </w:tr>
      <w:tr>
        <w:trPr>
          <w:trHeight w:val="244"/>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USA Debusk LLC - Delayed Draw &amp; Revolver</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2.5</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2.8</w:t>
            </w:r>
          </w:p>
        </w:tc>
        <w:tc>
          <w:tcPr>
            <w:tcW w:w="60" w:type="dxa"/>
            <w:vAlign w:val="bottom"/>
            <w:shd w:val="clear" w:color="auto" w:fill="D8EEF4"/>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4C4C4E"/>
              </w:rPr>
              <w:t>Varinem German Bidco GmbH - Delayed Draw</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4.9</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3.6</w:t>
            </w:r>
          </w:p>
        </w:tc>
        <w:tc>
          <w:tcPr>
            <w:tcW w:w="60" w:type="dxa"/>
            <w:vAlign w:val="bottom"/>
          </w:tcPr>
          <w:p>
            <w:pPr>
              <w:spacing w:after="0"/>
              <w:rPr>
                <w:sz w:val="21"/>
                <w:szCs w:val="21"/>
                <w:color w:val="auto"/>
              </w:rPr>
            </w:pPr>
          </w:p>
        </w:tc>
      </w:tr>
      <w:tr>
        <w:trPr>
          <w:trHeight w:val="224"/>
        </w:trPr>
        <w:tc>
          <w:tcPr>
            <w:tcW w:w="4780" w:type="dxa"/>
            <w:vAlign w:val="bottom"/>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Velocity Clinical Research, Inc. - Delayed Draw &amp;</w:t>
            </w:r>
          </w:p>
        </w:tc>
        <w:tc>
          <w:tcPr>
            <w:tcW w:w="680" w:type="dxa"/>
            <w:vAlign w:val="bottom"/>
            <w:shd w:val="clear" w:color="auto" w:fill="D8EEF4"/>
          </w:tcPr>
          <w:p>
            <w:pPr>
              <w:spacing w:after="0"/>
              <w:rPr>
                <w:sz w:val="19"/>
                <w:szCs w:val="19"/>
                <w:color w:val="auto"/>
              </w:rPr>
            </w:pPr>
          </w:p>
        </w:tc>
        <w:tc>
          <w:tcPr>
            <w:tcW w:w="1060" w:type="dxa"/>
            <w:vAlign w:val="bottom"/>
            <w:shd w:val="clear" w:color="auto" w:fill="D8EEF4"/>
          </w:tcPr>
          <w:p>
            <w:pPr>
              <w:spacing w:after="0"/>
              <w:rPr>
                <w:sz w:val="19"/>
                <w:szCs w:val="19"/>
                <w:color w:val="auto"/>
              </w:rPr>
            </w:pPr>
          </w:p>
        </w:tc>
        <w:tc>
          <w:tcPr>
            <w:tcW w:w="200" w:type="dxa"/>
            <w:vAlign w:val="bottom"/>
            <w:shd w:val="clear" w:color="auto" w:fill="D8EEF4"/>
          </w:tcPr>
          <w:p>
            <w:pPr>
              <w:spacing w:after="0"/>
              <w:rPr>
                <w:sz w:val="19"/>
                <w:szCs w:val="19"/>
                <w:color w:val="auto"/>
              </w:rPr>
            </w:pPr>
          </w:p>
        </w:tc>
        <w:tc>
          <w:tcPr>
            <w:tcW w:w="740" w:type="dxa"/>
            <w:vAlign w:val="bottom"/>
            <w:shd w:val="clear" w:color="auto" w:fill="D8EEF4"/>
          </w:tcPr>
          <w:p>
            <w:pPr>
              <w:spacing w:after="0"/>
              <w:rPr>
                <w:sz w:val="19"/>
                <w:szCs w:val="19"/>
                <w:color w:val="auto"/>
              </w:rPr>
            </w:pPr>
          </w:p>
        </w:tc>
        <w:tc>
          <w:tcPr>
            <w:tcW w:w="1120" w:type="dxa"/>
            <w:vAlign w:val="bottom"/>
            <w:shd w:val="clear" w:color="auto" w:fill="D8EEF4"/>
          </w:tcPr>
          <w:p>
            <w:pPr>
              <w:spacing w:after="0"/>
              <w:rPr>
                <w:sz w:val="19"/>
                <w:szCs w:val="19"/>
                <w:color w:val="auto"/>
              </w:rPr>
            </w:pPr>
          </w:p>
        </w:tc>
        <w:tc>
          <w:tcPr>
            <w:tcW w:w="60" w:type="dxa"/>
            <w:vAlign w:val="bottom"/>
            <w:shd w:val="clear" w:color="auto" w:fill="D8EEF4"/>
          </w:tcPr>
          <w:p>
            <w:pPr>
              <w:spacing w:after="0"/>
              <w:rPr>
                <w:sz w:val="19"/>
                <w:szCs w:val="19"/>
                <w:color w:val="auto"/>
              </w:rPr>
            </w:pPr>
          </w:p>
        </w:tc>
      </w:tr>
      <w:tr>
        <w:trPr>
          <w:trHeight w:val="250"/>
        </w:trPr>
        <w:tc>
          <w:tcPr>
            <w:tcW w:w="47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Revolver</w:t>
            </w:r>
          </w:p>
        </w:tc>
        <w:tc>
          <w:tcPr>
            <w:tcW w:w="6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8.8</w:t>
            </w:r>
          </w:p>
        </w:tc>
        <w:tc>
          <w:tcPr>
            <w:tcW w:w="200" w:type="dxa"/>
            <w:vAlign w:val="bottom"/>
            <w:shd w:val="clear" w:color="auto" w:fill="D8EEF4"/>
          </w:tcPr>
          <w:p>
            <w:pPr>
              <w:spacing w:after="0"/>
              <w:rPr>
                <w:sz w:val="21"/>
                <w:szCs w:val="21"/>
                <w:color w:val="auto"/>
              </w:rPr>
            </w:pPr>
          </w:p>
        </w:tc>
        <w:tc>
          <w:tcPr>
            <w:tcW w:w="740" w:type="dxa"/>
            <w:vAlign w:val="bottom"/>
            <w:shd w:val="clear" w:color="auto" w:fill="D8EEF4"/>
          </w:tcPr>
          <w:p>
            <w:pPr>
              <w:spacing w:after="0"/>
              <w:rPr>
                <w:sz w:val="21"/>
                <w:szCs w:val="21"/>
                <w:color w:val="auto"/>
              </w:rPr>
            </w:pPr>
          </w:p>
        </w:tc>
        <w:tc>
          <w:tcPr>
            <w:tcW w:w="118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478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20"/>
                <w:szCs w:val="20"/>
                <w:color w:val="4C4C4E"/>
              </w:rPr>
              <w:t>Wrangler Topco, LLC - Delayed Draw &amp; Revolver</w:t>
            </w:r>
          </w:p>
        </w:tc>
        <w:tc>
          <w:tcPr>
            <w:tcW w:w="680" w:type="dxa"/>
            <w:vAlign w:val="bottom"/>
            <w:tcBorders>
              <w:bottom w:val="single" w:sz="8" w:color="4C4C4E"/>
            </w:tcBorders>
          </w:tcPr>
          <w:p>
            <w:pPr>
              <w:spacing w:after="0"/>
              <w:rPr>
                <w:sz w:val="21"/>
                <w:szCs w:val="21"/>
                <w:color w:val="auto"/>
              </w:rPr>
            </w:pPr>
          </w:p>
        </w:tc>
        <w:tc>
          <w:tcPr>
            <w:tcW w:w="10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0.9</w:t>
            </w:r>
          </w:p>
        </w:tc>
        <w:tc>
          <w:tcPr>
            <w:tcW w:w="200" w:type="dxa"/>
            <w:vAlign w:val="bottom"/>
            <w:tcBorders>
              <w:bottom w:val="single" w:sz="8" w:color="D8EEF4"/>
            </w:tcBorders>
          </w:tcPr>
          <w:p>
            <w:pPr>
              <w:spacing w:after="0"/>
              <w:rPr>
                <w:sz w:val="21"/>
                <w:szCs w:val="21"/>
                <w:color w:val="auto"/>
              </w:rPr>
            </w:pPr>
          </w:p>
        </w:tc>
        <w:tc>
          <w:tcPr>
            <w:tcW w:w="740" w:type="dxa"/>
            <w:vAlign w:val="bottom"/>
            <w:tcBorders>
              <w:bottom w:val="single" w:sz="8" w:color="4C4C4E"/>
            </w:tcBorders>
          </w:tcPr>
          <w:p>
            <w:pPr>
              <w:spacing w:after="0"/>
              <w:rPr>
                <w:sz w:val="21"/>
                <w:szCs w:val="21"/>
                <w:color w:val="auto"/>
              </w:rPr>
            </w:pPr>
          </w:p>
        </w:tc>
        <w:tc>
          <w:tcPr>
            <w:tcW w:w="11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1.4</w:t>
            </w:r>
          </w:p>
        </w:tc>
        <w:tc>
          <w:tcPr>
            <w:tcW w:w="60" w:type="dxa"/>
            <w:vAlign w:val="bottom"/>
            <w:tcBorders>
              <w:bottom w:val="single" w:sz="8" w:color="D8EEF4"/>
            </w:tcBorders>
          </w:tcPr>
          <w:p>
            <w:pPr>
              <w:spacing w:after="0"/>
              <w:rPr>
                <w:sz w:val="21"/>
                <w:szCs w:val="21"/>
                <w:color w:val="auto"/>
              </w:rPr>
            </w:pPr>
          </w:p>
        </w:tc>
      </w:tr>
      <w:tr>
        <w:trPr>
          <w:trHeight w:val="239"/>
        </w:trPr>
        <w:tc>
          <w:tcPr>
            <w:tcW w:w="4780" w:type="dxa"/>
            <w:vAlign w:val="bottom"/>
            <w:shd w:val="clear" w:color="auto" w:fill="D8EEF4"/>
          </w:tcPr>
          <w:p>
            <w:pPr>
              <w:ind w:left="100"/>
              <w:spacing w:after="0" w:line="238" w:lineRule="exact"/>
              <w:rPr>
                <w:sz w:val="20"/>
                <w:szCs w:val="20"/>
                <w:color w:val="auto"/>
              </w:rPr>
            </w:pPr>
            <w:r>
              <w:rPr>
                <w:rFonts w:ascii="Times New Roman" w:cs="Times New Roman" w:eastAsia="Times New Roman" w:hAnsi="Times New Roman"/>
                <w:sz w:val="20"/>
                <w:szCs w:val="20"/>
                <w:b w:val="1"/>
                <w:bCs w:val="1"/>
                <w:color w:val="4C4C4E"/>
              </w:rPr>
              <w:t xml:space="preserve">Total Portfolio Company Commitments </w:t>
            </w:r>
            <w:r>
              <w:rPr>
                <w:rFonts w:ascii="Times New Roman" w:cs="Times New Roman" w:eastAsia="Times New Roman" w:hAnsi="Times New Roman"/>
                <w:sz w:val="26"/>
                <w:szCs w:val="26"/>
                <w:b w:val="1"/>
                <w:bCs w:val="1"/>
                <w:color w:val="4C4C4E"/>
                <w:vertAlign w:val="superscript"/>
              </w:rPr>
              <w:t>(1)(2)</w:t>
            </w:r>
          </w:p>
        </w:tc>
        <w:tc>
          <w:tcPr>
            <w:tcW w:w="680" w:type="dxa"/>
            <w:vAlign w:val="bottom"/>
            <w:tcBorders>
              <w:bottom w:val="single" w:sz="8" w:color="4C4C4E"/>
            </w:tcBorders>
            <w:shd w:val="clear" w:color="auto" w:fill="D8EEF4"/>
          </w:tcPr>
          <w:p>
            <w:pPr>
              <w:jc w:val="right"/>
              <w:ind w:right="480"/>
              <w:spacing w:after="0"/>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338.5</w:t>
            </w:r>
          </w:p>
        </w:tc>
        <w:tc>
          <w:tcPr>
            <w:tcW w:w="200" w:type="dxa"/>
            <w:vAlign w:val="bottom"/>
            <w:shd w:val="clear" w:color="auto" w:fill="D8EEF4"/>
          </w:tcPr>
          <w:p>
            <w:pPr>
              <w:spacing w:after="0"/>
              <w:rPr>
                <w:sz w:val="20"/>
                <w:szCs w:val="20"/>
                <w:color w:val="auto"/>
              </w:rPr>
            </w:pPr>
          </w:p>
        </w:tc>
        <w:tc>
          <w:tcPr>
            <w:tcW w:w="740" w:type="dxa"/>
            <w:vAlign w:val="bottom"/>
            <w:tcBorders>
              <w:bottom w:val="single" w:sz="8" w:color="4C4C4E"/>
            </w:tcBorders>
            <w:shd w:val="clear" w:color="auto" w:fill="D8EEF4"/>
          </w:tcPr>
          <w:p>
            <w:pPr>
              <w:jc w:val="right"/>
              <w:ind w:right="540"/>
              <w:spacing w:after="0"/>
              <w:rPr>
                <w:sz w:val="20"/>
                <w:szCs w:val="20"/>
                <w:color w:val="auto"/>
              </w:rPr>
            </w:pPr>
            <w:r>
              <w:rPr>
                <w:rFonts w:ascii="Times New Roman" w:cs="Times New Roman" w:eastAsia="Times New Roman" w:hAnsi="Times New Roman"/>
                <w:sz w:val="20"/>
                <w:szCs w:val="20"/>
                <w:color w:val="4C4C4E"/>
                <w:w w:val="79"/>
              </w:rPr>
              <w:t>$</w:t>
            </w:r>
          </w:p>
        </w:tc>
        <w:tc>
          <w:tcPr>
            <w:tcW w:w="11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356.3</w:t>
            </w:r>
          </w:p>
        </w:tc>
        <w:tc>
          <w:tcPr>
            <w:tcW w:w="60" w:type="dxa"/>
            <w:vAlign w:val="bottom"/>
            <w:shd w:val="clear" w:color="auto" w:fill="D8EEF4"/>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680" w:type="dxa"/>
            <w:vAlign w:val="bottom"/>
            <w:tcBorders>
              <w:bottom w:val="single" w:sz="8" w:color="4C4C4E"/>
            </w:tcBorders>
          </w:tcPr>
          <w:p>
            <w:pPr>
              <w:spacing w:after="0" w:line="20" w:lineRule="exact"/>
              <w:rPr>
                <w:sz w:val="1"/>
                <w:szCs w:val="1"/>
                <w:color w:val="auto"/>
              </w:rPr>
            </w:pPr>
          </w:p>
        </w:tc>
        <w:tc>
          <w:tcPr>
            <w:tcW w:w="106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4C4C4E"/>
            </w:tcBorders>
          </w:tcPr>
          <w:p>
            <w:pPr>
              <w:spacing w:after="0" w:line="20" w:lineRule="exact"/>
              <w:rPr>
                <w:sz w:val="1"/>
                <w:szCs w:val="1"/>
                <w:color w:val="auto"/>
              </w:rPr>
            </w:pPr>
          </w:p>
        </w:tc>
        <w:tc>
          <w:tcPr>
            <w:tcW w:w="112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0" w:lineRule="exact"/>
        <w:rPr>
          <w:sz w:val="20"/>
          <w:szCs w:val="20"/>
          <w:color w:val="auto"/>
        </w:rPr>
      </w:pPr>
    </w:p>
    <w:p>
      <w:pPr>
        <w:ind w:left="500" w:right="180" w:hanging="500"/>
        <w:spacing w:after="0" w:line="253" w:lineRule="auto"/>
        <w:tabs>
          <w:tab w:leader="none" w:pos="500" w:val="left"/>
        </w:tabs>
        <w:numPr>
          <w:ilvl w:val="0"/>
          <w:numId w:val="6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20"/>
          <w:szCs w:val="20"/>
          <w:color w:val="4C4C4E"/>
        </w:rPr>
      </w:pPr>
    </w:p>
    <w:p>
      <w:pPr>
        <w:ind w:left="500" w:right="280" w:hanging="500"/>
        <w:spacing w:after="0" w:line="277" w:lineRule="auto"/>
        <w:tabs>
          <w:tab w:leader="none" w:pos="500" w:val="left"/>
        </w:tabs>
        <w:numPr>
          <w:ilvl w:val="0"/>
          <w:numId w:val="6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Our estimate of the fair value of the current investments in these portfolio companies includes an analysis of the fair value of any unfunded commitments.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Other Commitments and Contingencies</w:t>
      </w:r>
    </w:p>
    <w:p>
      <w:pPr>
        <w:spacing w:after="0" w:line="120" w:lineRule="exact"/>
        <w:rPr>
          <w:sz w:val="20"/>
          <w:szCs w:val="20"/>
          <w:color w:val="auto"/>
        </w:rPr>
      </w:pPr>
    </w:p>
    <w:p>
      <w:pPr>
        <w:ind w:right="620" w:firstLine="245"/>
        <w:spacing w:after="0" w:line="277" w:lineRule="auto"/>
        <w:rPr>
          <w:sz w:val="20"/>
          <w:szCs w:val="20"/>
          <w:color w:val="auto"/>
        </w:rPr>
      </w:pPr>
      <w:r>
        <w:rPr>
          <w:rFonts w:ascii="Times New Roman" w:cs="Times New Roman" w:eastAsia="Times New Roman" w:hAnsi="Times New Roman"/>
          <w:sz w:val="20"/>
          <w:szCs w:val="20"/>
          <w:color w:val="4C4C4E"/>
        </w:rPr>
        <w:t>As of December 31, 2025 and December 31, 2024, we did not have any unfunded commitments to fund investments to new borrowers that were not current portfolio companies as of such date.</w:t>
      </w:r>
    </w:p>
    <w:p>
      <w:pPr>
        <w:spacing w:after="0" w:line="49" w:lineRule="exact"/>
        <w:rPr>
          <w:sz w:val="20"/>
          <w:szCs w:val="20"/>
          <w:color w:val="auto"/>
        </w:rPr>
      </w:pPr>
    </w:p>
    <w:p>
      <w:pPr>
        <w:ind w:right="360" w:firstLine="245"/>
        <w:spacing w:after="0" w:line="258" w:lineRule="auto"/>
        <w:rPr>
          <w:sz w:val="20"/>
          <w:szCs w:val="20"/>
          <w:color w:val="auto"/>
        </w:rPr>
      </w:pPr>
      <w:r>
        <w:rPr>
          <w:rFonts w:ascii="Times New Roman" w:cs="Times New Roman" w:eastAsia="Times New Roman" w:hAnsi="Times New Roman"/>
          <w:sz w:val="20"/>
          <w:szCs w:val="20"/>
          <w:color w:val="4C4C4E"/>
        </w:rPr>
        <w:t>From time to time, we may become a party to certain legal proceedings incidental to the normal course of our business. As of December 31, 2025 and December 31, 2024, management is not aware of any material pending or threatened litigation that would require accounting recognition or financial statement disclosure.</w:t>
      </w:r>
    </w:p>
    <w:p>
      <w:pPr>
        <w:spacing w:after="0" w:line="188" w:lineRule="exact"/>
        <w:rPr>
          <w:sz w:val="20"/>
          <w:szCs w:val="20"/>
          <w:color w:val="auto"/>
        </w:rPr>
      </w:pPr>
    </w:p>
    <w:p>
      <w:pPr>
        <w:jc w:val="both"/>
        <w:ind w:right="380" w:firstLine="245"/>
        <w:spacing w:after="0" w:line="258" w:lineRule="auto"/>
        <w:rPr>
          <w:sz w:val="20"/>
          <w:szCs w:val="20"/>
          <w:color w:val="auto"/>
        </w:rPr>
      </w:pPr>
      <w:r>
        <w:rPr>
          <w:rFonts w:ascii="Times New Roman" w:cs="Times New Roman" w:eastAsia="Times New Roman" w:hAnsi="Times New Roman"/>
          <w:sz w:val="20"/>
          <w:szCs w:val="20"/>
          <w:color w:val="4C4C4E"/>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88"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w:t>
      </w:r>
    </w:p>
    <w:p>
      <w:pPr>
        <w:sectPr>
          <w:pgSz w:w="11880" w:h="15480" w:orient="portrait"/>
          <w:cols w:equalWidth="0" w:num="1">
            <w:col w:w="10760"/>
          </w:cols>
          <w:pgMar w:left="540" w:top="764" w:right="580" w:bottom="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C4C4E"/>
        </w:rPr>
        <w:t>84</w:t>
      </w:r>
    </w:p>
    <w:p>
      <w:pPr>
        <w:sectPr>
          <w:pgSz w:w="11880" w:h="15480" w:orient="portrait"/>
          <w:cols w:equalWidth="0" w:num="1">
            <w:col w:w="10760"/>
          </w:cols>
          <w:pgMar w:left="540" w:top="764" w:right="580" w:bottom="0" w:gutter="0" w:footer="0" w:header="0"/>
          <w:type w:val="continuous"/>
        </w:sectPr>
      </w:pPr>
    </w:p>
    <w:bookmarkStart w:id="84" w:name="page85"/>
    <w:bookmarkEnd w:id="84"/>
    <w:p>
      <w:pPr>
        <w:ind w:right="120"/>
        <w:spacing w:after="0" w:line="249" w:lineRule="auto"/>
        <w:rPr>
          <w:sz w:val="20"/>
          <w:szCs w:val="20"/>
          <w:color w:val="auto"/>
        </w:rPr>
      </w:pPr>
      <w:r>
        <w:rPr>
          <w:rFonts w:ascii="Times New Roman" w:cs="Times New Roman" w:eastAsia="Times New Roman" w:hAnsi="Times New Roman"/>
          <w:sz w:val="20"/>
          <w:szCs w:val="20"/>
          <w:color w:val="4C4C4E"/>
        </w:rPr>
        <w:t>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4C4C4E"/>
        </w:rPr>
        <w:t>Contractual Obligations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 summary of our contractual payment obligations as of December 31, 2025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4C4C4E"/>
              </w:rPr>
              <w:t>Payments Due by Period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4C4C4E"/>
              </w:rPr>
              <w:t>Less than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200" w:type="dxa"/>
            <w:vAlign w:val="bottom"/>
            <w:tcBorders>
              <w:bottom w:val="single" w:sz="8" w:color="4C4C4E"/>
            </w:tcBorders>
          </w:tcPr>
          <w:p>
            <w:pPr>
              <w:spacing w:after="0"/>
              <w:rPr>
                <w:sz w:val="17"/>
                <w:szCs w:val="17"/>
                <w:color w:val="auto"/>
              </w:rPr>
            </w:pPr>
          </w:p>
        </w:tc>
        <w:tc>
          <w:tcPr>
            <w:tcW w:w="800" w:type="dxa"/>
            <w:vAlign w:val="bottom"/>
            <w:tcBorders>
              <w:bottom w:val="single" w:sz="8" w:color="4C4C4E"/>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4C4C4E"/>
              </w:rPr>
              <w:t>Total</w:t>
            </w:r>
          </w:p>
        </w:tc>
        <w:tc>
          <w:tcPr>
            <w:tcW w:w="22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860" w:type="dxa"/>
            <w:vAlign w:val="bottom"/>
            <w:tcBorders>
              <w:bottom w:val="single" w:sz="8" w:color="4C4C4E"/>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4C4C4E"/>
              </w:rPr>
              <w:t>1 year</w:t>
            </w:r>
          </w:p>
        </w:tc>
        <w:tc>
          <w:tcPr>
            <w:tcW w:w="24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860" w:type="dxa"/>
            <w:vAlign w:val="bottom"/>
            <w:tcBorders>
              <w:bottom w:val="single" w:sz="8" w:color="4C4C4E"/>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4C4C4E"/>
              </w:rPr>
              <w:t>1-3 years</w:t>
            </w:r>
          </w:p>
        </w:tc>
        <w:tc>
          <w:tcPr>
            <w:tcW w:w="22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860" w:type="dxa"/>
            <w:vAlign w:val="bottom"/>
            <w:tcBorders>
              <w:bottom w:val="single" w:sz="8" w:color="4C4C4E"/>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4C4C4E"/>
              </w:rPr>
              <w:t>3-5 years</w:t>
            </w:r>
          </w:p>
        </w:tc>
        <w:tc>
          <w:tcPr>
            <w:tcW w:w="240" w:type="dxa"/>
            <w:vAlign w:val="bottom"/>
            <w:tcBorders>
              <w:bottom w:val="single" w:sz="8" w:color="D8EEF4"/>
            </w:tcBorders>
          </w:tcPr>
          <w:p>
            <w:pPr>
              <w:spacing w:after="0"/>
              <w:rPr>
                <w:sz w:val="17"/>
                <w:szCs w:val="17"/>
                <w:color w:val="auto"/>
              </w:rPr>
            </w:pPr>
          </w:p>
        </w:tc>
        <w:tc>
          <w:tcPr>
            <w:tcW w:w="1000" w:type="dxa"/>
            <w:vAlign w:val="bottom"/>
            <w:tcBorders>
              <w:bottom w:val="single" w:sz="8" w:color="4C4C4E"/>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4C4C4E"/>
              </w:rPr>
              <w:t>After 5 years</w:t>
            </w:r>
          </w:p>
        </w:tc>
        <w:tc>
          <w:tcPr>
            <w:tcW w:w="60" w:type="dxa"/>
            <w:vAlign w:val="bottom"/>
            <w:tcBorders>
              <w:bottom w:val="single" w:sz="8" w:color="D8EEF4"/>
            </w:tcBorders>
          </w:tcPr>
          <w:p>
            <w:pPr>
              <w:spacing w:after="0"/>
              <w:rPr>
                <w:sz w:val="17"/>
                <w:szCs w:val="17"/>
                <w:color w:val="auto"/>
              </w:rPr>
            </w:pPr>
          </w:p>
        </w:tc>
      </w:tr>
      <w:tr>
        <w:trPr>
          <w:trHeight w:val="239"/>
        </w:trPr>
        <w:tc>
          <w:tcPr>
            <w:tcW w:w="4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Revolving Credit Facility</w:t>
            </w:r>
          </w:p>
        </w:tc>
        <w:tc>
          <w:tcPr>
            <w:tcW w:w="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513.9</w:t>
            </w:r>
          </w:p>
        </w:tc>
        <w:tc>
          <w:tcPr>
            <w:tcW w:w="220" w:type="dxa"/>
            <w:vAlign w:val="bottom"/>
            <w:shd w:val="clear" w:color="auto" w:fill="D8EEF4"/>
          </w:tcPr>
          <w:p>
            <w:pPr>
              <w:spacing w:after="0"/>
              <w:rPr>
                <w:sz w:val="20"/>
                <w:szCs w:val="20"/>
                <w:color w:val="auto"/>
              </w:rPr>
            </w:pPr>
          </w:p>
        </w:tc>
        <w:tc>
          <w:tcPr>
            <w:tcW w:w="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0"/>
                <w:szCs w:val="20"/>
                <w:color w:val="auto"/>
              </w:rPr>
            </w:pPr>
          </w:p>
        </w:tc>
        <w:tc>
          <w:tcPr>
            <w:tcW w:w="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513.9</w:t>
            </w:r>
          </w:p>
        </w:tc>
        <w:tc>
          <w:tcPr>
            <w:tcW w:w="220" w:type="dxa"/>
            <w:vAlign w:val="bottom"/>
            <w:shd w:val="clear" w:color="auto" w:fill="D8EEF4"/>
          </w:tcPr>
          <w:p>
            <w:pPr>
              <w:spacing w:after="0"/>
              <w:rPr>
                <w:sz w:val="20"/>
                <w:szCs w:val="20"/>
                <w:color w:val="auto"/>
              </w:rPr>
            </w:pPr>
          </w:p>
        </w:tc>
        <w:tc>
          <w:tcPr>
            <w:tcW w:w="140" w:type="dxa"/>
            <w:vAlign w:val="bottom"/>
            <w:shd w:val="clear" w:color="auto" w:fill="D8EEF4"/>
          </w:tcPr>
          <w:p>
            <w:pPr>
              <w:spacing w:after="0"/>
              <w:rPr>
                <w:sz w:val="20"/>
                <w:szCs w:val="20"/>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0"/>
                <w:szCs w:val="20"/>
                <w:color w:val="auto"/>
              </w:rPr>
            </w:pPr>
          </w:p>
        </w:tc>
        <w:tc>
          <w:tcPr>
            <w:tcW w:w="440" w:type="dxa"/>
            <w:vAlign w:val="bottom"/>
            <w:shd w:val="clear" w:color="auto" w:fill="D8EEF4"/>
          </w:tcPr>
          <w:p>
            <w:pPr>
              <w:jc w:val="right"/>
              <w:ind w:right="247"/>
              <w:spacing w:after="0"/>
              <w:rPr>
                <w:sz w:val="20"/>
                <w:szCs w:val="20"/>
                <w:color w:val="auto"/>
              </w:rPr>
            </w:pPr>
            <w:r>
              <w:rPr>
                <w:rFonts w:ascii="Times New Roman" w:cs="Times New Roman" w:eastAsia="Times New Roman" w:hAnsi="Times New Roman"/>
                <w:sz w:val="20"/>
                <w:szCs w:val="20"/>
                <w:color w:val="4C4C4E"/>
                <w:w w:val="79"/>
              </w:rPr>
              <w:t>$</w:t>
            </w:r>
          </w:p>
        </w:tc>
        <w:tc>
          <w:tcPr>
            <w:tcW w:w="560" w:type="dxa"/>
            <w:vAlign w:val="bottom"/>
            <w:shd w:val="clear" w:color="auto" w:fill="D8EEF4"/>
          </w:tcPr>
          <w:p>
            <w:pPr>
              <w:ind w:left="340"/>
              <w:spacing w:after="0"/>
              <w:rPr>
                <w:sz w:val="20"/>
                <w:szCs w:val="20"/>
                <w:color w:val="auto"/>
              </w:rPr>
            </w:pPr>
            <w:r>
              <w:rPr>
                <w:rFonts w:ascii="Times New Roman" w:cs="Times New Roman" w:eastAsia="Times New Roman" w:hAnsi="Times New Roman"/>
                <w:sz w:val="20"/>
                <w:szCs w:val="20"/>
                <w:color w:val="4C4C4E"/>
                <w:w w:val="99"/>
              </w:rPr>
              <w:t>—</w:t>
            </w:r>
          </w:p>
        </w:tc>
        <w:tc>
          <w:tcPr>
            <w:tcW w:w="60" w:type="dxa"/>
            <w:vAlign w:val="bottom"/>
            <w:shd w:val="clear" w:color="auto" w:fill="D8EEF4"/>
          </w:tcPr>
          <w:p>
            <w:pPr>
              <w:spacing w:after="0"/>
              <w:rPr>
                <w:sz w:val="20"/>
                <w:szCs w:val="20"/>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4C4C4E"/>
              </w:rPr>
              <w:t>2026 Notes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20"/>
                <w:szCs w:val="20"/>
                <w:color w:val="4C4C4E"/>
                <w:w w:val="99"/>
              </w:rPr>
              <w:t>—</w:t>
            </w:r>
          </w:p>
        </w:tc>
        <w:tc>
          <w:tcPr>
            <w:tcW w:w="60" w:type="dxa"/>
            <w:vAlign w:val="bottom"/>
          </w:tcPr>
          <w:p>
            <w:pPr>
              <w:spacing w:after="0"/>
              <w:rPr>
                <w:sz w:val="21"/>
                <w:szCs w:val="21"/>
                <w:color w:val="auto"/>
              </w:rPr>
            </w:pPr>
          </w:p>
        </w:tc>
      </w:tr>
      <w:tr>
        <w:trPr>
          <w:trHeight w:val="244"/>
        </w:trPr>
        <w:tc>
          <w:tcPr>
            <w:tcW w:w="4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2028 Notes</w:t>
            </w:r>
          </w:p>
        </w:tc>
        <w:tc>
          <w:tcPr>
            <w:tcW w:w="200" w:type="dxa"/>
            <w:vAlign w:val="bottom"/>
            <w:shd w:val="clear" w:color="auto" w:fill="D8EEF4"/>
          </w:tcPr>
          <w:p>
            <w:pPr>
              <w:spacing w:after="0"/>
              <w:rPr>
                <w:sz w:val="21"/>
                <w:szCs w:val="21"/>
                <w:color w:val="auto"/>
              </w:rPr>
            </w:pPr>
          </w:p>
        </w:tc>
        <w:tc>
          <w:tcPr>
            <w:tcW w:w="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shd w:val="clear" w:color="auto" w:fill="D8EEF4"/>
          </w:tcPr>
          <w:p>
            <w:pPr>
              <w:spacing w:after="0"/>
              <w:rPr>
                <w:sz w:val="21"/>
                <w:szCs w:val="21"/>
                <w:color w:val="auto"/>
              </w:rPr>
            </w:pPr>
          </w:p>
        </w:tc>
        <w:tc>
          <w:tcPr>
            <w:tcW w:w="440" w:type="dxa"/>
            <w:vAlign w:val="bottom"/>
            <w:shd w:val="clear" w:color="auto" w:fill="D8EEF4"/>
          </w:tcPr>
          <w:p>
            <w:pPr>
              <w:spacing w:after="0"/>
              <w:rPr>
                <w:sz w:val="21"/>
                <w:szCs w:val="21"/>
                <w:color w:val="auto"/>
              </w:rPr>
            </w:pPr>
          </w:p>
        </w:tc>
        <w:tc>
          <w:tcPr>
            <w:tcW w:w="560" w:type="dxa"/>
            <w:vAlign w:val="bottom"/>
            <w:shd w:val="clear" w:color="auto" w:fill="D8EEF4"/>
          </w:tcPr>
          <w:p>
            <w:pPr>
              <w:ind w:left="340"/>
              <w:spacing w:after="0"/>
              <w:rPr>
                <w:sz w:val="20"/>
                <w:szCs w:val="20"/>
                <w:color w:val="auto"/>
              </w:rPr>
            </w:pPr>
            <w:r>
              <w:rPr>
                <w:rFonts w:ascii="Times New Roman" w:cs="Times New Roman" w:eastAsia="Times New Roman" w:hAnsi="Times New Roman"/>
                <w:sz w:val="20"/>
                <w:szCs w:val="20"/>
                <w:color w:val="4C4C4E"/>
                <w:w w:val="99"/>
              </w:rPr>
              <w:t>—</w:t>
            </w:r>
          </w:p>
        </w:tc>
        <w:tc>
          <w:tcPr>
            <w:tcW w:w="60" w:type="dxa"/>
            <w:vAlign w:val="bottom"/>
            <w:shd w:val="clear" w:color="auto" w:fill="D8EEF4"/>
          </w:tcPr>
          <w:p>
            <w:pPr>
              <w:spacing w:after="0"/>
              <w:rPr>
                <w:sz w:val="21"/>
                <w:szCs w:val="21"/>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4C4C4E"/>
              </w:rPr>
              <w:t>2029 Notes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20"/>
                <w:szCs w:val="20"/>
                <w:color w:val="4C4C4E"/>
                <w:w w:val="99"/>
              </w:rPr>
              <w:t>—</w:t>
            </w:r>
          </w:p>
        </w:tc>
        <w:tc>
          <w:tcPr>
            <w:tcW w:w="60" w:type="dxa"/>
            <w:vAlign w:val="bottom"/>
          </w:tcPr>
          <w:p>
            <w:pPr>
              <w:spacing w:after="0"/>
              <w:rPr>
                <w:sz w:val="21"/>
                <w:szCs w:val="21"/>
                <w:color w:val="auto"/>
              </w:rPr>
            </w:pPr>
          </w:p>
        </w:tc>
      </w:tr>
      <w:tr>
        <w:trPr>
          <w:trHeight w:val="264"/>
        </w:trPr>
        <w:tc>
          <w:tcPr>
            <w:tcW w:w="482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2030 Notes</w:t>
            </w:r>
          </w:p>
        </w:tc>
        <w:tc>
          <w:tcPr>
            <w:tcW w:w="200" w:type="dxa"/>
            <w:vAlign w:val="bottom"/>
            <w:tcBorders>
              <w:bottom w:val="single" w:sz="8" w:color="4C4C4E"/>
            </w:tcBorders>
            <w:shd w:val="clear" w:color="auto" w:fill="D8EEF4"/>
          </w:tcPr>
          <w:p>
            <w:pPr>
              <w:spacing w:after="0"/>
              <w:rPr>
                <w:sz w:val="22"/>
                <w:szCs w:val="22"/>
                <w:color w:val="auto"/>
              </w:rPr>
            </w:pPr>
          </w:p>
        </w:tc>
        <w:tc>
          <w:tcPr>
            <w:tcW w:w="8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20" w:type="dxa"/>
            <w:vAlign w:val="bottom"/>
            <w:tcBorders>
              <w:bottom w:val="single" w:sz="8" w:color="D8EEF4"/>
            </w:tcBorders>
            <w:shd w:val="clear" w:color="auto" w:fill="D8EEF4"/>
          </w:tcPr>
          <w:p>
            <w:pPr>
              <w:spacing w:after="0"/>
              <w:rPr>
                <w:sz w:val="22"/>
                <w:szCs w:val="22"/>
                <w:color w:val="auto"/>
              </w:rPr>
            </w:pPr>
          </w:p>
        </w:tc>
        <w:tc>
          <w:tcPr>
            <w:tcW w:w="140" w:type="dxa"/>
            <w:vAlign w:val="bottom"/>
            <w:tcBorders>
              <w:bottom w:val="single" w:sz="8" w:color="4C4C4E"/>
            </w:tcBorders>
            <w:shd w:val="clear" w:color="auto" w:fill="D8EEF4"/>
          </w:tcPr>
          <w:p>
            <w:pPr>
              <w:spacing w:after="0"/>
              <w:rPr>
                <w:sz w:val="22"/>
                <w:szCs w:val="22"/>
                <w:color w:val="auto"/>
              </w:rPr>
            </w:pPr>
          </w:p>
        </w:tc>
        <w:tc>
          <w:tcPr>
            <w:tcW w:w="8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40" w:type="dxa"/>
            <w:vAlign w:val="bottom"/>
            <w:tcBorders>
              <w:bottom w:val="single" w:sz="8" w:color="D8EEF4"/>
            </w:tcBorders>
            <w:shd w:val="clear" w:color="auto" w:fill="D8EEF4"/>
          </w:tcPr>
          <w:p>
            <w:pPr>
              <w:spacing w:after="0"/>
              <w:rPr>
                <w:sz w:val="22"/>
                <w:szCs w:val="22"/>
                <w:color w:val="auto"/>
              </w:rPr>
            </w:pPr>
          </w:p>
        </w:tc>
        <w:tc>
          <w:tcPr>
            <w:tcW w:w="140" w:type="dxa"/>
            <w:vAlign w:val="bottom"/>
            <w:tcBorders>
              <w:bottom w:val="single" w:sz="8" w:color="4C4C4E"/>
            </w:tcBorders>
            <w:shd w:val="clear" w:color="auto" w:fill="D8EEF4"/>
          </w:tcPr>
          <w:p>
            <w:pPr>
              <w:spacing w:after="0"/>
              <w:rPr>
                <w:sz w:val="22"/>
                <w:szCs w:val="22"/>
                <w:color w:val="auto"/>
              </w:rPr>
            </w:pPr>
          </w:p>
        </w:tc>
        <w:tc>
          <w:tcPr>
            <w:tcW w:w="8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Borders>
              <w:bottom w:val="single" w:sz="8" w:color="D8EEF4"/>
            </w:tcBorders>
            <w:shd w:val="clear" w:color="auto" w:fill="D8EEF4"/>
          </w:tcPr>
          <w:p>
            <w:pPr>
              <w:spacing w:after="0"/>
              <w:rPr>
                <w:sz w:val="22"/>
                <w:szCs w:val="22"/>
                <w:color w:val="auto"/>
              </w:rPr>
            </w:pPr>
          </w:p>
        </w:tc>
        <w:tc>
          <w:tcPr>
            <w:tcW w:w="140" w:type="dxa"/>
            <w:vAlign w:val="bottom"/>
            <w:tcBorders>
              <w:bottom w:val="single" w:sz="8" w:color="4C4C4E"/>
            </w:tcBorders>
            <w:shd w:val="clear" w:color="auto" w:fill="D8EEF4"/>
          </w:tcPr>
          <w:p>
            <w:pPr>
              <w:spacing w:after="0"/>
              <w:rPr>
                <w:sz w:val="22"/>
                <w:szCs w:val="22"/>
                <w:color w:val="auto"/>
              </w:rPr>
            </w:pPr>
          </w:p>
        </w:tc>
        <w:tc>
          <w:tcPr>
            <w:tcW w:w="8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w:t>
            </w:r>
          </w:p>
        </w:tc>
        <w:tc>
          <w:tcPr>
            <w:tcW w:w="240" w:type="dxa"/>
            <w:vAlign w:val="bottom"/>
            <w:tcBorders>
              <w:bottom w:val="single" w:sz="8" w:color="D8EEF4"/>
            </w:tcBorders>
            <w:shd w:val="clear" w:color="auto" w:fill="D8EEF4"/>
          </w:tcPr>
          <w:p>
            <w:pPr>
              <w:spacing w:after="0"/>
              <w:rPr>
                <w:sz w:val="22"/>
                <w:szCs w:val="22"/>
                <w:color w:val="auto"/>
              </w:rPr>
            </w:pPr>
          </w:p>
        </w:tc>
        <w:tc>
          <w:tcPr>
            <w:tcW w:w="440" w:type="dxa"/>
            <w:vAlign w:val="bottom"/>
            <w:tcBorders>
              <w:bottom w:val="single" w:sz="8" w:color="4C4C4E"/>
            </w:tcBorders>
            <w:shd w:val="clear" w:color="auto" w:fill="D8EEF4"/>
          </w:tcPr>
          <w:p>
            <w:pPr>
              <w:spacing w:after="0"/>
              <w:rPr>
                <w:sz w:val="22"/>
                <w:szCs w:val="22"/>
                <w:color w:val="auto"/>
              </w:rPr>
            </w:pPr>
          </w:p>
        </w:tc>
        <w:tc>
          <w:tcPr>
            <w:tcW w:w="560" w:type="dxa"/>
            <w:vAlign w:val="bottom"/>
            <w:tcBorders>
              <w:bottom w:val="single" w:sz="8" w:color="4C4C4E"/>
            </w:tcBorders>
            <w:shd w:val="clear" w:color="auto" w:fill="D8EEF4"/>
          </w:tcPr>
          <w:p>
            <w:pPr>
              <w:ind w:left="340"/>
              <w:spacing w:after="0"/>
              <w:rPr>
                <w:sz w:val="20"/>
                <w:szCs w:val="20"/>
                <w:color w:val="auto"/>
              </w:rPr>
            </w:pPr>
            <w:r>
              <w:rPr>
                <w:rFonts w:ascii="Times New Roman" w:cs="Times New Roman" w:eastAsia="Times New Roman" w:hAnsi="Times New Roman"/>
                <w:sz w:val="20"/>
                <w:szCs w:val="20"/>
                <w:color w:val="4C4C4E"/>
                <w:w w:val="99"/>
              </w:rPr>
              <w:t>—</w:t>
            </w:r>
          </w:p>
        </w:tc>
        <w:tc>
          <w:tcPr>
            <w:tcW w:w="60" w:type="dxa"/>
            <w:vAlign w:val="bottom"/>
            <w:tcBorders>
              <w:bottom w:val="single" w:sz="8" w:color="D8EEF4"/>
            </w:tcBorders>
            <w:shd w:val="clear" w:color="auto" w:fill="D8EEF4"/>
          </w:tcPr>
          <w:p>
            <w:pPr>
              <w:spacing w:after="0"/>
              <w:rPr>
                <w:sz w:val="22"/>
                <w:szCs w:val="22"/>
                <w:color w:val="auto"/>
              </w:rPr>
            </w:pPr>
          </w:p>
        </w:tc>
      </w:tr>
      <w:tr>
        <w:trPr>
          <w:trHeight w:val="219"/>
        </w:trPr>
        <w:tc>
          <w:tcPr>
            <w:tcW w:w="482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4C4C4E"/>
              </w:rPr>
              <w:t>Total Contractual Obligations</w:t>
            </w:r>
          </w:p>
        </w:tc>
        <w:tc>
          <w:tcPr>
            <w:tcW w:w="20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1,763.</w:t>
            </w:r>
            <w:r>
              <w:rPr>
                <w:rFonts w:ascii="Times New Roman" w:cs="Times New Roman" w:eastAsia="Times New Roman" w:hAnsi="Times New Roman"/>
                <w:sz w:val="20"/>
                <w:szCs w:val="20"/>
                <w:u w:val="single" w:color="auto"/>
                <w:color w:val="4C4C4E"/>
              </w:rPr>
              <w:t>9</w:t>
            </w:r>
          </w:p>
        </w:tc>
        <w:tc>
          <w:tcPr>
            <w:tcW w:w="220" w:type="dxa"/>
            <w:vAlign w:val="bottom"/>
          </w:tcPr>
          <w:p>
            <w:pPr>
              <w:spacing w:after="0"/>
              <w:rPr>
                <w:sz w:val="19"/>
                <w:szCs w:val="19"/>
                <w:color w:val="auto"/>
              </w:rPr>
            </w:pPr>
          </w:p>
        </w:tc>
        <w:tc>
          <w:tcPr>
            <w:tcW w:w="14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300.0</w:t>
            </w:r>
          </w:p>
        </w:tc>
        <w:tc>
          <w:tcPr>
            <w:tcW w:w="240" w:type="dxa"/>
            <w:vAlign w:val="bottom"/>
          </w:tcPr>
          <w:p>
            <w:pPr>
              <w:spacing w:after="0"/>
              <w:rPr>
                <w:sz w:val="19"/>
                <w:szCs w:val="19"/>
                <w:color w:val="auto"/>
              </w:rPr>
            </w:pPr>
          </w:p>
        </w:tc>
        <w:tc>
          <w:tcPr>
            <w:tcW w:w="14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813.9</w:t>
            </w:r>
          </w:p>
        </w:tc>
        <w:tc>
          <w:tcPr>
            <w:tcW w:w="220" w:type="dxa"/>
            <w:vAlign w:val="bottom"/>
          </w:tcPr>
          <w:p>
            <w:pPr>
              <w:spacing w:after="0"/>
              <w:rPr>
                <w:sz w:val="19"/>
                <w:szCs w:val="19"/>
                <w:color w:val="auto"/>
              </w:rPr>
            </w:pPr>
          </w:p>
        </w:tc>
        <w:tc>
          <w:tcPr>
            <w:tcW w:w="14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650.0</w:t>
            </w:r>
          </w:p>
        </w:tc>
        <w:tc>
          <w:tcPr>
            <w:tcW w:w="240" w:type="dxa"/>
            <w:vAlign w:val="bottom"/>
          </w:tcPr>
          <w:p>
            <w:pPr>
              <w:spacing w:after="0"/>
              <w:rPr>
                <w:sz w:val="19"/>
                <w:szCs w:val="19"/>
                <w:color w:val="auto"/>
              </w:rPr>
            </w:pPr>
          </w:p>
        </w:tc>
        <w:tc>
          <w:tcPr>
            <w:tcW w:w="440" w:type="dxa"/>
            <w:vAlign w:val="bottom"/>
            <w:tcBorders>
              <w:bottom w:val="single" w:sz="8" w:color="4C4C4E"/>
            </w:tcBorders>
          </w:tcPr>
          <w:p>
            <w:pPr>
              <w:jc w:val="right"/>
              <w:ind w:right="247"/>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560" w:type="dxa"/>
            <w:vAlign w:val="bottom"/>
            <w:tcBorders>
              <w:bottom w:val="single" w:sz="8" w:color="4C4C4E"/>
            </w:tcBorders>
          </w:tcPr>
          <w:p>
            <w:pPr>
              <w:ind w:left="340"/>
              <w:spacing w:after="0" w:line="219" w:lineRule="exact"/>
              <w:rPr>
                <w:sz w:val="20"/>
                <w:szCs w:val="20"/>
                <w:color w:val="auto"/>
              </w:rPr>
            </w:pPr>
            <w:r>
              <w:rPr>
                <w:rFonts w:ascii="Times New Roman" w:cs="Times New Roman" w:eastAsia="Times New Roman" w:hAnsi="Times New Roman"/>
                <w:sz w:val="20"/>
                <w:szCs w:val="20"/>
                <w:color w:val="4C4C4E"/>
                <w:w w:val="99"/>
              </w:rPr>
              <w:t>—</w:t>
            </w:r>
          </w:p>
        </w:tc>
        <w:tc>
          <w:tcPr>
            <w:tcW w:w="6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4C4C4E"/>
            </w:tcBorders>
          </w:tcPr>
          <w:p>
            <w:pPr>
              <w:spacing w:after="0" w:line="20" w:lineRule="exact"/>
              <w:rPr>
                <w:sz w:val="1"/>
                <w:szCs w:val="1"/>
                <w:color w:val="auto"/>
              </w:rPr>
            </w:pPr>
          </w:p>
        </w:tc>
        <w:tc>
          <w:tcPr>
            <w:tcW w:w="80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86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86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86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4C4C4E"/>
            </w:tcBorders>
          </w:tcPr>
          <w:p>
            <w:pPr>
              <w:spacing w:after="0" w:line="20" w:lineRule="exact"/>
              <w:rPr>
                <w:sz w:val="1"/>
                <w:szCs w:val="1"/>
                <w:color w:val="auto"/>
              </w:rPr>
            </w:pPr>
          </w:p>
        </w:tc>
        <w:tc>
          <w:tcPr>
            <w:tcW w:w="56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-1252220</wp:posOffset>
            </wp:positionV>
            <wp:extent cx="380047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1">
                      <a:extLst>
                        <a:ext uri="{28A0092B-C50C-407E-A947-70E740481C1C}"/>
                      </a:extLst>
                    </a:blip>
                    <a:srcRect/>
                    <a:stretch>
                      <a:fillRect/>
                    </a:stretch>
                  </pic:blipFill>
                  <pic:spPr bwMode="auto">
                    <a:xfrm>
                      <a:off x="0" y="0"/>
                      <a:ext cx="3800475" cy="38100"/>
                    </a:xfrm>
                    <a:prstGeom prst="rect">
                      <a:avLst/>
                    </a:prstGeom>
                    <a:noFill/>
                  </pic:spPr>
                </pic:pic>
              </a:graphicData>
            </a:graphic>
          </wp:anchor>
        </w:drawing>
      </w:r>
    </w:p>
    <w:p>
      <w:pPr>
        <w:spacing w:after="0" w:line="277" w:lineRule="exact"/>
        <w:rPr>
          <w:sz w:val="20"/>
          <w:szCs w:val="20"/>
          <w:color w:val="auto"/>
        </w:rPr>
      </w:pPr>
    </w:p>
    <w:p>
      <w:pPr>
        <w:ind w:right="580" w:firstLine="245"/>
        <w:spacing w:after="0" w:line="277" w:lineRule="auto"/>
        <w:rPr>
          <w:sz w:val="20"/>
          <w:szCs w:val="20"/>
          <w:color w:val="auto"/>
        </w:rPr>
      </w:pPr>
      <w:r>
        <w:rPr>
          <w:rFonts w:ascii="Times New Roman" w:cs="Times New Roman" w:eastAsia="Times New Roman" w:hAnsi="Times New Roman"/>
          <w:sz w:val="20"/>
          <w:szCs w:val="20"/>
          <w:color w:val="4C4C4E"/>
        </w:rPr>
        <w:t>In addition to the contractual payment obligations in the tables above, we also have commitments to fund investments and to pledge assets as collateral under the terms of our derivatives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Distributions</w:t>
      </w:r>
    </w:p>
    <w:p>
      <w:pPr>
        <w:spacing w:after="0" w:line="118" w:lineRule="exact"/>
        <w:rPr>
          <w:sz w:val="20"/>
          <w:szCs w:val="20"/>
          <w:color w:val="auto"/>
        </w:rPr>
      </w:pPr>
    </w:p>
    <w:p>
      <w:pPr>
        <w:ind w:right="260" w:firstLine="245"/>
        <w:spacing w:after="0" w:line="258" w:lineRule="auto"/>
        <w:rPr>
          <w:sz w:val="20"/>
          <w:szCs w:val="20"/>
          <w:color w:val="auto"/>
        </w:rPr>
      </w:pPr>
      <w:r>
        <w:rPr>
          <w:rFonts w:ascii="Times New Roman" w:cs="Times New Roman" w:eastAsia="Times New Roman" w:hAnsi="Times New Roman"/>
          <w:sz w:val="20"/>
          <w:szCs w:val="20"/>
          <w:color w:val="4C4C4E"/>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83" w:lineRule="exact"/>
        <w:rPr>
          <w:sz w:val="20"/>
          <w:szCs w:val="20"/>
          <w:color w:val="auto"/>
        </w:rPr>
      </w:pPr>
    </w:p>
    <w:p>
      <w:pPr>
        <w:ind w:left="500" w:right="40" w:hanging="255"/>
        <w:spacing w:after="0" w:line="258" w:lineRule="auto"/>
        <w:tabs>
          <w:tab w:leader="none" w:pos="500" w:val="left"/>
        </w:tabs>
        <w:numPr>
          <w:ilvl w:val="0"/>
          <w:numId w:val="63"/>
        </w:numPr>
        <w:rPr>
          <w:rFonts w:ascii="Arial" w:cs="Arial" w:eastAsia="Arial" w:hAnsi="Arial"/>
          <w:sz w:val="20"/>
          <w:szCs w:val="20"/>
          <w:color w:val="4C4C4E"/>
        </w:rPr>
      </w:pPr>
      <w:r>
        <w:rPr>
          <w:rFonts w:ascii="Times New Roman" w:cs="Times New Roman" w:eastAsia="Times New Roman" w:hAnsi="Times New Roman"/>
          <w:sz w:val="20"/>
          <w:szCs w:val="20"/>
          <w:color w:val="4C4C4E"/>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81" w:lineRule="exact"/>
        <w:rPr>
          <w:rFonts w:ascii="Arial" w:cs="Arial" w:eastAsia="Arial" w:hAnsi="Arial"/>
          <w:sz w:val="20"/>
          <w:szCs w:val="20"/>
          <w:color w:val="4C4C4E"/>
        </w:rPr>
      </w:pPr>
    </w:p>
    <w:p>
      <w:pPr>
        <w:ind w:left="500" w:right="60" w:hanging="255"/>
        <w:spacing w:after="0" w:line="276" w:lineRule="auto"/>
        <w:tabs>
          <w:tab w:leader="none" w:pos="500" w:val="left"/>
        </w:tabs>
        <w:numPr>
          <w:ilvl w:val="0"/>
          <w:numId w:val="63"/>
        </w:numPr>
        <w:rPr>
          <w:rFonts w:ascii="Arial" w:cs="Arial" w:eastAsia="Arial" w:hAnsi="Arial"/>
          <w:sz w:val="20"/>
          <w:szCs w:val="20"/>
          <w:color w:val="4C4C4E"/>
        </w:rPr>
      </w:pPr>
      <w:r>
        <w:rPr>
          <w:rFonts w:ascii="Times New Roman" w:cs="Times New Roman" w:eastAsia="Times New Roman" w:hAnsi="Times New Roman"/>
          <w:sz w:val="20"/>
          <w:szCs w:val="20"/>
          <w:color w:val="4C4C4E"/>
        </w:rPr>
        <w:t>net tax-exempt interest income (which is the excess of our gross tax exempt interest income over certain disallowed deductions) for such taxable year.</w:t>
      </w:r>
    </w:p>
    <w:p>
      <w:pPr>
        <w:spacing w:after="0" w:line="170" w:lineRule="exact"/>
        <w:rPr>
          <w:sz w:val="20"/>
          <w:szCs w:val="20"/>
          <w:color w:val="auto"/>
        </w:rPr>
      </w:pPr>
    </w:p>
    <w:p>
      <w:pPr>
        <w:ind w:right="300" w:firstLine="245"/>
        <w:spacing w:after="0" w:line="277" w:lineRule="auto"/>
        <w:rPr>
          <w:sz w:val="20"/>
          <w:szCs w:val="20"/>
          <w:color w:val="auto"/>
        </w:rPr>
      </w:pPr>
      <w:r>
        <w:rPr>
          <w:rFonts w:ascii="Times New Roman" w:cs="Times New Roman" w:eastAsia="Times New Roman" w:hAnsi="Times New Roman"/>
          <w:sz w:val="20"/>
          <w:szCs w:val="20"/>
          <w:color w:val="4C4C4E"/>
        </w:rPr>
        <w:t>As a RIC, we (but not our stockholders) generally will not be subject to U.S. federal income tax on investment company taxable income and net capital gains that we distribute to our stockholders.</w:t>
      </w:r>
    </w:p>
    <w:p>
      <w:pPr>
        <w:spacing w:after="0" w:line="169" w:lineRule="exact"/>
        <w:rPr>
          <w:sz w:val="20"/>
          <w:szCs w:val="20"/>
          <w:color w:val="auto"/>
        </w:rPr>
      </w:pPr>
    </w:p>
    <w:p>
      <w:pPr>
        <w:ind w:right="20" w:firstLine="245"/>
        <w:spacing w:after="0" w:line="258" w:lineRule="auto"/>
        <w:rPr>
          <w:sz w:val="20"/>
          <w:szCs w:val="20"/>
          <w:color w:val="auto"/>
        </w:rPr>
      </w:pPr>
      <w:r>
        <w:rPr>
          <w:rFonts w:ascii="Times New Roman" w:cs="Times New Roman" w:eastAsia="Times New Roman" w:hAnsi="Times New Roman"/>
          <w:sz w:val="20"/>
          <w:szCs w:val="20"/>
          <w:color w:val="4C4C4E"/>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8" w:lineRule="exact"/>
        <w:rPr>
          <w:sz w:val="20"/>
          <w:szCs w:val="20"/>
          <w:color w:val="auto"/>
        </w:rPr>
      </w:pPr>
    </w:p>
    <w:p>
      <w:pPr>
        <w:ind w:right="380" w:firstLine="245"/>
        <w:spacing w:after="0" w:line="258" w:lineRule="auto"/>
        <w:rPr>
          <w:sz w:val="20"/>
          <w:szCs w:val="20"/>
          <w:color w:val="auto"/>
        </w:rPr>
      </w:pPr>
      <w:r>
        <w:rPr>
          <w:rFonts w:ascii="Times New Roman" w:cs="Times New Roman" w:eastAsia="Times New Roman" w:hAnsi="Times New Roman"/>
          <w:sz w:val="20"/>
          <w:szCs w:val="20"/>
          <w:color w:val="4C4C4E"/>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83" w:lineRule="exact"/>
        <w:rPr>
          <w:sz w:val="20"/>
          <w:szCs w:val="20"/>
          <w:color w:val="auto"/>
        </w:rPr>
      </w:pPr>
    </w:p>
    <w:p>
      <w:pPr>
        <w:ind w:left="500" w:hanging="255"/>
        <w:spacing w:after="0"/>
        <w:tabs>
          <w:tab w:leader="none" w:pos="500" w:val="left"/>
        </w:tabs>
        <w:numPr>
          <w:ilvl w:val="0"/>
          <w:numId w:val="64"/>
        </w:numPr>
        <w:rPr>
          <w:rFonts w:ascii="Arial" w:cs="Arial" w:eastAsia="Arial" w:hAnsi="Arial"/>
          <w:sz w:val="20"/>
          <w:szCs w:val="20"/>
          <w:color w:val="4C4C4E"/>
        </w:rPr>
      </w:pPr>
      <w:r>
        <w:rPr>
          <w:rFonts w:ascii="Times New Roman" w:cs="Times New Roman" w:eastAsia="Times New Roman" w:hAnsi="Times New Roman"/>
          <w:sz w:val="20"/>
          <w:szCs w:val="20"/>
          <w:color w:val="4C4C4E"/>
        </w:rPr>
        <w:t>98% of our net ordinary income excluding certain ordinary gains or losses for that calendar year;</w:t>
      </w:r>
    </w:p>
    <w:p>
      <w:pPr>
        <w:spacing w:after="0" w:line="133" w:lineRule="exact"/>
        <w:rPr>
          <w:rFonts w:ascii="Arial" w:cs="Arial" w:eastAsia="Arial" w:hAnsi="Arial"/>
          <w:sz w:val="20"/>
          <w:szCs w:val="20"/>
          <w:color w:val="4C4C4E"/>
        </w:rPr>
      </w:pPr>
    </w:p>
    <w:p>
      <w:pPr>
        <w:ind w:left="500" w:right="360" w:hanging="255"/>
        <w:spacing w:after="0" w:line="276" w:lineRule="auto"/>
        <w:tabs>
          <w:tab w:leader="none" w:pos="500" w:val="left"/>
        </w:tabs>
        <w:numPr>
          <w:ilvl w:val="0"/>
          <w:numId w:val="64"/>
        </w:numPr>
        <w:rPr>
          <w:rFonts w:ascii="Arial" w:cs="Arial" w:eastAsia="Arial" w:hAnsi="Arial"/>
          <w:sz w:val="20"/>
          <w:szCs w:val="20"/>
          <w:color w:val="4C4C4E"/>
        </w:rPr>
      </w:pPr>
      <w:r>
        <w:rPr>
          <w:rFonts w:ascii="Times New Roman" w:cs="Times New Roman" w:eastAsia="Times New Roman" w:hAnsi="Times New Roman"/>
          <w:sz w:val="20"/>
          <w:szCs w:val="20"/>
          <w:color w:val="4C4C4E"/>
        </w:rPr>
        <w:t>98.2% of our capital gain net income, adjusted for certain ordinary gains and losses, recognized for the twelve-month period ending on October 31 of that calendar year; and</w:t>
      </w:r>
    </w:p>
    <w:p>
      <w:pPr>
        <w:spacing w:after="0" w:line="64" w:lineRule="exact"/>
        <w:rPr>
          <w:rFonts w:ascii="Arial" w:cs="Arial" w:eastAsia="Arial" w:hAnsi="Arial"/>
          <w:sz w:val="20"/>
          <w:szCs w:val="20"/>
          <w:color w:val="4C4C4E"/>
        </w:rPr>
      </w:pPr>
    </w:p>
    <w:p>
      <w:pPr>
        <w:ind w:left="500" w:hanging="255"/>
        <w:spacing w:after="0"/>
        <w:tabs>
          <w:tab w:leader="none" w:pos="500" w:val="left"/>
        </w:tabs>
        <w:numPr>
          <w:ilvl w:val="0"/>
          <w:numId w:val="64"/>
        </w:numPr>
        <w:rPr>
          <w:rFonts w:ascii="Arial" w:cs="Arial" w:eastAsia="Arial" w:hAnsi="Arial"/>
          <w:sz w:val="20"/>
          <w:szCs w:val="20"/>
          <w:color w:val="4C4C4E"/>
        </w:rPr>
      </w:pPr>
      <w:r>
        <w:rPr>
          <w:rFonts w:ascii="Times New Roman" w:cs="Times New Roman" w:eastAsia="Times New Roman" w:hAnsi="Times New Roman"/>
          <w:sz w:val="20"/>
          <w:szCs w:val="20"/>
          <w:color w:val="4C4C4E"/>
        </w:rPr>
        <w:t>100% of any income or gains recognized, but not distributed, in preceding years.</w:t>
      </w:r>
    </w:p>
    <w:p>
      <w:pPr>
        <w:spacing w:after="0" w:line="239" w:lineRule="exact"/>
        <w:rPr>
          <w:sz w:val="20"/>
          <w:szCs w:val="20"/>
          <w:color w:val="auto"/>
        </w:rPr>
      </w:pPr>
    </w:p>
    <w:p>
      <w:pPr>
        <w:ind w:right="120" w:firstLine="245"/>
        <w:spacing w:after="0" w:line="278" w:lineRule="auto"/>
        <w:rPr>
          <w:sz w:val="20"/>
          <w:szCs w:val="20"/>
          <w:color w:val="auto"/>
        </w:rPr>
      </w:pPr>
      <w:r>
        <w:rPr>
          <w:rFonts w:ascii="Times New Roman" w:cs="Times New Roman" w:eastAsia="Times New Roman" w:hAnsi="Times New Roman"/>
          <w:sz w:val="19"/>
          <w:szCs w:val="19"/>
          <w:color w:val="4C4C4E"/>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1" w:lineRule="exact"/>
        <w:rPr>
          <w:sz w:val="20"/>
          <w:szCs w:val="20"/>
          <w:color w:val="auto"/>
        </w:rPr>
      </w:pPr>
    </w:p>
    <w:p>
      <w:pPr>
        <w:jc w:val="both"/>
        <w:ind w:right="160" w:firstLine="245"/>
        <w:spacing w:after="0" w:line="258" w:lineRule="auto"/>
        <w:rPr>
          <w:sz w:val="20"/>
          <w:szCs w:val="20"/>
          <w:color w:val="auto"/>
        </w:rPr>
      </w:pPr>
      <w:r>
        <w:rPr>
          <w:rFonts w:ascii="Times New Roman" w:cs="Times New Roman" w:eastAsia="Times New Roman" w:hAnsi="Times New Roman"/>
          <w:sz w:val="20"/>
          <w:szCs w:val="20"/>
          <w:color w:val="4C4C4E"/>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ectPr>
          <w:pgSz w:w="11880" w:h="15480" w:orient="portrait"/>
          <w:cols w:equalWidth="0" w:num="1">
            <w:col w:w="10800"/>
          </w:cols>
          <w:pgMar w:left="540" w:top="750" w:right="540" w:bottom="0" w:gutter="0" w:footer="0" w:header="0"/>
        </w:sectPr>
      </w:pP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85</w:t>
      </w:r>
    </w:p>
    <w:p>
      <w:pPr>
        <w:sectPr>
          <w:pgSz w:w="11880" w:h="15480" w:orient="portrait"/>
          <w:cols w:equalWidth="0" w:num="1">
            <w:col w:w="10800"/>
          </w:cols>
          <w:pgMar w:left="540" w:top="750" w:right="540" w:bottom="0" w:gutter="0" w:footer="0" w:header="0"/>
          <w:type w:val="continuous"/>
        </w:sectPr>
      </w:pPr>
    </w:p>
    <w:bookmarkStart w:id="85" w:name="page86"/>
    <w:bookmarkEnd w:id="85"/>
    <w:p>
      <w:pPr>
        <w:ind w:right="60" w:firstLine="245"/>
        <w:spacing w:after="0" w:line="270" w:lineRule="auto"/>
        <w:rPr>
          <w:sz w:val="20"/>
          <w:szCs w:val="20"/>
          <w:color w:val="auto"/>
        </w:rPr>
      </w:pPr>
      <w:r>
        <w:rPr>
          <w:rFonts w:ascii="Times New Roman" w:cs="Times New Roman" w:eastAsia="Times New Roman" w:hAnsi="Times New Roman"/>
          <w:sz w:val="19"/>
          <w:szCs w:val="19"/>
          <w:color w:val="4C4C4E"/>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77"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20"/>
          <w:szCs w:val="20"/>
          <w:color w:val="4C4C4E"/>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Related-Party Transactions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We have entered into a number of business relationships with affiliated or related parties, including the following:</w:t>
      </w:r>
    </w:p>
    <w:p>
      <w:pPr>
        <w:spacing w:after="0" w:line="134" w:lineRule="exact"/>
        <w:rPr>
          <w:sz w:val="20"/>
          <w:szCs w:val="20"/>
          <w:color w:val="auto"/>
        </w:rPr>
      </w:pPr>
    </w:p>
    <w:p>
      <w:pPr>
        <w:ind w:left="500" w:hanging="255"/>
        <w:spacing w:after="0"/>
        <w:tabs>
          <w:tab w:leader="none" w:pos="500" w:val="left"/>
        </w:tabs>
        <w:numPr>
          <w:ilvl w:val="0"/>
          <w:numId w:val="65"/>
        </w:numPr>
        <w:rPr>
          <w:rFonts w:ascii="Arial" w:cs="Arial" w:eastAsia="Arial" w:hAnsi="Arial"/>
          <w:sz w:val="20"/>
          <w:szCs w:val="20"/>
          <w:color w:val="4C4C4E"/>
        </w:rPr>
      </w:pPr>
      <w:r>
        <w:rPr>
          <w:rFonts w:ascii="Times New Roman" w:cs="Times New Roman" w:eastAsia="Times New Roman" w:hAnsi="Times New Roman"/>
          <w:sz w:val="20"/>
          <w:szCs w:val="20"/>
          <w:color w:val="4C4C4E"/>
        </w:rPr>
        <w:t>the Investment Advisory Agreement;</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65"/>
        </w:numPr>
        <w:rPr>
          <w:rFonts w:ascii="Arial" w:cs="Arial" w:eastAsia="Arial" w:hAnsi="Arial"/>
          <w:sz w:val="20"/>
          <w:szCs w:val="20"/>
          <w:color w:val="4C4C4E"/>
        </w:rPr>
      </w:pPr>
      <w:r>
        <w:rPr>
          <w:rFonts w:ascii="Times New Roman" w:cs="Times New Roman" w:eastAsia="Times New Roman" w:hAnsi="Times New Roman"/>
          <w:sz w:val="20"/>
          <w:szCs w:val="20"/>
          <w:color w:val="4C4C4E"/>
        </w:rPr>
        <w:t>the Administration Agreement; and</w:t>
      </w:r>
    </w:p>
    <w:p>
      <w:pPr>
        <w:spacing w:after="0" w:line="133" w:lineRule="exact"/>
        <w:rPr>
          <w:rFonts w:ascii="Arial" w:cs="Arial" w:eastAsia="Arial" w:hAnsi="Arial"/>
          <w:sz w:val="20"/>
          <w:szCs w:val="20"/>
          <w:color w:val="4C4C4E"/>
        </w:rPr>
      </w:pPr>
    </w:p>
    <w:p>
      <w:pPr>
        <w:ind w:left="500" w:right="20" w:hanging="255"/>
        <w:spacing w:after="0" w:line="276" w:lineRule="auto"/>
        <w:tabs>
          <w:tab w:leader="none" w:pos="500" w:val="left"/>
        </w:tabs>
        <w:numPr>
          <w:ilvl w:val="0"/>
          <w:numId w:val="65"/>
        </w:numPr>
        <w:rPr>
          <w:rFonts w:ascii="Arial" w:cs="Arial" w:eastAsia="Arial" w:hAnsi="Arial"/>
          <w:sz w:val="20"/>
          <w:szCs w:val="20"/>
          <w:color w:val="4C4C4E"/>
        </w:rPr>
      </w:pPr>
      <w:r>
        <w:rPr>
          <w:rFonts w:ascii="Times New Roman" w:cs="Times New Roman" w:eastAsia="Times New Roman" w:hAnsi="Times New Roman"/>
          <w:sz w:val="20"/>
          <w:szCs w:val="20"/>
          <w:color w:val="4C4C4E"/>
        </w:rPr>
        <w:t>an ongoing agreement with an affiliate of TPG Global, LLC governing, inter alia, the parties’ respective ownership of and rights to use the “Sixth Street” and “TPG” trademarks and certain variations thereof.</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Critical Accounting Estimates</w:t>
      </w:r>
    </w:p>
    <w:p>
      <w:pPr>
        <w:spacing w:after="0" w:line="124"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4C4C4E"/>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20"/>
          <w:szCs w:val="20"/>
          <w:i w:val="1"/>
          <w:iCs w:val="1"/>
          <w:color w:val="4C4C4E"/>
        </w:rPr>
        <w:t>“ITEM 1A. RISK FACTORS.”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Investments at Fair Value</w:t>
      </w:r>
    </w:p>
    <w:p>
      <w:pPr>
        <w:spacing w:after="0" w:line="12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20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200" w:lineRule="exact"/>
        <w:rPr>
          <w:sz w:val="20"/>
          <w:szCs w:val="20"/>
          <w:color w:val="auto"/>
        </w:rPr>
      </w:pPr>
    </w:p>
    <w:p>
      <w:pPr>
        <w:ind w:right="420" w:firstLine="245"/>
        <w:spacing w:after="0" w:line="277" w:lineRule="auto"/>
        <w:rPr>
          <w:sz w:val="20"/>
          <w:szCs w:val="20"/>
          <w:color w:val="auto"/>
        </w:rPr>
      </w:pPr>
      <w:r>
        <w:rPr>
          <w:rFonts w:ascii="Times New Roman" w:cs="Times New Roman" w:eastAsia="Times New Roman" w:hAnsi="Times New Roman"/>
          <w:sz w:val="20"/>
          <w:szCs w:val="20"/>
          <w:color w:val="4C4C4E"/>
        </w:rPr>
        <w:t>As part of the valuation process, the Board takes into account relevant factors in determining the fair value of our investments, including and in combination of:</w:t>
      </w:r>
    </w:p>
    <w:p>
      <w:pPr>
        <w:spacing w:after="0" w:line="64" w:lineRule="exact"/>
        <w:rPr>
          <w:sz w:val="20"/>
          <w:szCs w:val="20"/>
          <w:color w:val="auto"/>
        </w:rPr>
      </w:pPr>
    </w:p>
    <w:p>
      <w:pPr>
        <w:ind w:left="500" w:hanging="255"/>
        <w:spacing w:after="0"/>
        <w:tabs>
          <w:tab w:leader="none" w:pos="500" w:val="left"/>
        </w:tabs>
        <w:numPr>
          <w:ilvl w:val="0"/>
          <w:numId w:val="66"/>
        </w:numPr>
        <w:rPr>
          <w:rFonts w:ascii="Arial" w:cs="Arial" w:eastAsia="Arial" w:hAnsi="Arial"/>
          <w:sz w:val="20"/>
          <w:szCs w:val="20"/>
          <w:color w:val="4C4C4E"/>
        </w:rPr>
      </w:pPr>
      <w:r>
        <w:rPr>
          <w:rFonts w:ascii="Times New Roman" w:cs="Times New Roman" w:eastAsia="Times New Roman" w:hAnsi="Times New Roman"/>
          <w:sz w:val="20"/>
          <w:szCs w:val="20"/>
          <w:color w:val="4C4C4E"/>
        </w:rPr>
        <w:t>the estimated enterprise value of a portfolio company (that is, the total value of the portfolio company’s net debt and equity);</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66"/>
        </w:numPr>
        <w:rPr>
          <w:rFonts w:ascii="Arial" w:cs="Arial" w:eastAsia="Arial" w:hAnsi="Arial"/>
          <w:sz w:val="20"/>
          <w:szCs w:val="20"/>
          <w:color w:val="4C4C4E"/>
        </w:rPr>
      </w:pPr>
      <w:r>
        <w:rPr>
          <w:rFonts w:ascii="Times New Roman" w:cs="Times New Roman" w:eastAsia="Times New Roman" w:hAnsi="Times New Roman"/>
          <w:sz w:val="20"/>
          <w:szCs w:val="20"/>
          <w:color w:val="4C4C4E"/>
        </w:rPr>
        <w:t>the nature and realizable value of any collateral;</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66"/>
        </w:numPr>
        <w:rPr>
          <w:rFonts w:ascii="Arial" w:cs="Arial" w:eastAsia="Arial" w:hAnsi="Arial"/>
          <w:sz w:val="20"/>
          <w:szCs w:val="20"/>
          <w:color w:val="4C4C4E"/>
        </w:rPr>
      </w:pPr>
      <w:r>
        <w:rPr>
          <w:rFonts w:ascii="Times New Roman" w:cs="Times New Roman" w:eastAsia="Times New Roman" w:hAnsi="Times New Roman"/>
          <w:sz w:val="20"/>
          <w:szCs w:val="20"/>
          <w:color w:val="4C4C4E"/>
        </w:rPr>
        <w:t>the portfolio company’s ability to make payments based on its earnings and cash flow;</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66"/>
        </w:numPr>
        <w:rPr>
          <w:rFonts w:ascii="Arial" w:cs="Arial" w:eastAsia="Arial" w:hAnsi="Arial"/>
          <w:sz w:val="20"/>
          <w:szCs w:val="20"/>
          <w:color w:val="4C4C4E"/>
        </w:rPr>
      </w:pPr>
      <w:r>
        <w:rPr>
          <w:rFonts w:ascii="Times New Roman" w:cs="Times New Roman" w:eastAsia="Times New Roman" w:hAnsi="Times New Roman"/>
          <w:sz w:val="20"/>
          <w:szCs w:val="20"/>
          <w:color w:val="4C4C4E"/>
        </w:rPr>
        <w:t>the markets in which the portfolio company does business;</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66"/>
        </w:numPr>
        <w:rPr>
          <w:rFonts w:ascii="Arial" w:cs="Arial" w:eastAsia="Arial" w:hAnsi="Arial"/>
          <w:sz w:val="20"/>
          <w:szCs w:val="20"/>
          <w:color w:val="4C4C4E"/>
        </w:rPr>
      </w:pPr>
      <w:r>
        <w:rPr>
          <w:rFonts w:ascii="Times New Roman" w:cs="Times New Roman" w:eastAsia="Times New Roman" w:hAnsi="Times New Roman"/>
          <w:sz w:val="20"/>
          <w:szCs w:val="20"/>
          <w:color w:val="4C4C4E"/>
        </w:rPr>
        <w:t>a comparison of the portfolio company’s securities to any similar publicly traded securities; and</w:t>
      </w:r>
    </w:p>
    <w:p>
      <w:pPr>
        <w:spacing w:after="0" w:line="133" w:lineRule="exact"/>
        <w:rPr>
          <w:rFonts w:ascii="Arial" w:cs="Arial" w:eastAsia="Arial" w:hAnsi="Arial"/>
          <w:sz w:val="20"/>
          <w:szCs w:val="20"/>
          <w:color w:val="4C4C4E"/>
        </w:rPr>
      </w:pPr>
    </w:p>
    <w:p>
      <w:pPr>
        <w:ind w:left="500" w:right="320" w:hanging="255"/>
        <w:spacing w:after="0" w:line="276" w:lineRule="auto"/>
        <w:tabs>
          <w:tab w:leader="none" w:pos="500" w:val="left"/>
        </w:tabs>
        <w:numPr>
          <w:ilvl w:val="0"/>
          <w:numId w:val="66"/>
        </w:numPr>
        <w:rPr>
          <w:rFonts w:ascii="Arial" w:cs="Arial" w:eastAsia="Arial" w:hAnsi="Arial"/>
          <w:sz w:val="20"/>
          <w:szCs w:val="20"/>
          <w:color w:val="4C4C4E"/>
        </w:rPr>
      </w:pPr>
      <w:r>
        <w:rPr>
          <w:rFonts w:ascii="Times New Roman" w:cs="Times New Roman" w:eastAsia="Times New Roman" w:hAnsi="Times New Roman"/>
          <w:sz w:val="20"/>
          <w:szCs w:val="20"/>
          <w:color w:val="4C4C4E"/>
        </w:rPr>
        <w:t>overall changes in the interest rate environment and the credit markets that may affect the price at which similar investments may be made in the future.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86</w:t>
      </w:r>
    </w:p>
    <w:p>
      <w:pPr>
        <w:sectPr>
          <w:pgSz w:w="11880" w:h="15480" w:orient="portrait"/>
          <w:cols w:equalWidth="0" w:num="1">
            <w:col w:w="10780"/>
          </w:cols>
          <w:pgMar w:left="540" w:top="750" w:right="560" w:bottom="0" w:gutter="0" w:footer="0" w:header="0"/>
          <w:type w:val="continuous"/>
        </w:sectPr>
      </w:pPr>
    </w:p>
    <w:bookmarkStart w:id="86" w:name="page87"/>
    <w:bookmarkEnd w:id="86"/>
    <w:p>
      <w:pPr>
        <w:ind w:right="500" w:firstLine="245"/>
        <w:spacing w:after="0" w:line="277" w:lineRule="auto"/>
        <w:rPr>
          <w:sz w:val="20"/>
          <w:szCs w:val="20"/>
          <w:color w:val="auto"/>
        </w:rPr>
      </w:pPr>
      <w:r>
        <w:rPr>
          <w:rFonts w:ascii="Times New Roman" w:cs="Times New Roman" w:eastAsia="Times New Roman" w:hAnsi="Times New Roman"/>
          <w:sz w:val="20"/>
          <w:szCs w:val="20"/>
          <w:color w:val="4C4C4E"/>
        </w:rPr>
        <w:t>When an external event, such as a purchase transaction, public offering or subsequent equity sale occurs, the Board considers whether the pricing indicated by the external event corroborates our valuation.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Board undertakes a multi-step valuation process, which includes, among other procedures, the following:</w:t>
      </w:r>
    </w:p>
    <w:p>
      <w:pPr>
        <w:spacing w:after="0" w:line="126" w:lineRule="exact"/>
        <w:rPr>
          <w:sz w:val="20"/>
          <w:szCs w:val="20"/>
          <w:color w:val="auto"/>
        </w:rPr>
      </w:pPr>
    </w:p>
    <w:p>
      <w:pPr>
        <w:ind w:left="500" w:right="340" w:hanging="255"/>
        <w:spacing w:after="0" w:line="267" w:lineRule="auto"/>
        <w:tabs>
          <w:tab w:leader="none" w:pos="500" w:val="left"/>
        </w:tabs>
        <w:numPr>
          <w:ilvl w:val="0"/>
          <w:numId w:val="67"/>
        </w:numPr>
        <w:rPr>
          <w:rFonts w:ascii="Arial" w:cs="Arial" w:eastAsia="Arial" w:hAnsi="Arial"/>
          <w:sz w:val="20"/>
          <w:szCs w:val="20"/>
          <w:color w:val="4C4C4E"/>
        </w:rPr>
      </w:pPr>
      <w:r>
        <w:rPr>
          <w:rFonts w:ascii="Times New Roman" w:cs="Times New Roman" w:eastAsia="Times New Roman" w:hAnsi="Times New Roman"/>
          <w:sz w:val="20"/>
          <w:szCs w:val="20"/>
          <w:color w:val="4C4C4E"/>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20"/>
          <w:szCs w:val="20"/>
          <w:color w:val="4C4C4E"/>
        </w:rPr>
      </w:pPr>
    </w:p>
    <w:p>
      <w:pPr>
        <w:ind w:left="500" w:right="580" w:hanging="255"/>
        <w:spacing w:after="0" w:line="267" w:lineRule="auto"/>
        <w:tabs>
          <w:tab w:leader="none" w:pos="500" w:val="left"/>
        </w:tabs>
        <w:numPr>
          <w:ilvl w:val="0"/>
          <w:numId w:val="67"/>
        </w:numPr>
        <w:rPr>
          <w:rFonts w:ascii="Arial" w:cs="Arial" w:eastAsia="Arial" w:hAnsi="Arial"/>
          <w:sz w:val="20"/>
          <w:szCs w:val="20"/>
          <w:color w:val="4C4C4E"/>
        </w:rPr>
      </w:pPr>
      <w:r>
        <w:rPr>
          <w:rFonts w:ascii="Times New Roman" w:cs="Times New Roman" w:eastAsia="Times New Roman" w:hAnsi="Times New Roman"/>
          <w:sz w:val="20"/>
          <w:szCs w:val="20"/>
          <w:color w:val="4C4C4E"/>
        </w:rPr>
        <w:t>The Adviser’s management reviews the preliminary valuations with the investment professionals. Agreed-upon valuation recommendations are presented to the Audit Committee.</w:t>
      </w:r>
    </w:p>
    <w:p>
      <w:pPr>
        <w:spacing w:after="0" w:line="62" w:lineRule="exact"/>
        <w:rPr>
          <w:rFonts w:ascii="Arial" w:cs="Arial" w:eastAsia="Arial" w:hAnsi="Arial"/>
          <w:sz w:val="20"/>
          <w:szCs w:val="20"/>
          <w:color w:val="4C4C4E"/>
        </w:rPr>
      </w:pPr>
    </w:p>
    <w:p>
      <w:pPr>
        <w:ind w:left="500" w:hanging="255"/>
        <w:spacing w:after="0"/>
        <w:tabs>
          <w:tab w:leader="none" w:pos="500" w:val="left"/>
        </w:tabs>
        <w:numPr>
          <w:ilvl w:val="0"/>
          <w:numId w:val="67"/>
        </w:numPr>
        <w:rPr>
          <w:rFonts w:ascii="Arial" w:cs="Arial" w:eastAsia="Arial" w:hAnsi="Arial"/>
          <w:sz w:val="20"/>
          <w:szCs w:val="20"/>
          <w:color w:val="4C4C4E"/>
        </w:rPr>
      </w:pPr>
      <w:r>
        <w:rPr>
          <w:rFonts w:ascii="Times New Roman" w:cs="Times New Roman" w:eastAsia="Times New Roman" w:hAnsi="Times New Roman"/>
          <w:sz w:val="20"/>
          <w:szCs w:val="20"/>
          <w:color w:val="4C4C4E"/>
        </w:rPr>
        <w:t>The Audit Committee reviews the valuations presented and recommends values for each investment to the Board.</w:t>
      </w:r>
    </w:p>
    <w:p>
      <w:pPr>
        <w:spacing w:after="0" w:line="123" w:lineRule="exact"/>
        <w:rPr>
          <w:rFonts w:ascii="Arial" w:cs="Arial" w:eastAsia="Arial" w:hAnsi="Arial"/>
          <w:sz w:val="20"/>
          <w:szCs w:val="20"/>
          <w:color w:val="4C4C4E"/>
        </w:rPr>
      </w:pPr>
    </w:p>
    <w:p>
      <w:pPr>
        <w:ind w:left="500" w:right="80" w:hanging="255"/>
        <w:spacing w:after="0" w:line="242" w:lineRule="auto"/>
        <w:tabs>
          <w:tab w:leader="none" w:pos="500" w:val="left"/>
        </w:tabs>
        <w:numPr>
          <w:ilvl w:val="0"/>
          <w:numId w:val="67"/>
        </w:numPr>
        <w:rPr>
          <w:rFonts w:ascii="Arial" w:cs="Arial" w:eastAsia="Arial" w:hAnsi="Arial"/>
          <w:sz w:val="20"/>
          <w:szCs w:val="20"/>
          <w:color w:val="4C4C4E"/>
        </w:rPr>
      </w:pPr>
      <w:r>
        <w:rPr>
          <w:rFonts w:ascii="Times New Roman" w:cs="Times New Roman" w:eastAsia="Times New Roman" w:hAnsi="Times New Roman"/>
          <w:sz w:val="20"/>
          <w:szCs w:val="20"/>
          <w:color w:val="4C4C4E"/>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We conduct this valuation process on a quarterly basis.</w:t>
      </w:r>
    </w:p>
    <w:p>
      <w:pPr>
        <w:spacing w:after="0" w:line="230" w:lineRule="exact"/>
        <w:rPr>
          <w:sz w:val="20"/>
          <w:szCs w:val="20"/>
          <w:color w:val="auto"/>
        </w:rPr>
      </w:pPr>
    </w:p>
    <w:p>
      <w:pPr>
        <w:ind w:right="20" w:firstLine="245"/>
        <w:spacing w:after="0" w:line="239" w:lineRule="auto"/>
        <w:rPr>
          <w:sz w:val="20"/>
          <w:szCs w:val="20"/>
          <w:color w:val="auto"/>
        </w:rPr>
      </w:pPr>
      <w:r>
        <w:rPr>
          <w:rFonts w:ascii="Times New Roman" w:cs="Times New Roman" w:eastAsia="Times New Roman" w:hAnsi="Times New Roman"/>
          <w:sz w:val="20"/>
          <w:szCs w:val="20"/>
          <w:color w:val="4C4C4E"/>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2025,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97" w:lineRule="exact"/>
        <w:rPr>
          <w:sz w:val="20"/>
          <w:szCs w:val="20"/>
          <w:color w:val="auto"/>
        </w:rPr>
      </w:pPr>
    </w:p>
    <w:p>
      <w:pPr>
        <w:ind w:firstLine="245"/>
        <w:spacing w:after="0" w:line="235" w:lineRule="auto"/>
        <w:rPr>
          <w:sz w:val="20"/>
          <w:szCs w:val="20"/>
          <w:color w:val="auto"/>
        </w:rPr>
      </w:pPr>
      <w:r>
        <w:rPr>
          <w:rFonts w:ascii="Times New Roman" w:cs="Times New Roman" w:eastAsia="Times New Roman" w:hAnsi="Times New Roman"/>
          <w:sz w:val="20"/>
          <w:szCs w:val="20"/>
          <w:color w:val="4C4C4E"/>
        </w:rPr>
        <w:t xml:space="preserve">We apply Financial Accounting Standards Board Accounting Standards Codification Topic 820, </w:t>
      </w:r>
      <w:r>
        <w:rPr>
          <w:rFonts w:ascii="Times New Roman" w:cs="Times New Roman" w:eastAsia="Times New Roman" w:hAnsi="Times New Roman"/>
          <w:sz w:val="20"/>
          <w:szCs w:val="20"/>
          <w:i w:val="1"/>
          <w:iCs w:val="1"/>
          <w:color w:val="4C4C4E"/>
        </w:rPr>
        <w:t>Fair Value Measurement</w:t>
      </w:r>
      <w:r>
        <w:rPr>
          <w:rFonts w:ascii="Times New Roman" w:cs="Times New Roman" w:eastAsia="Times New Roman" w:hAnsi="Times New Roman"/>
          <w:sz w:val="20"/>
          <w:szCs w:val="20"/>
          <w:color w:val="4C4C4E"/>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91" w:lineRule="exact"/>
        <w:rPr>
          <w:sz w:val="20"/>
          <w:szCs w:val="20"/>
          <w:color w:val="auto"/>
        </w:rPr>
      </w:pPr>
    </w:p>
    <w:p>
      <w:pPr>
        <w:ind w:left="500" w:hanging="255"/>
        <w:spacing w:after="0"/>
        <w:tabs>
          <w:tab w:leader="none" w:pos="500" w:val="left"/>
        </w:tabs>
        <w:numPr>
          <w:ilvl w:val="0"/>
          <w:numId w:val="68"/>
        </w:numPr>
        <w:rPr>
          <w:rFonts w:ascii="Arial" w:cs="Arial" w:eastAsia="Arial" w:hAnsi="Arial"/>
          <w:sz w:val="20"/>
          <w:szCs w:val="20"/>
          <w:color w:val="4C4C4E"/>
        </w:rPr>
      </w:pPr>
      <w:r>
        <w:rPr>
          <w:rFonts w:ascii="Times New Roman" w:cs="Times New Roman" w:eastAsia="Times New Roman" w:hAnsi="Times New Roman"/>
          <w:sz w:val="20"/>
          <w:szCs w:val="20"/>
          <w:color w:val="4C4C4E"/>
        </w:rPr>
        <w:t>Level 1—Valuations based on quoted prices in active markets for identical assets or liabilities that we have the ability to access.</w:t>
      </w:r>
    </w:p>
    <w:p>
      <w:pPr>
        <w:spacing w:after="0" w:line="123" w:lineRule="exact"/>
        <w:rPr>
          <w:rFonts w:ascii="Arial" w:cs="Arial" w:eastAsia="Arial" w:hAnsi="Arial"/>
          <w:sz w:val="20"/>
          <w:szCs w:val="20"/>
          <w:color w:val="4C4C4E"/>
        </w:rPr>
      </w:pPr>
    </w:p>
    <w:p>
      <w:pPr>
        <w:ind w:left="500" w:right="380" w:hanging="255"/>
        <w:spacing w:after="0" w:line="267" w:lineRule="auto"/>
        <w:tabs>
          <w:tab w:leader="none" w:pos="500" w:val="left"/>
        </w:tabs>
        <w:numPr>
          <w:ilvl w:val="0"/>
          <w:numId w:val="68"/>
        </w:numPr>
        <w:rPr>
          <w:rFonts w:ascii="Arial" w:cs="Arial" w:eastAsia="Arial" w:hAnsi="Arial"/>
          <w:sz w:val="20"/>
          <w:szCs w:val="20"/>
          <w:color w:val="4C4C4E"/>
        </w:rPr>
      </w:pPr>
      <w:r>
        <w:rPr>
          <w:rFonts w:ascii="Times New Roman" w:cs="Times New Roman" w:eastAsia="Times New Roman" w:hAnsi="Times New Roman"/>
          <w:sz w:val="20"/>
          <w:szCs w:val="20"/>
          <w:color w:val="4C4C4E"/>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20"/>
          <w:szCs w:val="20"/>
          <w:color w:val="4C4C4E"/>
        </w:rPr>
      </w:pPr>
    </w:p>
    <w:p>
      <w:pPr>
        <w:ind w:left="500" w:hanging="255"/>
        <w:spacing w:after="0"/>
        <w:tabs>
          <w:tab w:leader="none" w:pos="500" w:val="left"/>
        </w:tabs>
        <w:numPr>
          <w:ilvl w:val="0"/>
          <w:numId w:val="68"/>
        </w:numPr>
        <w:rPr>
          <w:rFonts w:ascii="Arial" w:cs="Arial" w:eastAsia="Arial" w:hAnsi="Arial"/>
          <w:sz w:val="20"/>
          <w:szCs w:val="20"/>
          <w:color w:val="4C4C4E"/>
        </w:rPr>
      </w:pPr>
      <w:r>
        <w:rPr>
          <w:rFonts w:ascii="Times New Roman" w:cs="Times New Roman" w:eastAsia="Times New Roman" w:hAnsi="Times New Roman"/>
          <w:sz w:val="20"/>
          <w:szCs w:val="20"/>
          <w:color w:val="4C4C4E"/>
        </w:rPr>
        <w:t>Level 3—Valuations based on inputs that are unobservable and significant to the overall fair value measurement.</w:t>
      </w:r>
    </w:p>
    <w:p>
      <w:pPr>
        <w:spacing w:after="0" w:line="227" w:lineRule="exact"/>
        <w:rPr>
          <w:sz w:val="20"/>
          <w:szCs w:val="20"/>
          <w:color w:val="auto"/>
        </w:rPr>
      </w:pPr>
    </w:p>
    <w:p>
      <w:pPr>
        <w:ind w:right="20" w:firstLine="245"/>
        <w:spacing w:after="0" w:line="231" w:lineRule="auto"/>
        <w:rPr>
          <w:sz w:val="20"/>
          <w:szCs w:val="20"/>
          <w:color w:val="auto"/>
        </w:rPr>
      </w:pPr>
      <w:r>
        <w:rPr>
          <w:rFonts w:ascii="Times New Roman" w:cs="Times New Roman" w:eastAsia="Times New Roman" w:hAnsi="Times New Roman"/>
          <w:sz w:val="20"/>
          <w:szCs w:val="20"/>
          <w:color w:val="4C4C4E"/>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7" w:lineRule="exact"/>
        <w:rPr>
          <w:sz w:val="20"/>
          <w:szCs w:val="20"/>
          <w:color w:val="auto"/>
        </w:rPr>
      </w:pPr>
    </w:p>
    <w:p>
      <w:pPr>
        <w:jc w:val="both"/>
        <w:ind w:right="260" w:firstLine="245"/>
        <w:spacing w:after="0" w:line="244" w:lineRule="auto"/>
        <w:rPr>
          <w:sz w:val="20"/>
          <w:szCs w:val="20"/>
          <w:color w:val="auto"/>
        </w:rPr>
      </w:pPr>
      <w:r>
        <w:rPr>
          <w:rFonts w:ascii="Times New Roman" w:cs="Times New Roman" w:eastAsia="Times New Roman" w:hAnsi="Times New Roman"/>
          <w:sz w:val="20"/>
          <w:szCs w:val="20"/>
          <w:color w:val="4C4C4E"/>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8" w:lineRule="exact"/>
        <w:rPr>
          <w:sz w:val="20"/>
          <w:szCs w:val="20"/>
          <w:color w:val="auto"/>
        </w:rPr>
      </w:pPr>
    </w:p>
    <w:p>
      <w:pPr>
        <w:ind w:right="580" w:firstLine="245"/>
        <w:spacing w:after="0" w:line="263" w:lineRule="auto"/>
        <w:rPr>
          <w:sz w:val="20"/>
          <w:szCs w:val="20"/>
          <w:color w:val="auto"/>
        </w:rPr>
      </w:pPr>
      <w:r>
        <w:rPr>
          <w:rFonts w:ascii="Times New Roman" w:cs="Times New Roman" w:eastAsia="Times New Roman" w:hAnsi="Times New Roman"/>
          <w:sz w:val="20"/>
          <w:szCs w:val="20"/>
          <w:color w:val="4C4C4E"/>
        </w:rPr>
        <w:t>See Note 6 to our consolidated financial statements included in this Form 10-K for more information on the fair value of our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Interest and Dividend Income Recognition</w:t>
      </w:r>
    </w:p>
    <w:p>
      <w:pPr>
        <w:spacing w:after="0" w:line="107" w:lineRule="exact"/>
        <w:rPr>
          <w:sz w:val="20"/>
          <w:szCs w:val="20"/>
          <w:color w:val="auto"/>
        </w:rPr>
      </w:pPr>
    </w:p>
    <w:p>
      <w:pPr>
        <w:ind w:right="40" w:firstLine="245"/>
        <w:spacing w:after="0" w:line="263" w:lineRule="auto"/>
        <w:rPr>
          <w:sz w:val="20"/>
          <w:szCs w:val="20"/>
          <w:color w:val="auto"/>
        </w:rPr>
      </w:pPr>
      <w:r>
        <w:rPr>
          <w:rFonts w:ascii="Times New Roman" w:cs="Times New Roman" w:eastAsia="Times New Roman" w:hAnsi="Times New Roman"/>
          <w:sz w:val="20"/>
          <w:szCs w:val="20"/>
          <w:color w:val="4C4C4E"/>
        </w:rPr>
        <w:t>Interest income is recorded on an accrual basis and includes the amortization of discounts and premiums. Discounts and premiums to par value on securities purchased or originated are amortized into interest income over the contractual life of the respective security</w:t>
      </w:r>
    </w:p>
    <w:p>
      <w:pPr>
        <w:sectPr>
          <w:pgSz w:w="11880" w:h="15480" w:orient="portrait"/>
          <w:cols w:equalWidth="0" w:num="1">
            <w:col w:w="10780"/>
          </w:cols>
          <w:pgMar w:left="540" w:top="750" w:right="560" w:bottom="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87</w:t>
      </w:r>
    </w:p>
    <w:p>
      <w:pPr>
        <w:sectPr>
          <w:pgSz w:w="11880" w:h="15480" w:orient="portrait"/>
          <w:cols w:equalWidth="0" w:num="1">
            <w:col w:w="10780"/>
          </w:cols>
          <w:pgMar w:left="540" w:top="750" w:right="560" w:bottom="0" w:gutter="0" w:footer="0" w:header="0"/>
          <w:type w:val="continuous"/>
        </w:sectPr>
      </w:pPr>
    </w:p>
    <w:bookmarkStart w:id="87" w:name="page88"/>
    <w:bookmarkEnd w:id="87"/>
    <w:p>
      <w:pPr>
        <w:ind w:right="400"/>
        <w:spacing w:after="0" w:line="263" w:lineRule="auto"/>
        <w:rPr>
          <w:sz w:val="20"/>
          <w:szCs w:val="20"/>
          <w:color w:val="auto"/>
        </w:rPr>
      </w:pPr>
      <w:r>
        <w:rPr>
          <w:rFonts w:ascii="Times New Roman" w:cs="Times New Roman" w:eastAsia="Times New Roman" w:hAnsi="Times New Roman"/>
          <w:sz w:val="20"/>
          <w:szCs w:val="20"/>
          <w:color w:val="4C4C4E"/>
        </w:rPr>
        <w:t>using the effective interest method. The amortized cost of investments represents the original cost adjusted for the amortization of discounts and premiums, if any.</w:t>
      </w:r>
    </w:p>
    <w:p>
      <w:pPr>
        <w:spacing w:after="0" w:line="169" w:lineRule="exact"/>
        <w:rPr>
          <w:sz w:val="20"/>
          <w:szCs w:val="20"/>
          <w:color w:val="auto"/>
        </w:rPr>
      </w:pPr>
    </w:p>
    <w:p>
      <w:pPr>
        <w:ind w:right="320" w:firstLine="245"/>
        <w:spacing w:after="0" w:line="263" w:lineRule="auto"/>
        <w:rPr>
          <w:sz w:val="20"/>
          <w:szCs w:val="20"/>
          <w:color w:val="auto"/>
        </w:rPr>
      </w:pPr>
      <w:r>
        <w:rPr>
          <w:rFonts w:ascii="Times New Roman" w:cs="Times New Roman" w:eastAsia="Times New Roman" w:hAnsi="Times New Roman"/>
          <w:sz w:val="20"/>
          <w:szCs w:val="20"/>
          <w:color w:val="4C4C4E"/>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9" w:lineRule="exact"/>
        <w:rPr>
          <w:sz w:val="20"/>
          <w:szCs w:val="20"/>
          <w:color w:val="auto"/>
        </w:rPr>
      </w:pPr>
    </w:p>
    <w:p>
      <w:pPr>
        <w:ind w:firstLine="245"/>
        <w:spacing w:after="0" w:line="233" w:lineRule="auto"/>
        <w:rPr>
          <w:sz w:val="20"/>
          <w:szCs w:val="20"/>
          <w:color w:val="auto"/>
        </w:rPr>
      </w:pPr>
      <w:r>
        <w:rPr>
          <w:rFonts w:ascii="Times New Roman" w:cs="Times New Roman" w:eastAsia="Times New Roman" w:hAnsi="Times New Roman"/>
          <w:sz w:val="20"/>
          <w:szCs w:val="20"/>
          <w:color w:val="4C4C4E"/>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93" w:lineRule="exact"/>
        <w:rPr>
          <w:sz w:val="20"/>
          <w:szCs w:val="20"/>
          <w:color w:val="auto"/>
        </w:rPr>
      </w:pPr>
    </w:p>
    <w:p>
      <w:pPr>
        <w:jc w:val="both"/>
        <w:ind w:right="160" w:firstLine="245"/>
        <w:spacing w:after="0" w:line="244" w:lineRule="auto"/>
        <w:rPr>
          <w:sz w:val="20"/>
          <w:szCs w:val="20"/>
          <w:color w:val="auto"/>
        </w:rPr>
      </w:pPr>
      <w:r>
        <w:rPr>
          <w:rFonts w:ascii="Times New Roman" w:cs="Times New Roman" w:eastAsia="Times New Roman" w:hAnsi="Times New Roman"/>
          <w:sz w:val="20"/>
          <w:szCs w:val="20"/>
          <w:color w:val="4C4C4E"/>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8" w:lineRule="exact"/>
        <w:rPr>
          <w:sz w:val="20"/>
          <w:szCs w:val="20"/>
          <w:color w:val="auto"/>
        </w:rPr>
      </w:pPr>
    </w:p>
    <w:p>
      <w:pPr>
        <w:ind w:right="60" w:firstLine="245"/>
        <w:spacing w:after="0" w:line="263" w:lineRule="auto"/>
        <w:rPr>
          <w:sz w:val="20"/>
          <w:szCs w:val="20"/>
          <w:color w:val="auto"/>
        </w:rPr>
      </w:pPr>
      <w:r>
        <w:rPr>
          <w:rFonts w:ascii="Times New Roman" w:cs="Times New Roman" w:eastAsia="Times New Roman" w:hAnsi="Times New Roman"/>
          <w:sz w:val="20"/>
          <w:szCs w:val="20"/>
          <w:color w:val="4C4C4E"/>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U.S. Federal Income Taxes</w:t>
      </w:r>
    </w:p>
    <w:p>
      <w:pPr>
        <w:spacing w:after="0" w:line="107" w:lineRule="exact"/>
        <w:rPr>
          <w:sz w:val="20"/>
          <w:szCs w:val="20"/>
          <w:color w:val="auto"/>
        </w:rPr>
      </w:pPr>
    </w:p>
    <w:p>
      <w:pPr>
        <w:ind w:right="20" w:firstLine="245"/>
        <w:spacing w:after="0" w:line="236" w:lineRule="auto"/>
        <w:rPr>
          <w:sz w:val="20"/>
          <w:szCs w:val="20"/>
          <w:color w:val="auto"/>
        </w:rPr>
      </w:pPr>
      <w:r>
        <w:rPr>
          <w:rFonts w:ascii="Times New Roman" w:cs="Times New Roman" w:eastAsia="Times New Roman" w:hAnsi="Times New Roman"/>
          <w:sz w:val="20"/>
          <w:szCs w:val="20"/>
          <w:color w:val="4C4C4E"/>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92" w:lineRule="exact"/>
        <w:rPr>
          <w:sz w:val="20"/>
          <w:szCs w:val="20"/>
          <w:color w:val="auto"/>
        </w:rPr>
      </w:pPr>
    </w:p>
    <w:p>
      <w:pPr>
        <w:ind w:right="120" w:firstLine="245"/>
        <w:spacing w:after="0" w:line="232" w:lineRule="auto"/>
        <w:rPr>
          <w:sz w:val="20"/>
          <w:szCs w:val="20"/>
          <w:color w:val="auto"/>
        </w:rPr>
      </w:pPr>
      <w:r>
        <w:rPr>
          <w:rFonts w:ascii="Times New Roman" w:cs="Times New Roman" w:eastAsia="Times New Roman" w:hAnsi="Times New Roman"/>
          <w:sz w:val="20"/>
          <w:szCs w:val="20"/>
          <w:color w:val="4C4C4E"/>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2025, we did not have any uncertain tax positions that met the recognition or measurement criteria, nor did we have any unrecognized tax benefits. Our 2024, 2023 and 2022 tax year returns remain subject to examination by the relevant federal, state, and local tax authorities.</w:t>
      </w:r>
    </w:p>
    <w:p>
      <w:pPr>
        <w:spacing w:after="0" w:line="194" w:lineRule="exact"/>
        <w:rPr>
          <w:sz w:val="20"/>
          <w:szCs w:val="20"/>
          <w:color w:val="auto"/>
        </w:rPr>
      </w:pPr>
    </w:p>
    <w:p>
      <w:pPr>
        <w:ind w:right="60" w:firstLine="245"/>
        <w:spacing w:after="0" w:line="263" w:lineRule="auto"/>
        <w:rPr>
          <w:sz w:val="20"/>
          <w:szCs w:val="20"/>
          <w:color w:val="auto"/>
        </w:rPr>
      </w:pPr>
      <w:r>
        <w:rPr>
          <w:rFonts w:ascii="Times New Roman" w:cs="Times New Roman" w:eastAsia="Times New Roman" w:hAnsi="Times New Roman"/>
          <w:sz w:val="20"/>
          <w:szCs w:val="20"/>
          <w:color w:val="4C4C4E"/>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7A. QUANTITATIVE AND QUALITATIVE DISCLOSURES ABOUT MARKET RISK</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We are subject to financial market risks, including valuation risk, interest rate risk and currency risk.</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Valuation Risk</w:t>
      </w:r>
    </w:p>
    <w:p>
      <w:pPr>
        <w:spacing w:after="0" w:line="110" w:lineRule="exact"/>
        <w:rPr>
          <w:sz w:val="20"/>
          <w:szCs w:val="20"/>
          <w:color w:val="auto"/>
        </w:rPr>
      </w:pPr>
    </w:p>
    <w:p>
      <w:pPr>
        <w:ind w:right="60" w:firstLine="245"/>
        <w:spacing w:after="0" w:line="236" w:lineRule="auto"/>
        <w:rPr>
          <w:sz w:val="20"/>
          <w:szCs w:val="20"/>
          <w:color w:val="auto"/>
        </w:rPr>
      </w:pPr>
      <w:r>
        <w:rPr>
          <w:rFonts w:ascii="Times New Roman" w:cs="Times New Roman" w:eastAsia="Times New Roman" w:hAnsi="Times New Roman"/>
          <w:sz w:val="20"/>
          <w:szCs w:val="20"/>
          <w:color w:val="4C4C4E"/>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Interest Rate Risk</w:t>
      </w:r>
    </w:p>
    <w:p>
      <w:pPr>
        <w:spacing w:after="0" w:line="110" w:lineRule="exact"/>
        <w:rPr>
          <w:sz w:val="20"/>
          <w:szCs w:val="20"/>
          <w:color w:val="auto"/>
        </w:rPr>
      </w:pPr>
    </w:p>
    <w:p>
      <w:pPr>
        <w:ind w:right="240" w:firstLine="245"/>
        <w:spacing w:after="0" w:line="242" w:lineRule="auto"/>
        <w:rPr>
          <w:sz w:val="20"/>
          <w:szCs w:val="20"/>
          <w:color w:val="auto"/>
        </w:rPr>
      </w:pPr>
      <w:r>
        <w:rPr>
          <w:rFonts w:ascii="Times New Roman" w:cs="Times New Roman" w:eastAsia="Times New Roman" w:hAnsi="Times New Roman"/>
          <w:sz w:val="20"/>
          <w:szCs w:val="20"/>
          <w:color w:val="4C4C4E"/>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ectPr>
          <w:pgSz w:w="11880" w:h="15480" w:orient="portrait"/>
          <w:cols w:equalWidth="0" w:num="1">
            <w:col w:w="10800"/>
          </w:cols>
          <w:pgMar w:left="540" w:top="739" w:right="54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88</w:t>
      </w:r>
    </w:p>
    <w:p>
      <w:pPr>
        <w:sectPr>
          <w:pgSz w:w="11880" w:h="15480" w:orient="portrait"/>
          <w:cols w:equalWidth="0" w:num="1">
            <w:col w:w="10800"/>
          </w:cols>
          <w:pgMar w:left="540" w:top="739" w:right="540" w:bottom="0" w:gutter="0" w:footer="0" w:header="0"/>
          <w:type w:val="continuous"/>
        </w:sectPr>
      </w:pPr>
    </w:p>
    <w:bookmarkStart w:id="88" w:name="page89"/>
    <w:bookmarkEnd w:id="88"/>
    <w:p>
      <w:pPr>
        <w:ind w:right="260" w:firstLine="245"/>
        <w:spacing w:after="0" w:line="248" w:lineRule="auto"/>
        <w:rPr>
          <w:sz w:val="20"/>
          <w:szCs w:val="20"/>
          <w:color w:val="auto"/>
        </w:rPr>
      </w:pPr>
      <w:r>
        <w:rPr>
          <w:rFonts w:ascii="Times New Roman" w:cs="Times New Roman" w:eastAsia="Times New Roman" w:hAnsi="Times New Roman"/>
          <w:sz w:val="20"/>
          <w:szCs w:val="20"/>
          <w:color w:val="4C4C4E"/>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8"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4C4C4E"/>
        </w:rPr>
        <w:t>As of December 31, 2025, 96.3% of our debt investments based on fair value in our portfolio bore interest at floating rates, with 100.0% of these subject to interest rate floors. Our credit facilities also bear interest at floating rates, and in connection with our 2026 Notes, 2028 Notes, 2029 Notes and 2030 Notes, which bear interest at fixed rates, we entered into fixed-to-floating interest rate swaps in order to align the interest rates of our liabilities with our investment portfolio.</w:t>
      </w:r>
    </w:p>
    <w:p>
      <w:pPr>
        <w:spacing w:after="0" w:line="194"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20"/>
          <w:szCs w:val="20"/>
          <w:color w:val="4C4C4E"/>
        </w:rPr>
        <w:t>Assuming that our Consolidated Balance Sheet as of December 31, 2025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4C4C4E"/>
              </w:rPr>
              <w:t>($ in millions)</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960" w:type="dxa"/>
            <w:vAlign w:val="bottom"/>
          </w:tcPr>
          <w:p>
            <w:pPr>
              <w:ind w:left="1700"/>
              <w:spacing w:after="0"/>
              <w:rPr>
                <w:sz w:val="20"/>
                <w:szCs w:val="20"/>
                <w:color w:val="auto"/>
              </w:rPr>
            </w:pPr>
            <w:r>
              <w:rPr>
                <w:rFonts w:ascii="Times New Roman" w:cs="Times New Roman" w:eastAsia="Times New Roman" w:hAnsi="Times New Roman"/>
                <w:sz w:val="16"/>
                <w:szCs w:val="16"/>
                <w:b w:val="1"/>
                <w:bCs w:val="1"/>
                <w:color w:val="4C4C4E"/>
              </w:rPr>
              <w:t>Basis Point Change</w:t>
            </w:r>
          </w:p>
        </w:tc>
        <w:tc>
          <w:tcPr>
            <w:tcW w:w="10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4C4C4E"/>
                <w:w w:val="98"/>
              </w:rPr>
              <w:t>Interest Income</w:t>
            </w: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4C4C4E"/>
              </w:rPr>
              <w:t>Interest Expense</w:t>
            </w:r>
          </w:p>
        </w:tc>
        <w:tc>
          <w:tcPr>
            <w:tcW w:w="26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4C4C4E"/>
                <w:w w:val="99"/>
              </w:rPr>
              <w:t>Net Interest Income</w:t>
            </w:r>
          </w:p>
        </w:tc>
      </w:tr>
      <w:tr>
        <w:trPr>
          <w:trHeight w:val="239"/>
        </w:trPr>
        <w:tc>
          <w:tcPr>
            <w:tcW w:w="396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Up 300 basis points</w:t>
            </w:r>
          </w:p>
        </w:tc>
        <w:tc>
          <w:tcPr>
            <w:tcW w:w="10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2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91.5</w:t>
            </w:r>
          </w:p>
        </w:tc>
        <w:tc>
          <w:tcPr>
            <w:tcW w:w="80" w:type="dxa"/>
            <w:vAlign w:val="bottom"/>
            <w:tcBorders>
              <w:top w:val="single" w:sz="8" w:color="D8EEF4"/>
            </w:tcBorders>
            <w:shd w:val="clear" w:color="auto" w:fill="D8EEF4"/>
          </w:tcPr>
          <w:p>
            <w:pPr>
              <w:spacing w:after="0"/>
              <w:rPr>
                <w:sz w:val="20"/>
                <w:szCs w:val="20"/>
                <w:color w:val="auto"/>
              </w:rPr>
            </w:pPr>
          </w:p>
        </w:tc>
        <w:tc>
          <w:tcPr>
            <w:tcW w:w="680" w:type="dxa"/>
            <w:vAlign w:val="bottom"/>
            <w:tcBorders>
              <w:top w:val="single" w:sz="8" w:color="4C4C4E"/>
            </w:tcBorders>
            <w:shd w:val="clear" w:color="auto" w:fill="D8EEF4"/>
          </w:tcPr>
          <w:p>
            <w:pPr>
              <w:jc w:val="right"/>
              <w:ind w:right="323"/>
              <w:spacing w:after="0"/>
              <w:rPr>
                <w:sz w:val="20"/>
                <w:szCs w:val="20"/>
                <w:color w:val="auto"/>
              </w:rPr>
            </w:pPr>
            <w:r>
              <w:rPr>
                <w:rFonts w:ascii="Times New Roman" w:cs="Times New Roman" w:eastAsia="Times New Roman" w:hAnsi="Times New Roman"/>
                <w:sz w:val="20"/>
                <w:szCs w:val="20"/>
                <w:color w:val="4C4C4E"/>
              </w:rPr>
              <w:t>$</w:t>
            </w:r>
          </w:p>
        </w:tc>
        <w:tc>
          <w:tcPr>
            <w:tcW w:w="8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52.9</w:t>
            </w:r>
          </w:p>
        </w:tc>
        <w:tc>
          <w:tcPr>
            <w:tcW w:w="100" w:type="dxa"/>
            <w:vAlign w:val="bottom"/>
            <w:tcBorders>
              <w:top w:val="single" w:sz="8" w:color="D8EEF4"/>
            </w:tcBorders>
            <w:shd w:val="clear" w:color="auto" w:fill="D8EEF4"/>
          </w:tcPr>
          <w:p>
            <w:pPr>
              <w:spacing w:after="0"/>
              <w:rPr>
                <w:sz w:val="20"/>
                <w:szCs w:val="20"/>
                <w:color w:val="auto"/>
              </w:rPr>
            </w:pPr>
          </w:p>
        </w:tc>
        <w:tc>
          <w:tcPr>
            <w:tcW w:w="2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5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38.6</w:t>
            </w:r>
          </w:p>
        </w:tc>
        <w:tc>
          <w:tcPr>
            <w:tcW w:w="80" w:type="dxa"/>
            <w:vAlign w:val="bottom"/>
            <w:tcBorders>
              <w:top w:val="single" w:sz="8" w:color="D8EEF4"/>
            </w:tcBorders>
            <w:shd w:val="clear" w:color="auto" w:fill="D8EEF4"/>
          </w:tcPr>
          <w:p>
            <w:pPr>
              <w:spacing w:after="0"/>
              <w:rPr>
                <w:sz w:val="20"/>
                <w:szCs w:val="20"/>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4C4C4E"/>
              </w:rPr>
              <w:t>Up 200 basis points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61.0</w:t>
            </w:r>
          </w:p>
        </w:tc>
        <w:tc>
          <w:tcPr>
            <w:tcW w:w="80" w:type="dxa"/>
            <w:vAlign w:val="bottom"/>
          </w:tcPr>
          <w:p>
            <w:pPr>
              <w:spacing w:after="0"/>
              <w:rPr>
                <w:sz w:val="21"/>
                <w:szCs w:val="21"/>
                <w:color w:val="auto"/>
              </w:rPr>
            </w:pPr>
          </w:p>
        </w:tc>
        <w:tc>
          <w:tcPr>
            <w:tcW w:w="680" w:type="dxa"/>
            <w:vAlign w:val="bottom"/>
          </w:tcPr>
          <w:p>
            <w:pPr>
              <w:jc w:val="right"/>
              <w:ind w:right="323"/>
              <w:spacing w:after="0"/>
              <w:rPr>
                <w:sz w:val="20"/>
                <w:szCs w:val="20"/>
                <w:color w:val="auto"/>
              </w:rPr>
            </w:pPr>
            <w:r>
              <w:rPr>
                <w:rFonts w:ascii="Times New Roman" w:cs="Times New Roman" w:eastAsia="Times New Roman" w:hAnsi="Times New Roman"/>
                <w:sz w:val="20"/>
                <w:szCs w:val="20"/>
                <w:color w:val="4C4C4E"/>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35.3</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25.7</w:t>
            </w:r>
          </w:p>
        </w:tc>
        <w:tc>
          <w:tcPr>
            <w:tcW w:w="80" w:type="dxa"/>
            <w:vAlign w:val="bottom"/>
          </w:tcPr>
          <w:p>
            <w:pPr>
              <w:spacing w:after="0"/>
              <w:rPr>
                <w:sz w:val="21"/>
                <w:szCs w:val="21"/>
                <w:color w:val="auto"/>
              </w:rPr>
            </w:pPr>
          </w:p>
        </w:tc>
      </w:tr>
      <w:tr>
        <w:trPr>
          <w:trHeight w:val="244"/>
        </w:trPr>
        <w:tc>
          <w:tcPr>
            <w:tcW w:w="39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Up 100 basis points</w:t>
            </w: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2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30.5</w:t>
            </w:r>
          </w:p>
        </w:tc>
        <w:tc>
          <w:tcPr>
            <w:tcW w:w="80" w:type="dxa"/>
            <w:vAlign w:val="bottom"/>
            <w:shd w:val="clear" w:color="auto" w:fill="D8EEF4"/>
          </w:tcPr>
          <w:p>
            <w:pPr>
              <w:spacing w:after="0"/>
              <w:rPr>
                <w:sz w:val="21"/>
                <w:szCs w:val="21"/>
                <w:color w:val="auto"/>
              </w:rPr>
            </w:pPr>
          </w:p>
        </w:tc>
        <w:tc>
          <w:tcPr>
            <w:tcW w:w="680" w:type="dxa"/>
            <w:vAlign w:val="bottom"/>
            <w:shd w:val="clear" w:color="auto" w:fill="D8EEF4"/>
          </w:tcPr>
          <w:p>
            <w:pPr>
              <w:jc w:val="right"/>
              <w:ind w:right="323"/>
              <w:spacing w:after="0"/>
              <w:rPr>
                <w:sz w:val="20"/>
                <w:szCs w:val="20"/>
                <w:color w:val="auto"/>
              </w:rPr>
            </w:pPr>
            <w:r>
              <w:rPr>
                <w:rFonts w:ascii="Times New Roman" w:cs="Times New Roman" w:eastAsia="Times New Roman" w:hAnsi="Times New Roman"/>
                <w:sz w:val="20"/>
                <w:szCs w:val="20"/>
                <w:color w:val="4C4C4E"/>
              </w:rPr>
              <w:t>$</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17.6</w:t>
            </w:r>
          </w:p>
        </w:tc>
        <w:tc>
          <w:tcPr>
            <w:tcW w:w="100" w:type="dxa"/>
            <w:vAlign w:val="bottom"/>
            <w:shd w:val="clear" w:color="auto" w:fill="D8EEF4"/>
          </w:tcPr>
          <w:p>
            <w:pPr>
              <w:spacing w:after="0"/>
              <w:rPr>
                <w:sz w:val="21"/>
                <w:szCs w:val="21"/>
                <w:color w:val="auto"/>
              </w:rPr>
            </w:pPr>
          </w:p>
        </w:tc>
        <w:tc>
          <w:tcPr>
            <w:tcW w:w="2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12.9</w:t>
            </w:r>
          </w:p>
        </w:tc>
        <w:tc>
          <w:tcPr>
            <w:tcW w:w="80" w:type="dxa"/>
            <w:vAlign w:val="bottom"/>
            <w:shd w:val="clear" w:color="auto" w:fill="D8EEF4"/>
          </w:tcPr>
          <w:p>
            <w:pPr>
              <w:spacing w:after="0"/>
              <w:rPr>
                <w:sz w:val="21"/>
                <w:szCs w:val="21"/>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4C4C4E"/>
              </w:rPr>
              <w:t>Down 25 basis points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(7.6)</w:t>
            </w:r>
          </w:p>
        </w:tc>
        <w:tc>
          <w:tcPr>
            <w:tcW w:w="680" w:type="dxa"/>
            <w:vAlign w:val="bottom"/>
          </w:tcPr>
          <w:p>
            <w:pPr>
              <w:jc w:val="right"/>
              <w:ind w:right="323"/>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(4.4)</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(3.2)</w:t>
            </w:r>
          </w:p>
        </w:tc>
      </w:tr>
      <w:tr>
        <w:trPr>
          <w:trHeight w:val="244"/>
        </w:trPr>
        <w:tc>
          <w:tcPr>
            <w:tcW w:w="39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Down 50 basis points</w:t>
            </w: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30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(15.2)</w:t>
            </w:r>
          </w:p>
        </w:tc>
        <w:tc>
          <w:tcPr>
            <w:tcW w:w="680" w:type="dxa"/>
            <w:vAlign w:val="bottom"/>
            <w:shd w:val="clear" w:color="auto" w:fill="D8EEF4"/>
          </w:tcPr>
          <w:p>
            <w:pPr>
              <w:jc w:val="right"/>
              <w:ind w:right="323"/>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(8.8)</w:t>
            </w:r>
          </w:p>
        </w:tc>
        <w:tc>
          <w:tcPr>
            <w:tcW w:w="2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58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(6.4)</w:t>
            </w: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4C4C4E"/>
              </w:rPr>
              <w:t>Down 75 basis points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(22.8)</w:t>
            </w:r>
          </w:p>
        </w:tc>
        <w:tc>
          <w:tcPr>
            <w:tcW w:w="680" w:type="dxa"/>
            <w:vAlign w:val="bottom"/>
          </w:tcPr>
          <w:p>
            <w:pPr>
              <w:jc w:val="right"/>
              <w:ind w:right="323"/>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(13.2)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(9.6)</w:t>
            </w:r>
          </w:p>
        </w:tc>
      </w:tr>
      <w:tr>
        <w:trPr>
          <w:trHeight w:val="244"/>
        </w:trPr>
        <w:tc>
          <w:tcPr>
            <w:tcW w:w="39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Down 100 basis points</w:t>
            </w: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30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(30.5)</w:t>
            </w:r>
          </w:p>
        </w:tc>
        <w:tc>
          <w:tcPr>
            <w:tcW w:w="680" w:type="dxa"/>
            <w:vAlign w:val="bottom"/>
            <w:shd w:val="clear" w:color="auto" w:fill="D8EEF4"/>
          </w:tcPr>
          <w:p>
            <w:pPr>
              <w:jc w:val="right"/>
              <w:ind w:right="323"/>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(17.6)</w:t>
            </w:r>
          </w:p>
        </w:tc>
        <w:tc>
          <w:tcPr>
            <w:tcW w:w="2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58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(12.9)</w:t>
            </w:r>
          </w:p>
        </w:tc>
      </w:tr>
    </w:tbl>
    <w:p>
      <w:pPr>
        <w:spacing w:after="0" w:line="209" w:lineRule="exact"/>
        <w:rPr>
          <w:sz w:val="20"/>
          <w:szCs w:val="20"/>
          <w:color w:val="auto"/>
        </w:rPr>
      </w:pPr>
    </w:p>
    <w:p>
      <w:pPr>
        <w:jc w:val="both"/>
        <w:ind w:firstLine="245"/>
        <w:spacing w:after="0" w:line="244" w:lineRule="auto"/>
        <w:rPr>
          <w:sz w:val="20"/>
          <w:szCs w:val="20"/>
          <w:color w:val="auto"/>
        </w:rPr>
      </w:pPr>
      <w:r>
        <w:rPr>
          <w:rFonts w:ascii="Times New Roman" w:cs="Times New Roman" w:eastAsia="Times New Roman" w:hAnsi="Times New Roman"/>
          <w:sz w:val="20"/>
          <w:szCs w:val="20"/>
          <w:color w:val="4C4C4E"/>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7" w:lineRule="exact"/>
        <w:rPr>
          <w:sz w:val="20"/>
          <w:szCs w:val="20"/>
          <w:color w:val="auto"/>
        </w:rPr>
      </w:pPr>
    </w:p>
    <w:p>
      <w:pPr>
        <w:jc w:val="both"/>
        <w:ind w:right="200" w:firstLine="245"/>
        <w:spacing w:after="0" w:line="238" w:lineRule="auto"/>
        <w:rPr>
          <w:sz w:val="20"/>
          <w:szCs w:val="20"/>
          <w:color w:val="auto"/>
        </w:rPr>
      </w:pPr>
      <w:r>
        <w:rPr>
          <w:rFonts w:ascii="Times New Roman" w:cs="Times New Roman" w:eastAsia="Times New Roman" w:hAnsi="Times New Roman"/>
          <w:sz w:val="20"/>
          <w:szCs w:val="20"/>
          <w:color w:val="4C4C4E"/>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C4C4E"/>
        </w:rPr>
        <w:t>Currency Risk</w:t>
      </w:r>
    </w:p>
    <w:p>
      <w:pPr>
        <w:spacing w:after="0" w:line="117" w:lineRule="exact"/>
        <w:rPr>
          <w:sz w:val="20"/>
          <w:szCs w:val="20"/>
          <w:color w:val="auto"/>
        </w:rPr>
      </w:pPr>
    </w:p>
    <w:p>
      <w:pPr>
        <w:ind w:right="40" w:firstLine="245"/>
        <w:spacing w:after="0" w:line="259" w:lineRule="auto"/>
        <w:rPr>
          <w:sz w:val="20"/>
          <w:szCs w:val="20"/>
          <w:color w:val="auto"/>
        </w:rPr>
      </w:pPr>
      <w:r>
        <w:rPr>
          <w:rFonts w:ascii="Times New Roman" w:cs="Times New Roman" w:eastAsia="Times New Roman" w:hAnsi="Times New Roman"/>
          <w:sz w:val="19"/>
          <w:szCs w:val="19"/>
          <w:color w:val="4C4C4E"/>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ectPr>
          <w:pgSz w:w="11880" w:h="15480" w:orient="portrait"/>
          <w:cols w:equalWidth="0" w:num="1">
            <w:col w:w="10740"/>
          </w:cols>
          <w:pgMar w:left="540" w:top="74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C4C4E"/>
        </w:rPr>
        <w:t>89</w:t>
      </w:r>
    </w:p>
    <w:p>
      <w:pPr>
        <w:sectPr>
          <w:pgSz w:w="11880" w:h="15480" w:orient="portrait"/>
          <w:cols w:equalWidth="0" w:num="1">
            <w:col w:w="10740"/>
          </w:cols>
          <w:pgMar w:left="540" w:top="742" w:right="60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4C4C4E"/>
        </w:rPr>
        <w:t>ITEM 8. CONSOLIDATED FINANCIAL STATEMENTS AND SUPPLEMENTARY DATA</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C4C4E"/>
        </w:rPr>
        <w:t>SIXTH STREET SPECIALTY LENDING,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C4C4E"/>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vMerge w:val="restart"/>
          </w:tcPr>
          <w:p>
            <w:pPr>
              <w:jc w:val="right"/>
              <w:ind w:right="4940"/>
              <w:spacing w:after="0"/>
              <w:rPr>
                <w:sz w:val="20"/>
                <w:szCs w:val="20"/>
                <w:color w:val="auto"/>
              </w:rPr>
            </w:pPr>
            <w:r>
              <w:rPr>
                <w:rFonts w:ascii="Times New Roman" w:cs="Times New Roman" w:eastAsia="Times New Roman" w:hAnsi="Times New Roman"/>
                <w:sz w:val="20"/>
                <w:szCs w:val="20"/>
                <w:color w:val="4C4C4E"/>
                <w:w w:val="99"/>
              </w:rPr>
              <w:t>Report of Independent Registered Public Accounting Firm</w:t>
            </w:r>
          </w:p>
        </w:tc>
        <w:tc>
          <w:tcPr>
            <w:tcW w:w="1080" w:type="dxa"/>
            <w:vAlign w:val="bottom"/>
            <w:tcBorders>
              <w:bottom w:val="single" w:sz="8" w:color="4C4C4E"/>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4C4C4E"/>
              </w:rPr>
              <w:t>Page</w:t>
            </w:r>
          </w:p>
        </w:tc>
        <w:tc>
          <w:tcPr>
            <w:tcW w:w="0" w:type="dxa"/>
            <w:vAlign w:val="bottom"/>
          </w:tcPr>
          <w:p>
            <w:pPr>
              <w:spacing w:after="0"/>
              <w:rPr>
                <w:sz w:val="1"/>
                <w:szCs w:val="1"/>
                <w:color w:val="auto"/>
              </w:rPr>
            </w:pPr>
          </w:p>
        </w:tc>
      </w:tr>
      <w:tr>
        <w:trPr>
          <w:trHeight w:val="256"/>
        </w:trPr>
        <w:tc>
          <w:tcPr>
            <w:tcW w:w="9720" w:type="dxa"/>
            <w:vAlign w:val="bottom"/>
            <w:vMerge w:val="continue"/>
          </w:tcPr>
          <w:p>
            <w:pPr>
              <w:jc w:val="right"/>
              <w:spacing w:after="0" w:line="177" w:lineRule="exact"/>
              <w:rPr>
                <w:sz w:val="20"/>
                <w:szCs w:val="20"/>
                <w:color w:val="auto"/>
              </w:rPr>
            </w:pPr>
            <w:r>
              <w:rPr>
                <w:rFonts w:ascii="Times New Roman" w:cs="Times New Roman" w:eastAsia="Times New Roman" w:hAnsi="Times New Roman"/>
                <w:sz w:val="20"/>
                <w:szCs w:val="20"/>
                <w:color w:val="4C4C4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F-2</w:t>
            </w:r>
          </w:p>
        </w:tc>
        <w:tc>
          <w:tcPr>
            <w:tcW w:w="0" w:type="dxa"/>
            <w:vAlign w:val="bottom"/>
          </w:tcPr>
          <w:p>
            <w:pPr>
              <w:spacing w:after="0"/>
              <w:rPr>
                <w:sz w:val="1"/>
                <w:szCs w:val="1"/>
                <w:color w:val="auto"/>
              </w:rPr>
            </w:pPr>
          </w:p>
        </w:tc>
      </w:tr>
      <w:tr>
        <w:trPr>
          <w:trHeight w:val="349"/>
        </w:trPr>
        <w:tc>
          <w:tcPr>
            <w:tcW w:w="97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9"/>
              </w:rPr>
              <w:t>Consolidated Balance Sheets as of December 31, 2025 and 2024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F-4</w:t>
            </w:r>
          </w:p>
        </w:tc>
        <w:tc>
          <w:tcPr>
            <w:tcW w:w="0" w:type="dxa"/>
            <w:vAlign w:val="bottom"/>
          </w:tcPr>
          <w:p>
            <w:pPr>
              <w:spacing w:after="0"/>
              <w:rPr>
                <w:sz w:val="1"/>
                <w:szCs w:val="1"/>
                <w:color w:val="auto"/>
              </w:rPr>
            </w:pPr>
          </w:p>
        </w:tc>
      </w:tr>
      <w:tr>
        <w:trPr>
          <w:trHeight w:val="368"/>
        </w:trPr>
        <w:tc>
          <w:tcPr>
            <w:tcW w:w="97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9"/>
              </w:rPr>
              <w:t>Consolidated Statements of Operations for the Years Ended December 31, 2025, 2024 and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F-5</w:t>
            </w:r>
          </w:p>
        </w:tc>
        <w:tc>
          <w:tcPr>
            <w:tcW w:w="0" w:type="dxa"/>
            <w:vAlign w:val="bottom"/>
          </w:tcPr>
          <w:p>
            <w:pPr>
              <w:spacing w:after="0"/>
              <w:rPr>
                <w:sz w:val="1"/>
                <w:szCs w:val="1"/>
                <w:color w:val="auto"/>
              </w:rPr>
            </w:pPr>
          </w:p>
        </w:tc>
      </w:tr>
      <w:tr>
        <w:trPr>
          <w:trHeight w:val="368"/>
        </w:trPr>
        <w:tc>
          <w:tcPr>
            <w:tcW w:w="97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9"/>
              </w:rPr>
              <w:t>Consolidated Schedules of Investments as of December 31, 2025 and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F-6</w:t>
            </w:r>
          </w:p>
        </w:tc>
        <w:tc>
          <w:tcPr>
            <w:tcW w:w="0" w:type="dxa"/>
            <w:vAlign w:val="bottom"/>
          </w:tcPr>
          <w:p>
            <w:pPr>
              <w:spacing w:after="0"/>
              <w:rPr>
                <w:sz w:val="1"/>
                <w:szCs w:val="1"/>
                <w:color w:val="auto"/>
              </w:rPr>
            </w:pPr>
          </w:p>
        </w:tc>
      </w:tr>
      <w:tr>
        <w:trPr>
          <w:trHeight w:val="368"/>
        </w:trPr>
        <w:tc>
          <w:tcPr>
            <w:tcW w:w="97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9"/>
              </w:rPr>
              <w:t>Consolidated Statements of Changes in Net Assets for the Years Ended December 31, 2025, 2024 and 2023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F-25</w:t>
            </w:r>
          </w:p>
        </w:tc>
        <w:tc>
          <w:tcPr>
            <w:tcW w:w="0" w:type="dxa"/>
            <w:vAlign w:val="bottom"/>
          </w:tcPr>
          <w:p>
            <w:pPr>
              <w:spacing w:after="0"/>
              <w:rPr>
                <w:sz w:val="1"/>
                <w:szCs w:val="1"/>
                <w:color w:val="auto"/>
              </w:rPr>
            </w:pPr>
          </w:p>
        </w:tc>
      </w:tr>
      <w:tr>
        <w:trPr>
          <w:trHeight w:val="368"/>
        </w:trPr>
        <w:tc>
          <w:tcPr>
            <w:tcW w:w="97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9"/>
              </w:rPr>
              <w:t>Consolidated Statements of Cash Flows for the Years Ended December 31, 2025, 2024 and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F-26</w:t>
            </w:r>
          </w:p>
        </w:tc>
        <w:tc>
          <w:tcPr>
            <w:tcW w:w="0" w:type="dxa"/>
            <w:vAlign w:val="bottom"/>
          </w:tcPr>
          <w:p>
            <w:pPr>
              <w:spacing w:after="0"/>
              <w:rPr>
                <w:sz w:val="1"/>
                <w:szCs w:val="1"/>
                <w:color w:val="auto"/>
              </w:rPr>
            </w:pPr>
          </w:p>
        </w:tc>
      </w:tr>
      <w:tr>
        <w:trPr>
          <w:trHeight w:val="368"/>
        </w:trPr>
        <w:tc>
          <w:tcPr>
            <w:tcW w:w="972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99"/>
              </w:rPr>
              <w:t>Notes to Consolidated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F-27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F-1</w:t>
      </w:r>
    </w:p>
    <w:p>
      <w:pPr>
        <w:sectPr>
          <w:pgSz w:w="11880" w:h="15480" w:orient="portrait"/>
          <w:cols w:equalWidth="0" w:num="1">
            <w:col w:w="10800"/>
          </w:cols>
          <w:pgMar w:left="540" w:top="746" w:right="540" w:bottom="0" w:gutter="0" w:footer="0" w:header="0"/>
          <w:type w:val="continuous"/>
        </w:sectPr>
      </w:pPr>
    </w:p>
    <w:bookmarkStart w:id="90" w:name="page91"/>
    <w:bookmarkEnd w:id="90"/>
    <w:p>
      <w:pPr>
        <w:ind w:left="2640"/>
        <w:spacing w:after="0"/>
        <w:rPr>
          <w:sz w:val="20"/>
          <w:szCs w:val="20"/>
          <w:color w:val="auto"/>
        </w:rPr>
      </w:pPr>
      <w:r>
        <w:rPr>
          <w:rFonts w:ascii="Arial" w:cs="Arial" w:eastAsia="Arial" w:hAnsi="Arial"/>
          <w:sz w:val="20"/>
          <w:szCs w:val="20"/>
          <w:b w:val="1"/>
          <w:bCs w:val="1"/>
          <w:color w:val="4C4C4E"/>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To the Stockholders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Sixth Street Specialty Lending,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Opinions on the Consolidated Financial Statements and Internal Control Over Financial Reporting</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4C4C4E"/>
        </w:rPr>
        <w:t xml:space="preserve">We have audited the accompanying consolidated balance sheets of Sixth Street Specialty Lending, Inc. and subsidiaries (the Company), including the consolidated schedules of investments, as of December 31, 2025 and 2024, the related consolidated statements of operations, changes in net assets,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the </w:t>
      </w:r>
      <w:r>
        <w:rPr>
          <w:rFonts w:ascii="Times New Roman" w:cs="Times New Roman" w:eastAsia="Times New Roman" w:hAnsi="Times New Roman"/>
          <w:sz w:val="20"/>
          <w:szCs w:val="20"/>
          <w:i w:val="1"/>
          <w:iCs w:val="1"/>
          <w:color w:val="4C4C4E"/>
        </w:rPr>
        <w:t>Internal Control – Integrated Framework</w:t>
      </w:r>
      <w:r>
        <w:rPr>
          <w:rFonts w:ascii="Times New Roman" w:cs="Times New Roman" w:eastAsia="Times New Roman" w:hAnsi="Times New Roman"/>
          <w:sz w:val="20"/>
          <w:szCs w:val="20"/>
          <w:color w:val="4C4C4E"/>
        </w:rPr>
        <w:t xml:space="preserve"> (2013), issued by the Committee of Sponsoring Organizations of the Treadway Commission.</w:t>
      </w:r>
    </w:p>
    <w:p>
      <w:pPr>
        <w:spacing w:after="0" w:line="15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4C4C4E"/>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w:t>
      </w:r>
    </w:p>
    <w:p>
      <w:pPr>
        <w:spacing w:after="0" w:line="1"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0"/>
          <w:szCs w:val="20"/>
          <w:color w:val="4C4C4E"/>
        </w:rPr>
        <w:t xml:space="preserve">on criteria established in </w:t>
      </w:r>
      <w:r>
        <w:rPr>
          <w:rFonts w:ascii="Times New Roman" w:cs="Times New Roman" w:eastAsia="Times New Roman" w:hAnsi="Times New Roman"/>
          <w:sz w:val="20"/>
          <w:szCs w:val="20"/>
          <w:i w:val="1"/>
          <w:iCs w:val="1"/>
          <w:color w:val="4C4C4E"/>
        </w:rPr>
        <w:t>Internal Control – Integrated Framework</w:t>
      </w:r>
      <w:r>
        <w:rPr>
          <w:rFonts w:ascii="Times New Roman" w:cs="Times New Roman" w:eastAsia="Times New Roman" w:hAnsi="Times New Roman"/>
          <w:sz w:val="20"/>
          <w:szCs w:val="20"/>
          <w:color w:val="4C4C4E"/>
        </w:rPr>
        <w:t xml:space="preserve"> (2013) issued by the Committee of Sponsoring Organizations of the Treadway Commission.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Basis for Opinions</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4C4C4E"/>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4C4C4E"/>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4C4C4E"/>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2025 and 2024, by correspondence with custodians, agents, the underlying investees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Definition and Limitations of Internal Control Over Financial Reporting</w:t>
      </w:r>
    </w:p>
    <w:p>
      <w:pPr>
        <w:spacing w:after="0" w:line="2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C4C4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10800"/>
          </w:cols>
          <w:pgMar w:left="540" w:top="7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F-2</w:t>
      </w:r>
    </w:p>
    <w:p>
      <w:pPr>
        <w:sectPr>
          <w:pgSz w:w="11880" w:h="15480" w:orient="portrait"/>
          <w:cols w:equalWidth="0" w:num="1">
            <w:col w:w="10800"/>
          </w:cols>
          <w:pgMar w:left="540" w:top="756" w:right="540" w:bottom="0" w:gutter="0" w:footer="0" w:header="0"/>
          <w:type w:val="continuous"/>
        </w:sectPr>
      </w:pPr>
    </w:p>
    <w:bookmarkStart w:id="91" w:name="page92"/>
    <w:bookmarkEnd w:id="91"/>
    <w:p>
      <w:pPr>
        <w:jc w:val="both"/>
        <w:ind w:right="40"/>
        <w:spacing w:after="0" w:line="269" w:lineRule="auto"/>
        <w:rPr>
          <w:sz w:val="20"/>
          <w:szCs w:val="20"/>
          <w:color w:val="auto"/>
        </w:rPr>
      </w:pPr>
      <w:r>
        <w:rPr>
          <w:rFonts w:ascii="Times New Roman" w:cs="Times New Roman" w:eastAsia="Times New Roman" w:hAnsi="Times New Roman"/>
          <w:sz w:val="20"/>
          <w:szCs w:val="20"/>
          <w:color w:val="4C4C4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Critical Audit Matter</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4C4C4E"/>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Assessment of the fair value of investments</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4C4C4E"/>
        </w:rPr>
        <w:t>As discussed in Notes 2, 4, and 6 to the consolidated financial statements, the Company classified $3.18 billion of its debt and equity investments as Level 3 in the fair value hierarchy as of December 31, 2025, as the fair value of such investments was measured using unobservable inputs. The Company typically determines the fair value of performing debt investments utilizing a yield analysis where a price is ascribed for each investment based upon an assessment of market yields for similar investments and, for its equity investments, multiples of similar companies’ revenues, earnings before income taxes, depreciation and amortization or some combination thereof and comparable market transactions.</w:t>
      </w:r>
    </w:p>
    <w:p>
      <w:pPr>
        <w:spacing w:after="0" w:line="15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4C4C4E"/>
        </w:rPr>
        <w:t>We identified the assessment of the fair value of certain Level 3 debt and equity investments as a critical audit matter because evaluating the assumptions used to measure fair value involved subjective auditor judgment and changes in these assumptions could have had a significant impact on the investments’ estimated fair value. Specifically, the assumptions related to market yields for investments with similar terms and risks used in yield analyses, comparable financial performance multiples, and expected lives used in discounted cash flow analyses required subjective auditor judgment.</w:t>
      </w:r>
    </w:p>
    <w:p>
      <w:pPr>
        <w:spacing w:after="0" w:line="15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4C4C4E"/>
        </w:rPr>
        <w:t>The following are the primary procedures we performed to address this critical audit matter. We evaluated the design and tested the operating effectiveness of certain internal controls related to the Company’s investment valuation process, including controls related to the determination of the market yields, financial performance multiples, and expected lives used to estimate the fair value of investments. We assessed the Company’s market yield assumptions used to measure the fair value of its Level 3 investments by comparing such yields to third-party market and industry data for a selection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market yield assumptions. We evaluated the Company’s ability to estimate fair value by comparing prior period values to prices of transactions occurring subsequent to the prior period valuation date.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/s/ KPMG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We have served as the Company’s auditor since 2010.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February 12, 2026</w:t>
      </w:r>
    </w:p>
    <w:p>
      <w:pPr>
        <w:sectPr>
          <w:pgSz w:w="11880" w:h="15480" w:orient="portrait"/>
          <w:cols w:equalWidth="0" w:num="1">
            <w:col w:w="10780"/>
          </w:cols>
          <w:pgMar w:left="540" w:top="75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F-3</w:t>
      </w:r>
    </w:p>
    <w:p>
      <w:pPr>
        <w:sectPr>
          <w:pgSz w:w="11880" w:h="15480" w:orient="portrait"/>
          <w:cols w:equalWidth="0" w:num="1">
            <w:col w:w="10780"/>
          </w:cols>
          <w:pgMar w:left="540" w:top="755" w:right="56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4C4C4E"/>
        </w:rPr>
        <w:t>Sixth Street Specialty Lending,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C4C4E"/>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4C4C4E"/>
        </w:rPr>
        <w:t>(Amounts 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4C4C4E"/>
              </w:rPr>
              <w:t>December 31,</w:t>
            </w:r>
          </w:p>
        </w:tc>
        <w:tc>
          <w:tcPr>
            <w:tcW w:w="240" w:type="dxa"/>
            <w:vAlign w:val="bottom"/>
          </w:tcPr>
          <w:p>
            <w:pPr>
              <w:spacing w:after="0"/>
              <w:rPr>
                <w:sz w:val="16"/>
                <w:szCs w:val="16"/>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4C4C4E"/>
              </w:rPr>
              <w:t>December 31,</w:t>
            </w:r>
          </w:p>
        </w:tc>
        <w:tc>
          <w:tcPr>
            <w:tcW w:w="0" w:type="dxa"/>
            <w:vAlign w:val="bottom"/>
          </w:tcPr>
          <w:p>
            <w:pPr>
              <w:spacing w:after="0"/>
              <w:rPr>
                <w:sz w:val="1"/>
                <w:szCs w:val="1"/>
                <w:color w:val="auto"/>
              </w:rPr>
            </w:pPr>
          </w:p>
        </w:tc>
      </w:tr>
      <w:tr>
        <w:trPr>
          <w:trHeight w:val="203"/>
        </w:trPr>
        <w:tc>
          <w:tcPr>
            <w:tcW w:w="6980" w:type="dxa"/>
            <w:vAlign w:val="bottom"/>
            <w:tcBorders>
              <w:bottom w:val="single" w:sz="8" w:color="D8EEF4"/>
            </w:tcBorders>
          </w:tcPr>
          <w:p>
            <w:pPr>
              <w:spacing w:after="0"/>
              <w:rPr>
                <w:sz w:val="17"/>
                <w:szCs w:val="17"/>
                <w:color w:val="auto"/>
              </w:rPr>
            </w:pPr>
          </w:p>
        </w:tc>
        <w:tc>
          <w:tcPr>
            <w:tcW w:w="240" w:type="dxa"/>
            <w:vAlign w:val="bottom"/>
            <w:tcBorders>
              <w:bottom w:val="single" w:sz="8" w:color="4C4C4E"/>
            </w:tcBorders>
          </w:tcPr>
          <w:p>
            <w:pPr>
              <w:spacing w:after="0"/>
              <w:rPr>
                <w:sz w:val="17"/>
                <w:szCs w:val="17"/>
                <w:color w:val="auto"/>
              </w:rPr>
            </w:pPr>
          </w:p>
        </w:tc>
        <w:tc>
          <w:tcPr>
            <w:tcW w:w="1480" w:type="dxa"/>
            <w:vAlign w:val="bottom"/>
            <w:tcBorders>
              <w:bottom w:val="single" w:sz="8" w:color="4C4C4E"/>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4C4C4E"/>
              </w:rPr>
              <w:t>2025</w:t>
            </w:r>
          </w:p>
        </w:tc>
        <w:tc>
          <w:tcPr>
            <w:tcW w:w="300" w:type="dxa"/>
            <w:vAlign w:val="bottom"/>
            <w:tcBorders>
              <w:bottom w:val="single" w:sz="8" w:color="D8EEF4"/>
            </w:tcBorders>
          </w:tcPr>
          <w:p>
            <w:pPr>
              <w:spacing w:after="0"/>
              <w:rPr>
                <w:sz w:val="17"/>
                <w:szCs w:val="17"/>
                <w:color w:val="auto"/>
              </w:rPr>
            </w:pPr>
          </w:p>
        </w:tc>
        <w:tc>
          <w:tcPr>
            <w:tcW w:w="240" w:type="dxa"/>
            <w:vAlign w:val="bottom"/>
            <w:tcBorders>
              <w:bottom w:val="single" w:sz="8" w:color="4C4C4E"/>
            </w:tcBorders>
          </w:tcPr>
          <w:p>
            <w:pPr>
              <w:spacing w:after="0"/>
              <w:rPr>
                <w:sz w:val="17"/>
                <w:szCs w:val="17"/>
                <w:color w:val="auto"/>
              </w:rPr>
            </w:pPr>
          </w:p>
        </w:tc>
        <w:tc>
          <w:tcPr>
            <w:tcW w:w="1480" w:type="dxa"/>
            <w:vAlign w:val="bottom"/>
            <w:tcBorders>
              <w:bottom w:val="single" w:sz="8" w:color="4C4C4E"/>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4C4C4E"/>
              </w:rPr>
              <w:t>2024</w:t>
            </w:r>
          </w:p>
        </w:tc>
        <w:tc>
          <w:tcPr>
            <w:tcW w:w="8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980" w:type="dxa"/>
            <w:vAlign w:val="bottom"/>
            <w:shd w:val="clear" w:color="auto" w:fill="D8EEF4"/>
          </w:tcPr>
          <w:p>
            <w:pPr>
              <w:spacing w:after="0" w:line="179" w:lineRule="exact"/>
              <w:rPr>
                <w:sz w:val="20"/>
                <w:szCs w:val="20"/>
                <w:color w:val="auto"/>
              </w:rPr>
            </w:pPr>
            <w:r>
              <w:rPr>
                <w:rFonts w:ascii="Times New Roman" w:cs="Times New Roman" w:eastAsia="Times New Roman" w:hAnsi="Times New Roman"/>
                <w:sz w:val="16"/>
                <w:szCs w:val="16"/>
                <w:b w:val="1"/>
                <w:bCs w:val="1"/>
                <w:color w:val="4C4C4E"/>
              </w:rPr>
              <w:t>Assets</w:t>
            </w:r>
          </w:p>
        </w:tc>
        <w:tc>
          <w:tcPr>
            <w:tcW w:w="240" w:type="dxa"/>
            <w:vAlign w:val="bottom"/>
            <w:shd w:val="clear" w:color="auto" w:fill="D8EEF4"/>
          </w:tcPr>
          <w:p>
            <w:pPr>
              <w:spacing w:after="0"/>
              <w:rPr>
                <w:sz w:val="15"/>
                <w:szCs w:val="15"/>
                <w:color w:val="auto"/>
              </w:rPr>
            </w:pPr>
          </w:p>
        </w:tc>
        <w:tc>
          <w:tcPr>
            <w:tcW w:w="1480" w:type="dxa"/>
            <w:vAlign w:val="bottom"/>
            <w:shd w:val="clear" w:color="auto" w:fill="D8EEF4"/>
          </w:tcPr>
          <w:p>
            <w:pPr>
              <w:spacing w:after="0"/>
              <w:rPr>
                <w:sz w:val="15"/>
                <w:szCs w:val="15"/>
                <w:color w:val="auto"/>
              </w:rPr>
            </w:pPr>
          </w:p>
        </w:tc>
        <w:tc>
          <w:tcPr>
            <w:tcW w:w="300" w:type="dxa"/>
            <w:vAlign w:val="bottom"/>
            <w:shd w:val="clear" w:color="auto" w:fill="D8EEF4"/>
          </w:tcPr>
          <w:p>
            <w:pPr>
              <w:spacing w:after="0"/>
              <w:rPr>
                <w:sz w:val="15"/>
                <w:szCs w:val="15"/>
                <w:color w:val="auto"/>
              </w:rPr>
            </w:pPr>
          </w:p>
        </w:tc>
        <w:tc>
          <w:tcPr>
            <w:tcW w:w="240" w:type="dxa"/>
            <w:vAlign w:val="bottom"/>
            <w:shd w:val="clear" w:color="auto" w:fill="D8EEF4"/>
          </w:tcPr>
          <w:p>
            <w:pPr>
              <w:spacing w:after="0"/>
              <w:rPr>
                <w:sz w:val="15"/>
                <w:szCs w:val="15"/>
                <w:color w:val="auto"/>
              </w:rPr>
            </w:pPr>
          </w:p>
        </w:tc>
        <w:tc>
          <w:tcPr>
            <w:tcW w:w="1480" w:type="dxa"/>
            <w:vAlign w:val="bottom"/>
            <w:shd w:val="clear" w:color="auto" w:fill="D8EEF4"/>
          </w:tcPr>
          <w:p>
            <w:pPr>
              <w:spacing w:after="0"/>
              <w:rPr>
                <w:sz w:val="15"/>
                <w:szCs w:val="15"/>
                <w:color w:val="auto"/>
              </w:rPr>
            </w:pPr>
          </w:p>
        </w:tc>
        <w:tc>
          <w:tcPr>
            <w:tcW w:w="80" w:type="dxa"/>
            <w:vAlign w:val="bottom"/>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4C4C4E"/>
              </w:rPr>
              <w:t>Investments at fair value</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80" w:type="dxa"/>
            <w:vAlign w:val="bottom"/>
            <w:shd w:val="clear" w:color="auto" w:fill="D8EEF4"/>
          </w:tcPr>
          <w:p>
            <w:pPr>
              <w:ind w:left="200"/>
              <w:spacing w:after="0" w:line="169" w:lineRule="exact"/>
              <w:rPr>
                <w:sz w:val="20"/>
                <w:szCs w:val="20"/>
                <w:color w:val="auto"/>
              </w:rPr>
            </w:pPr>
            <w:r>
              <w:rPr>
                <w:rFonts w:ascii="Times New Roman" w:cs="Times New Roman" w:eastAsia="Times New Roman" w:hAnsi="Times New Roman"/>
                <w:sz w:val="16"/>
                <w:szCs w:val="16"/>
                <w:color w:val="4C4C4E"/>
              </w:rPr>
              <w:t>Non-controlled, non-affiliated investments (amortized cost of $3,244,762 and $3,450,644,</w:t>
            </w:r>
          </w:p>
        </w:tc>
        <w:tc>
          <w:tcPr>
            <w:tcW w:w="240" w:type="dxa"/>
            <w:vAlign w:val="bottom"/>
            <w:shd w:val="clear" w:color="auto" w:fill="D8EEF4"/>
          </w:tcPr>
          <w:p>
            <w:pPr>
              <w:spacing w:after="0"/>
              <w:rPr>
                <w:sz w:val="14"/>
                <w:szCs w:val="14"/>
                <w:color w:val="auto"/>
              </w:rPr>
            </w:pPr>
          </w:p>
        </w:tc>
        <w:tc>
          <w:tcPr>
            <w:tcW w:w="1480" w:type="dxa"/>
            <w:vAlign w:val="bottom"/>
            <w:shd w:val="clear" w:color="auto" w:fill="D8EEF4"/>
          </w:tcPr>
          <w:p>
            <w:pPr>
              <w:spacing w:after="0"/>
              <w:rPr>
                <w:sz w:val="14"/>
                <w:szCs w:val="14"/>
                <w:color w:val="auto"/>
              </w:rPr>
            </w:pPr>
          </w:p>
        </w:tc>
        <w:tc>
          <w:tcPr>
            <w:tcW w:w="300" w:type="dxa"/>
            <w:vAlign w:val="bottom"/>
            <w:shd w:val="clear" w:color="auto" w:fill="D8EEF4"/>
          </w:tcPr>
          <w:p>
            <w:pPr>
              <w:spacing w:after="0"/>
              <w:rPr>
                <w:sz w:val="14"/>
                <w:szCs w:val="14"/>
                <w:color w:val="auto"/>
              </w:rPr>
            </w:pPr>
          </w:p>
        </w:tc>
        <w:tc>
          <w:tcPr>
            <w:tcW w:w="240" w:type="dxa"/>
            <w:vAlign w:val="bottom"/>
            <w:shd w:val="clear" w:color="auto" w:fill="D8EEF4"/>
          </w:tcPr>
          <w:p>
            <w:pPr>
              <w:spacing w:after="0"/>
              <w:rPr>
                <w:sz w:val="14"/>
                <w:szCs w:val="14"/>
                <w:color w:val="auto"/>
              </w:rPr>
            </w:pPr>
          </w:p>
        </w:tc>
        <w:tc>
          <w:tcPr>
            <w:tcW w:w="148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98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color w:val="4C4C4E"/>
              </w:rPr>
              <w:t>respectively)</w:t>
            </w:r>
          </w:p>
        </w:tc>
        <w:tc>
          <w:tcPr>
            <w:tcW w:w="240" w:type="dxa"/>
            <w:vAlign w:val="bottom"/>
            <w:shd w:val="clear" w:color="auto" w:fill="D8EEF4"/>
          </w:tcPr>
          <w:p>
            <w:pPr>
              <w:jc w:val="right"/>
              <w:ind w:right="80"/>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3,288,945</w:t>
            </w:r>
          </w:p>
        </w:tc>
        <w:tc>
          <w:tcPr>
            <w:tcW w:w="300" w:type="dxa"/>
            <w:vAlign w:val="bottom"/>
            <w:shd w:val="clear" w:color="auto" w:fill="D8EEF4"/>
          </w:tcPr>
          <w:p>
            <w:pPr>
              <w:spacing w:after="0"/>
              <w:rPr>
                <w:sz w:val="17"/>
                <w:szCs w:val="17"/>
                <w:color w:val="auto"/>
              </w:rPr>
            </w:pPr>
          </w:p>
        </w:tc>
        <w:tc>
          <w:tcPr>
            <w:tcW w:w="240" w:type="dxa"/>
            <w:vAlign w:val="bottom"/>
            <w:shd w:val="clear" w:color="auto" w:fill="D8EEF4"/>
          </w:tcPr>
          <w:p>
            <w:pPr>
              <w:jc w:val="right"/>
              <w:ind w:right="80"/>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3,453,317</w:t>
            </w:r>
          </w:p>
        </w:tc>
        <w:tc>
          <w:tcPr>
            <w:tcW w:w="8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80" w:type="dxa"/>
            <w:vAlign w:val="bottom"/>
            <w:tcBorders>
              <w:bottom w:val="single" w:sz="8" w:color="D8EEF4"/>
            </w:tcBorders>
          </w:tcPr>
          <w:p>
            <w:pPr>
              <w:ind w:left="200"/>
              <w:spacing w:after="0"/>
              <w:rPr>
                <w:sz w:val="20"/>
                <w:szCs w:val="20"/>
                <w:color w:val="auto"/>
              </w:rPr>
            </w:pPr>
            <w:r>
              <w:rPr>
                <w:rFonts w:ascii="Times New Roman" w:cs="Times New Roman" w:eastAsia="Times New Roman" w:hAnsi="Times New Roman"/>
                <w:sz w:val="16"/>
                <w:szCs w:val="16"/>
                <w:color w:val="4C4C4E"/>
              </w:rPr>
              <w:t>Controlled, affiliated investments (amortized cost of $78,520 and $88,509, respectively)</w:t>
            </w:r>
          </w:p>
        </w:tc>
        <w:tc>
          <w:tcPr>
            <w:tcW w:w="240" w:type="dxa"/>
            <w:vAlign w:val="bottom"/>
            <w:tcBorders>
              <w:bottom w:val="single" w:sz="8" w:color="4C4C4E"/>
            </w:tcBorders>
          </w:tcPr>
          <w:p>
            <w:pPr>
              <w:spacing w:after="0"/>
              <w:rPr>
                <w:sz w:val="16"/>
                <w:szCs w:val="16"/>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58,372</w:t>
            </w:r>
          </w:p>
        </w:tc>
        <w:tc>
          <w:tcPr>
            <w:tcW w:w="300" w:type="dxa"/>
            <w:vAlign w:val="bottom"/>
            <w:tcBorders>
              <w:bottom w:val="single" w:sz="8" w:color="D8EEF4"/>
            </w:tcBorders>
          </w:tcPr>
          <w:p>
            <w:pPr>
              <w:spacing w:after="0"/>
              <w:rPr>
                <w:sz w:val="16"/>
                <w:szCs w:val="16"/>
                <w:color w:val="auto"/>
              </w:rPr>
            </w:pPr>
          </w:p>
        </w:tc>
        <w:tc>
          <w:tcPr>
            <w:tcW w:w="240" w:type="dxa"/>
            <w:vAlign w:val="bottom"/>
            <w:tcBorders>
              <w:bottom w:val="single" w:sz="8" w:color="4C4C4E"/>
            </w:tcBorders>
          </w:tcPr>
          <w:p>
            <w:pPr>
              <w:spacing w:after="0"/>
              <w:rPr>
                <w:sz w:val="16"/>
                <w:szCs w:val="16"/>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65,095</w:t>
            </w:r>
          </w:p>
        </w:tc>
        <w:tc>
          <w:tcPr>
            <w:tcW w:w="8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980" w:type="dxa"/>
            <w:vAlign w:val="bottom"/>
            <w:shd w:val="clear" w:color="auto" w:fill="D8EEF4"/>
          </w:tcPr>
          <w:p>
            <w:pPr>
              <w:spacing w:after="0" w:line="179" w:lineRule="exact"/>
              <w:rPr>
                <w:sz w:val="20"/>
                <w:szCs w:val="20"/>
                <w:color w:val="auto"/>
              </w:rPr>
            </w:pPr>
            <w:r>
              <w:rPr>
                <w:rFonts w:ascii="Times New Roman" w:cs="Times New Roman" w:eastAsia="Times New Roman" w:hAnsi="Times New Roman"/>
                <w:sz w:val="16"/>
                <w:szCs w:val="16"/>
                <w:color w:val="4C4C4E"/>
              </w:rPr>
              <w:t>Total investments at fair value (amortized cost of $3,323,282 and $3,539,153, respectively)</w:t>
            </w:r>
          </w:p>
        </w:tc>
        <w:tc>
          <w:tcPr>
            <w:tcW w:w="240" w:type="dxa"/>
            <w:vAlign w:val="bottom"/>
            <w:shd w:val="clear" w:color="auto" w:fill="D8EEF4"/>
          </w:tcPr>
          <w:p>
            <w:pPr>
              <w:spacing w:after="0"/>
              <w:rPr>
                <w:sz w:val="15"/>
                <w:szCs w:val="15"/>
                <w:color w:val="auto"/>
              </w:rPr>
            </w:pPr>
          </w:p>
        </w:tc>
        <w:tc>
          <w:tcPr>
            <w:tcW w:w="1480" w:type="dxa"/>
            <w:vAlign w:val="bottom"/>
            <w:shd w:val="clear" w:color="auto" w:fill="D8EEF4"/>
          </w:tcPr>
          <w:p>
            <w:pPr>
              <w:jc w:val="right"/>
              <w:spacing w:after="0" w:line="179" w:lineRule="exact"/>
              <w:rPr>
                <w:sz w:val="20"/>
                <w:szCs w:val="20"/>
                <w:color w:val="auto"/>
              </w:rPr>
            </w:pPr>
            <w:r>
              <w:rPr>
                <w:rFonts w:ascii="Times New Roman" w:cs="Times New Roman" w:eastAsia="Times New Roman" w:hAnsi="Times New Roman"/>
                <w:sz w:val="16"/>
                <w:szCs w:val="16"/>
                <w:color w:val="4C4C4E"/>
              </w:rPr>
              <w:t>3,347,317</w:t>
            </w:r>
          </w:p>
        </w:tc>
        <w:tc>
          <w:tcPr>
            <w:tcW w:w="300" w:type="dxa"/>
            <w:vAlign w:val="bottom"/>
            <w:shd w:val="clear" w:color="auto" w:fill="D8EEF4"/>
          </w:tcPr>
          <w:p>
            <w:pPr>
              <w:spacing w:after="0"/>
              <w:rPr>
                <w:sz w:val="15"/>
                <w:szCs w:val="15"/>
                <w:color w:val="auto"/>
              </w:rPr>
            </w:pPr>
          </w:p>
        </w:tc>
        <w:tc>
          <w:tcPr>
            <w:tcW w:w="240" w:type="dxa"/>
            <w:vAlign w:val="bottom"/>
            <w:shd w:val="clear" w:color="auto" w:fill="D8EEF4"/>
          </w:tcPr>
          <w:p>
            <w:pPr>
              <w:spacing w:after="0"/>
              <w:rPr>
                <w:sz w:val="15"/>
                <w:szCs w:val="15"/>
                <w:color w:val="auto"/>
              </w:rPr>
            </w:pPr>
          </w:p>
        </w:tc>
        <w:tc>
          <w:tcPr>
            <w:tcW w:w="1480" w:type="dxa"/>
            <w:vAlign w:val="bottom"/>
            <w:shd w:val="clear" w:color="auto" w:fill="D8EEF4"/>
          </w:tcPr>
          <w:p>
            <w:pPr>
              <w:jc w:val="right"/>
              <w:spacing w:after="0" w:line="179" w:lineRule="exact"/>
              <w:rPr>
                <w:sz w:val="20"/>
                <w:szCs w:val="20"/>
                <w:color w:val="auto"/>
              </w:rPr>
            </w:pPr>
            <w:r>
              <w:rPr>
                <w:rFonts w:ascii="Times New Roman" w:cs="Times New Roman" w:eastAsia="Times New Roman" w:hAnsi="Times New Roman"/>
                <w:sz w:val="16"/>
                <w:szCs w:val="16"/>
                <w:color w:val="4C4C4E"/>
              </w:rPr>
              <w:t>3,518,412</w:t>
            </w:r>
          </w:p>
        </w:tc>
        <w:tc>
          <w:tcPr>
            <w:tcW w:w="80" w:type="dxa"/>
            <w:vAlign w:val="bottom"/>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4C4C4E"/>
              </w:rPr>
              <w:t>Cash and cash equivalents (restricted cash of $16,727 and $22,362, respectively)</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19,662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27,328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Interest receivable</w:t>
            </w: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34,132</w:t>
            </w:r>
          </w:p>
        </w:tc>
        <w:tc>
          <w:tcPr>
            <w:tcW w:w="300" w:type="dxa"/>
            <w:vAlign w:val="bottom"/>
            <w:shd w:val="clear" w:color="auto" w:fill="D8EEF4"/>
          </w:tcPr>
          <w:p>
            <w:pPr>
              <w:spacing w:after="0"/>
              <w:rPr>
                <w:sz w:val="16"/>
                <w:szCs w:val="16"/>
                <w:color w:val="auto"/>
              </w:rPr>
            </w:pP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30,518</w:t>
            </w:r>
          </w:p>
        </w:tc>
        <w:tc>
          <w:tcPr>
            <w:tcW w:w="8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Prepaid expenses and other assets</w:t>
            </w:r>
          </w:p>
        </w:tc>
        <w:tc>
          <w:tcPr>
            <w:tcW w:w="240" w:type="dxa"/>
            <w:vAlign w:val="bottom"/>
            <w:tcBorders>
              <w:bottom w:val="single" w:sz="8" w:color="4C4C4E"/>
            </w:tcBorders>
          </w:tcPr>
          <w:p>
            <w:pPr>
              <w:spacing w:after="0"/>
              <w:rPr>
                <w:sz w:val="16"/>
                <w:szCs w:val="16"/>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20,544</w:t>
            </w:r>
          </w:p>
        </w:tc>
        <w:tc>
          <w:tcPr>
            <w:tcW w:w="300" w:type="dxa"/>
            <w:vAlign w:val="bottom"/>
            <w:tcBorders>
              <w:bottom w:val="single" w:sz="8" w:color="D8EEF4"/>
            </w:tcBorders>
          </w:tcPr>
          <w:p>
            <w:pPr>
              <w:spacing w:after="0"/>
              <w:rPr>
                <w:sz w:val="16"/>
                <w:szCs w:val="16"/>
                <w:color w:val="auto"/>
              </w:rPr>
            </w:pPr>
          </w:p>
        </w:tc>
        <w:tc>
          <w:tcPr>
            <w:tcW w:w="240" w:type="dxa"/>
            <w:vAlign w:val="bottom"/>
            <w:tcBorders>
              <w:bottom w:val="single" w:sz="8" w:color="4C4C4E"/>
            </w:tcBorders>
          </w:tcPr>
          <w:p>
            <w:pPr>
              <w:spacing w:after="0"/>
              <w:rPr>
                <w:sz w:val="16"/>
                <w:szCs w:val="16"/>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5,967</w:t>
            </w:r>
          </w:p>
        </w:tc>
        <w:tc>
          <w:tcPr>
            <w:tcW w:w="8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980" w:type="dxa"/>
            <w:vAlign w:val="bottom"/>
            <w:shd w:val="clear" w:color="auto" w:fill="D8EEF4"/>
          </w:tcPr>
          <w:p>
            <w:pPr>
              <w:ind w:left="400"/>
              <w:spacing w:after="0" w:line="179" w:lineRule="exact"/>
              <w:rPr>
                <w:sz w:val="20"/>
                <w:szCs w:val="20"/>
                <w:color w:val="auto"/>
              </w:rPr>
            </w:pPr>
            <w:r>
              <w:rPr>
                <w:rFonts w:ascii="Times New Roman" w:cs="Times New Roman" w:eastAsia="Times New Roman" w:hAnsi="Times New Roman"/>
                <w:sz w:val="16"/>
                <w:szCs w:val="16"/>
                <w:b w:val="1"/>
                <w:bCs w:val="1"/>
                <w:color w:val="4C4C4E"/>
              </w:rPr>
              <w:t>Total Assets</w:t>
            </w:r>
          </w:p>
        </w:tc>
        <w:tc>
          <w:tcPr>
            <w:tcW w:w="240" w:type="dxa"/>
            <w:vAlign w:val="bottom"/>
            <w:tcBorders>
              <w:bottom w:val="single" w:sz="8" w:color="4C4C4E"/>
            </w:tcBorders>
            <w:shd w:val="clear" w:color="auto" w:fill="D8EEF4"/>
          </w:tcPr>
          <w:p>
            <w:pPr>
              <w:jc w:val="right"/>
              <w:ind w:right="80"/>
              <w:spacing w:after="0" w:line="179" w:lineRule="exact"/>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Borders>
              <w:bottom w:val="single" w:sz="8" w:color="4C4C4E"/>
            </w:tcBorders>
            <w:shd w:val="clear" w:color="auto" w:fill="D8EEF4"/>
          </w:tcPr>
          <w:p>
            <w:pPr>
              <w:jc w:val="right"/>
              <w:spacing w:after="0" w:line="179" w:lineRule="exact"/>
              <w:rPr>
                <w:sz w:val="20"/>
                <w:szCs w:val="20"/>
                <w:color w:val="auto"/>
              </w:rPr>
            </w:pPr>
            <w:r>
              <w:rPr>
                <w:rFonts w:ascii="Times New Roman" w:cs="Times New Roman" w:eastAsia="Times New Roman" w:hAnsi="Times New Roman"/>
                <w:sz w:val="16"/>
                <w:szCs w:val="16"/>
                <w:color w:val="4C4C4E"/>
              </w:rPr>
              <w:t>3,421,655</w:t>
            </w:r>
          </w:p>
        </w:tc>
        <w:tc>
          <w:tcPr>
            <w:tcW w:w="300" w:type="dxa"/>
            <w:vAlign w:val="bottom"/>
            <w:shd w:val="clear" w:color="auto" w:fill="D8EEF4"/>
          </w:tcPr>
          <w:p>
            <w:pPr>
              <w:spacing w:after="0"/>
              <w:rPr>
                <w:sz w:val="15"/>
                <w:szCs w:val="15"/>
                <w:color w:val="auto"/>
              </w:rPr>
            </w:pPr>
          </w:p>
        </w:tc>
        <w:tc>
          <w:tcPr>
            <w:tcW w:w="240" w:type="dxa"/>
            <w:vAlign w:val="bottom"/>
            <w:tcBorders>
              <w:bottom w:val="single" w:sz="8" w:color="4C4C4E"/>
            </w:tcBorders>
            <w:shd w:val="clear" w:color="auto" w:fill="D8EEF4"/>
          </w:tcPr>
          <w:p>
            <w:pPr>
              <w:jc w:val="right"/>
              <w:ind w:right="80"/>
              <w:spacing w:after="0" w:line="179" w:lineRule="exact"/>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Borders>
              <w:bottom w:val="single" w:sz="8" w:color="4C4C4E"/>
            </w:tcBorders>
            <w:shd w:val="clear" w:color="auto" w:fill="D8EEF4"/>
          </w:tcPr>
          <w:p>
            <w:pPr>
              <w:jc w:val="right"/>
              <w:spacing w:after="0" w:line="179" w:lineRule="exact"/>
              <w:rPr>
                <w:sz w:val="20"/>
                <w:szCs w:val="20"/>
                <w:color w:val="auto"/>
              </w:rPr>
            </w:pPr>
            <w:r>
              <w:rPr>
                <w:rFonts w:ascii="Times New Roman" w:cs="Times New Roman" w:eastAsia="Times New Roman" w:hAnsi="Times New Roman"/>
                <w:sz w:val="16"/>
                <w:szCs w:val="16"/>
                <w:color w:val="4C4C4E"/>
              </w:rPr>
              <w:t>3,582,225</w:t>
            </w:r>
          </w:p>
        </w:tc>
        <w:tc>
          <w:tcPr>
            <w:tcW w:w="80" w:type="dxa"/>
            <w:vAlign w:val="bottom"/>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4C4C4E"/>
              </w:rPr>
              <w:t>Liabilities</w:t>
            </w:r>
          </w:p>
        </w:tc>
        <w:tc>
          <w:tcPr>
            <w:tcW w:w="240" w:type="dxa"/>
            <w:vAlign w:val="bottom"/>
            <w:tcBorders>
              <w:bottom w:val="single" w:sz="8" w:color="4C4C4E"/>
            </w:tcBorders>
          </w:tcPr>
          <w:p>
            <w:pPr>
              <w:spacing w:after="0" w:line="20" w:lineRule="exact"/>
              <w:rPr>
                <w:sz w:val="1"/>
                <w:szCs w:val="1"/>
                <w:color w:val="auto"/>
              </w:rPr>
            </w:pPr>
          </w:p>
        </w:tc>
        <w:tc>
          <w:tcPr>
            <w:tcW w:w="1480" w:type="dxa"/>
            <w:vAlign w:val="bottom"/>
            <w:tcBorders>
              <w:bottom w:val="single" w:sz="8" w:color="4C4C4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4C4C4E"/>
            </w:tcBorders>
          </w:tcPr>
          <w:p>
            <w:pPr>
              <w:spacing w:after="0" w:line="20" w:lineRule="exact"/>
              <w:rPr>
                <w:sz w:val="1"/>
                <w:szCs w:val="1"/>
                <w:color w:val="auto"/>
              </w:rPr>
            </w:pPr>
          </w:p>
        </w:tc>
        <w:tc>
          <w:tcPr>
            <w:tcW w:w="148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8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Debt (net of deferred financing costs of $24,411 and $23,837, respectively)</w:t>
            </w:r>
          </w:p>
        </w:tc>
        <w:tc>
          <w:tcPr>
            <w:tcW w:w="240" w:type="dxa"/>
            <w:vAlign w:val="bottom"/>
            <w:shd w:val="clear" w:color="auto" w:fill="D8EEF4"/>
          </w:tcPr>
          <w:p>
            <w:pPr>
              <w:jc w:val="right"/>
              <w:ind w:right="80"/>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1,743,234</w:t>
            </w:r>
          </w:p>
        </w:tc>
        <w:tc>
          <w:tcPr>
            <w:tcW w:w="300" w:type="dxa"/>
            <w:vAlign w:val="bottom"/>
            <w:shd w:val="clear" w:color="auto" w:fill="D8EEF4"/>
          </w:tcPr>
          <w:p>
            <w:pPr>
              <w:spacing w:after="0"/>
              <w:rPr>
                <w:sz w:val="16"/>
                <w:szCs w:val="16"/>
                <w:color w:val="auto"/>
              </w:rPr>
            </w:pPr>
          </w:p>
        </w:tc>
        <w:tc>
          <w:tcPr>
            <w:tcW w:w="240" w:type="dxa"/>
            <w:vAlign w:val="bottom"/>
            <w:shd w:val="clear" w:color="auto" w:fill="D8EEF4"/>
          </w:tcPr>
          <w:p>
            <w:pPr>
              <w:jc w:val="right"/>
              <w:ind w:right="80"/>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1,901,142</w:t>
            </w:r>
          </w:p>
        </w:tc>
        <w:tc>
          <w:tcPr>
            <w:tcW w:w="8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4C4C4E"/>
              </w:rPr>
              <w:t>Management fees payable to affiliate</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12,794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12,953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Incentive fees on net investment income payable to affiliate</w:t>
            </w: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10,336</w:t>
            </w:r>
          </w:p>
        </w:tc>
        <w:tc>
          <w:tcPr>
            <w:tcW w:w="300" w:type="dxa"/>
            <w:vAlign w:val="bottom"/>
            <w:shd w:val="clear" w:color="auto" w:fill="D8EEF4"/>
          </w:tcPr>
          <w:p>
            <w:pPr>
              <w:spacing w:after="0"/>
              <w:rPr>
                <w:sz w:val="16"/>
                <w:szCs w:val="16"/>
                <w:color w:val="auto"/>
              </w:rPr>
            </w:pP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12,013</w:t>
            </w:r>
          </w:p>
        </w:tc>
        <w:tc>
          <w:tcPr>
            <w:tcW w:w="8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4C4C4E"/>
              </w:rPr>
              <w:t>Incentive fees on net capital gains accrued to affiliate</w:t>
            </w:r>
          </w:p>
        </w:tc>
        <w:tc>
          <w:tcPr>
            <w:tcW w:w="24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4C4C4E"/>
              </w:rPr>
              <w: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5,071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Other payables to affiliate</w:t>
            </w: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3,166</w:t>
            </w:r>
          </w:p>
        </w:tc>
        <w:tc>
          <w:tcPr>
            <w:tcW w:w="300" w:type="dxa"/>
            <w:vAlign w:val="bottom"/>
            <w:shd w:val="clear" w:color="auto" w:fill="D8EEF4"/>
          </w:tcPr>
          <w:p>
            <w:pPr>
              <w:spacing w:after="0"/>
              <w:rPr>
                <w:sz w:val="16"/>
                <w:szCs w:val="16"/>
                <w:color w:val="auto"/>
              </w:rPr>
            </w:pP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3,635</w:t>
            </w:r>
          </w:p>
        </w:tc>
        <w:tc>
          <w:tcPr>
            <w:tcW w:w="8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Other liabilities</w:t>
            </w:r>
          </w:p>
        </w:tc>
        <w:tc>
          <w:tcPr>
            <w:tcW w:w="240" w:type="dxa"/>
            <w:vAlign w:val="bottom"/>
            <w:tcBorders>
              <w:bottom w:val="single" w:sz="8" w:color="4C4C4E"/>
            </w:tcBorders>
          </w:tcPr>
          <w:p>
            <w:pPr>
              <w:spacing w:after="0"/>
              <w:rPr>
                <w:sz w:val="15"/>
                <w:szCs w:val="15"/>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44,404</w:t>
            </w:r>
          </w:p>
        </w:tc>
        <w:tc>
          <w:tcPr>
            <w:tcW w:w="300" w:type="dxa"/>
            <w:vAlign w:val="bottom"/>
            <w:tcBorders>
              <w:bottom w:val="single" w:sz="8" w:color="D8EEF4"/>
            </w:tcBorders>
          </w:tcPr>
          <w:p>
            <w:pPr>
              <w:spacing w:after="0"/>
              <w:rPr>
                <w:sz w:val="15"/>
                <w:szCs w:val="15"/>
                <w:color w:val="auto"/>
              </w:rPr>
            </w:pPr>
          </w:p>
        </w:tc>
        <w:tc>
          <w:tcPr>
            <w:tcW w:w="240" w:type="dxa"/>
            <w:vAlign w:val="bottom"/>
            <w:tcBorders>
              <w:bottom w:val="single" w:sz="8" w:color="4C4C4E"/>
            </w:tcBorders>
          </w:tcPr>
          <w:p>
            <w:pPr>
              <w:spacing w:after="0"/>
              <w:rPr>
                <w:sz w:val="15"/>
                <w:szCs w:val="15"/>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39,882</w:t>
            </w:r>
          </w:p>
        </w:tc>
        <w:tc>
          <w:tcPr>
            <w:tcW w:w="80" w:type="dxa"/>
            <w:vAlign w:val="bottom"/>
            <w:tcBorders>
              <w:bottom w:val="single" w:sz="8" w:color="D8EEF4"/>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980" w:type="dxa"/>
            <w:vAlign w:val="bottom"/>
            <w:tcBorders>
              <w:bottom w:val="single" w:sz="8" w:color="D8EEF4"/>
            </w:tcBorders>
            <w:shd w:val="clear" w:color="auto" w:fill="D8EEF4"/>
          </w:tcPr>
          <w:p>
            <w:pPr>
              <w:ind w:left="400"/>
              <w:spacing w:after="0" w:line="179" w:lineRule="exact"/>
              <w:rPr>
                <w:sz w:val="20"/>
                <w:szCs w:val="20"/>
                <w:color w:val="auto"/>
              </w:rPr>
            </w:pPr>
            <w:r>
              <w:rPr>
                <w:rFonts w:ascii="Times New Roman" w:cs="Times New Roman" w:eastAsia="Times New Roman" w:hAnsi="Times New Roman"/>
                <w:sz w:val="16"/>
                <w:szCs w:val="16"/>
                <w:b w:val="1"/>
                <w:bCs w:val="1"/>
                <w:color w:val="4C4C4E"/>
              </w:rPr>
              <w:t>Total Liabilities</w:t>
            </w:r>
          </w:p>
        </w:tc>
        <w:tc>
          <w:tcPr>
            <w:tcW w:w="240" w:type="dxa"/>
            <w:vAlign w:val="bottom"/>
            <w:tcBorders>
              <w:bottom w:val="single" w:sz="8" w:color="4C4C4E"/>
            </w:tcBorders>
            <w:shd w:val="clear" w:color="auto" w:fill="D8EEF4"/>
          </w:tcPr>
          <w:p>
            <w:pPr>
              <w:spacing w:after="0"/>
              <w:rPr>
                <w:sz w:val="17"/>
                <w:szCs w:val="17"/>
                <w:color w:val="auto"/>
              </w:rPr>
            </w:pPr>
          </w:p>
        </w:tc>
        <w:tc>
          <w:tcPr>
            <w:tcW w:w="1480" w:type="dxa"/>
            <w:vAlign w:val="bottom"/>
            <w:tcBorders>
              <w:bottom w:val="single" w:sz="8" w:color="4C4C4E"/>
            </w:tcBorders>
            <w:shd w:val="clear" w:color="auto" w:fill="D8EEF4"/>
          </w:tcPr>
          <w:p>
            <w:pPr>
              <w:jc w:val="right"/>
              <w:spacing w:after="0" w:line="179" w:lineRule="exact"/>
              <w:rPr>
                <w:sz w:val="20"/>
                <w:szCs w:val="20"/>
                <w:color w:val="auto"/>
              </w:rPr>
            </w:pPr>
            <w:r>
              <w:rPr>
                <w:rFonts w:ascii="Times New Roman" w:cs="Times New Roman" w:eastAsia="Times New Roman" w:hAnsi="Times New Roman"/>
                <w:sz w:val="16"/>
                <w:szCs w:val="16"/>
                <w:color w:val="4C4C4E"/>
              </w:rPr>
              <w:t>1,813,934</w:t>
            </w:r>
          </w:p>
        </w:tc>
        <w:tc>
          <w:tcPr>
            <w:tcW w:w="300" w:type="dxa"/>
            <w:vAlign w:val="bottom"/>
            <w:tcBorders>
              <w:bottom w:val="single" w:sz="8" w:color="D8EEF4"/>
            </w:tcBorders>
            <w:shd w:val="clear" w:color="auto" w:fill="D8EEF4"/>
          </w:tcPr>
          <w:p>
            <w:pPr>
              <w:spacing w:after="0"/>
              <w:rPr>
                <w:sz w:val="17"/>
                <w:szCs w:val="17"/>
                <w:color w:val="auto"/>
              </w:rPr>
            </w:pPr>
          </w:p>
        </w:tc>
        <w:tc>
          <w:tcPr>
            <w:tcW w:w="240" w:type="dxa"/>
            <w:vAlign w:val="bottom"/>
            <w:tcBorders>
              <w:bottom w:val="single" w:sz="8" w:color="4C4C4E"/>
            </w:tcBorders>
            <w:shd w:val="clear" w:color="auto" w:fill="D8EEF4"/>
          </w:tcPr>
          <w:p>
            <w:pPr>
              <w:spacing w:after="0"/>
              <w:rPr>
                <w:sz w:val="17"/>
                <w:szCs w:val="17"/>
                <w:color w:val="auto"/>
              </w:rPr>
            </w:pPr>
          </w:p>
        </w:tc>
        <w:tc>
          <w:tcPr>
            <w:tcW w:w="1480" w:type="dxa"/>
            <w:vAlign w:val="bottom"/>
            <w:tcBorders>
              <w:bottom w:val="single" w:sz="8" w:color="4C4C4E"/>
            </w:tcBorders>
            <w:shd w:val="clear" w:color="auto" w:fill="D8EEF4"/>
          </w:tcPr>
          <w:p>
            <w:pPr>
              <w:jc w:val="right"/>
              <w:spacing w:after="0" w:line="179" w:lineRule="exact"/>
              <w:rPr>
                <w:sz w:val="20"/>
                <w:szCs w:val="20"/>
                <w:color w:val="auto"/>
              </w:rPr>
            </w:pPr>
            <w:r>
              <w:rPr>
                <w:rFonts w:ascii="Times New Roman" w:cs="Times New Roman" w:eastAsia="Times New Roman" w:hAnsi="Times New Roman"/>
                <w:sz w:val="16"/>
                <w:szCs w:val="16"/>
                <w:color w:val="4C4C4E"/>
              </w:rPr>
              <w:t>1,974,696</w:t>
            </w:r>
          </w:p>
        </w:tc>
        <w:tc>
          <w:tcPr>
            <w:tcW w:w="80" w:type="dxa"/>
            <w:vAlign w:val="bottom"/>
            <w:tcBorders>
              <w:bottom w:val="single" w:sz="8" w:color="D8EEF4"/>
            </w:tcBorders>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9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4C4C4E"/>
              </w:rPr>
              <w:t>Commitments and contingencies (Note 8)</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98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b w:val="1"/>
                <w:bCs w:val="1"/>
                <w:color w:val="4C4C4E"/>
              </w:rPr>
              <w:t>Net Assets</w:t>
            </w: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spacing w:after="0"/>
              <w:rPr>
                <w:sz w:val="16"/>
                <w:szCs w:val="16"/>
                <w:color w:val="auto"/>
              </w:rPr>
            </w:pPr>
          </w:p>
        </w:tc>
        <w:tc>
          <w:tcPr>
            <w:tcW w:w="300" w:type="dxa"/>
            <w:vAlign w:val="bottom"/>
            <w:shd w:val="clear" w:color="auto" w:fill="D8EEF4"/>
          </w:tcPr>
          <w:p>
            <w:pPr>
              <w:spacing w:after="0"/>
              <w:rPr>
                <w:sz w:val="16"/>
                <w:szCs w:val="16"/>
                <w:color w:val="auto"/>
              </w:rPr>
            </w:pP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4C4C4E"/>
              </w:rPr>
              <w:t>Preferred stock, $0.01 par value; 100,000,000 shares authorized; no shares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4C4C4E"/>
              </w:rPr>
              <w:t>issued and outstanding</w:t>
            </w:r>
          </w:p>
        </w:tc>
        <w:tc>
          <w:tcPr>
            <w:tcW w:w="240" w:type="dxa"/>
            <w:vAlign w:val="bottom"/>
          </w:tcPr>
          <w:p>
            <w:pPr>
              <w:spacing w:after="0"/>
              <w:rPr>
                <w:sz w:val="17"/>
                <w:szCs w:val="17"/>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4C4C4E"/>
              </w:rPr>
              <w:t>—</w:t>
            </w:r>
          </w:p>
        </w:tc>
        <w:tc>
          <w:tcPr>
            <w:tcW w:w="24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4C4C4E"/>
              </w:rPr>
              <w:t>—</w:t>
            </w:r>
          </w:p>
        </w:tc>
        <w:tc>
          <w:tcPr>
            <w:tcW w:w="0" w:type="dxa"/>
            <w:vAlign w:val="bottom"/>
          </w:tcPr>
          <w:p>
            <w:pPr>
              <w:spacing w:after="0"/>
              <w:rPr>
                <w:sz w:val="1"/>
                <w:szCs w:val="1"/>
                <w:color w:val="auto"/>
              </w:rPr>
            </w:pPr>
          </w:p>
        </w:tc>
      </w:tr>
      <w:tr>
        <w:trPr>
          <w:trHeight w:val="169"/>
        </w:trPr>
        <w:tc>
          <w:tcPr>
            <w:tcW w:w="6980" w:type="dxa"/>
            <w:vAlign w:val="bottom"/>
            <w:shd w:val="clear" w:color="auto" w:fill="D8EEF4"/>
          </w:tcPr>
          <w:p>
            <w:pPr>
              <w:spacing w:after="0" w:line="169" w:lineRule="exact"/>
              <w:rPr>
                <w:sz w:val="20"/>
                <w:szCs w:val="20"/>
                <w:color w:val="auto"/>
              </w:rPr>
            </w:pPr>
            <w:r>
              <w:rPr>
                <w:rFonts w:ascii="Times New Roman" w:cs="Times New Roman" w:eastAsia="Times New Roman" w:hAnsi="Times New Roman"/>
                <w:sz w:val="16"/>
                <w:szCs w:val="16"/>
                <w:color w:val="4C4C4E"/>
              </w:rPr>
              <w:t>Common stock, $0.01 par value; 400,000,000 shares authorized, 95,369,400</w:t>
            </w:r>
          </w:p>
        </w:tc>
        <w:tc>
          <w:tcPr>
            <w:tcW w:w="240" w:type="dxa"/>
            <w:vAlign w:val="bottom"/>
            <w:shd w:val="clear" w:color="auto" w:fill="D8EEF4"/>
          </w:tcPr>
          <w:p>
            <w:pPr>
              <w:spacing w:after="0"/>
              <w:rPr>
                <w:sz w:val="14"/>
                <w:szCs w:val="14"/>
                <w:color w:val="auto"/>
              </w:rPr>
            </w:pPr>
          </w:p>
        </w:tc>
        <w:tc>
          <w:tcPr>
            <w:tcW w:w="1480" w:type="dxa"/>
            <w:vAlign w:val="bottom"/>
            <w:shd w:val="clear" w:color="auto" w:fill="D8EEF4"/>
          </w:tcPr>
          <w:p>
            <w:pPr>
              <w:spacing w:after="0"/>
              <w:rPr>
                <w:sz w:val="14"/>
                <w:szCs w:val="14"/>
                <w:color w:val="auto"/>
              </w:rPr>
            </w:pPr>
          </w:p>
        </w:tc>
        <w:tc>
          <w:tcPr>
            <w:tcW w:w="300" w:type="dxa"/>
            <w:vAlign w:val="bottom"/>
            <w:shd w:val="clear" w:color="auto" w:fill="D8EEF4"/>
          </w:tcPr>
          <w:p>
            <w:pPr>
              <w:spacing w:after="0"/>
              <w:rPr>
                <w:sz w:val="14"/>
                <w:szCs w:val="14"/>
                <w:color w:val="auto"/>
              </w:rPr>
            </w:pPr>
          </w:p>
        </w:tc>
        <w:tc>
          <w:tcPr>
            <w:tcW w:w="240" w:type="dxa"/>
            <w:vAlign w:val="bottom"/>
            <w:shd w:val="clear" w:color="auto" w:fill="D8EEF4"/>
          </w:tcPr>
          <w:p>
            <w:pPr>
              <w:spacing w:after="0"/>
              <w:rPr>
                <w:sz w:val="14"/>
                <w:szCs w:val="14"/>
                <w:color w:val="auto"/>
              </w:rPr>
            </w:pPr>
          </w:p>
        </w:tc>
        <w:tc>
          <w:tcPr>
            <w:tcW w:w="148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80" w:type="dxa"/>
            <w:vAlign w:val="bottom"/>
            <w:shd w:val="clear" w:color="auto" w:fill="D8EEF4"/>
          </w:tcPr>
          <w:p>
            <w:pPr>
              <w:ind w:left="120"/>
              <w:spacing w:after="0"/>
              <w:rPr>
                <w:sz w:val="20"/>
                <w:szCs w:val="20"/>
                <w:color w:val="auto"/>
              </w:rPr>
            </w:pPr>
            <w:r>
              <w:rPr>
                <w:rFonts w:ascii="Times New Roman" w:cs="Times New Roman" w:eastAsia="Times New Roman" w:hAnsi="Times New Roman"/>
                <w:sz w:val="16"/>
                <w:szCs w:val="16"/>
                <w:color w:val="4C4C4E"/>
              </w:rPr>
              <w:t>and 94,325,686 shares issued, respectively; and 94,705,150 and 93,661,436</w:t>
            </w: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spacing w:after="0"/>
              <w:rPr>
                <w:sz w:val="16"/>
                <w:szCs w:val="16"/>
                <w:color w:val="auto"/>
              </w:rPr>
            </w:pPr>
          </w:p>
        </w:tc>
        <w:tc>
          <w:tcPr>
            <w:tcW w:w="300" w:type="dxa"/>
            <w:vAlign w:val="bottom"/>
            <w:shd w:val="clear" w:color="auto" w:fill="D8EEF4"/>
          </w:tcPr>
          <w:p>
            <w:pPr>
              <w:spacing w:after="0"/>
              <w:rPr>
                <w:sz w:val="16"/>
                <w:szCs w:val="16"/>
                <w:color w:val="auto"/>
              </w:rPr>
            </w:pPr>
          </w:p>
        </w:tc>
        <w:tc>
          <w:tcPr>
            <w:tcW w:w="240" w:type="dxa"/>
            <w:vAlign w:val="bottom"/>
            <w:shd w:val="clear" w:color="auto" w:fill="D8EEF4"/>
          </w:tcPr>
          <w:p>
            <w:pPr>
              <w:spacing w:after="0"/>
              <w:rPr>
                <w:sz w:val="16"/>
                <w:szCs w:val="16"/>
                <w:color w:val="auto"/>
              </w:rPr>
            </w:pPr>
          </w:p>
        </w:tc>
        <w:tc>
          <w:tcPr>
            <w:tcW w:w="14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80" w:type="dxa"/>
            <w:vAlign w:val="bottom"/>
            <w:shd w:val="clear" w:color="auto" w:fill="D8EEF4"/>
          </w:tcPr>
          <w:p>
            <w:pPr>
              <w:ind w:left="120"/>
              <w:spacing w:after="0"/>
              <w:rPr>
                <w:sz w:val="20"/>
                <w:szCs w:val="20"/>
                <w:color w:val="auto"/>
              </w:rPr>
            </w:pPr>
            <w:r>
              <w:rPr>
                <w:rFonts w:ascii="Times New Roman" w:cs="Times New Roman" w:eastAsia="Times New Roman" w:hAnsi="Times New Roman"/>
                <w:sz w:val="16"/>
                <w:szCs w:val="16"/>
                <w:color w:val="4C4C4E"/>
              </w:rPr>
              <w:t>shares outstanding, respectively</w:t>
            </w:r>
          </w:p>
        </w:tc>
        <w:tc>
          <w:tcPr>
            <w:tcW w:w="24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954</w:t>
            </w:r>
          </w:p>
        </w:tc>
        <w:tc>
          <w:tcPr>
            <w:tcW w:w="300" w:type="dxa"/>
            <w:vAlign w:val="bottom"/>
            <w:shd w:val="clear" w:color="auto" w:fill="D8EEF4"/>
          </w:tcPr>
          <w:p>
            <w:pPr>
              <w:spacing w:after="0"/>
              <w:rPr>
                <w:sz w:val="17"/>
                <w:szCs w:val="17"/>
                <w:color w:val="auto"/>
              </w:rPr>
            </w:pPr>
          </w:p>
        </w:tc>
        <w:tc>
          <w:tcPr>
            <w:tcW w:w="24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943</w:t>
            </w:r>
          </w:p>
        </w:tc>
        <w:tc>
          <w:tcPr>
            <w:tcW w:w="8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4C4C4E"/>
              </w:rPr>
              <w:t>Additional paid-in capital</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1,535,583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1,519,337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Treasury stock at cost; 664,250 and 664,250 shares held, respectively</w:t>
            </w:r>
          </w:p>
        </w:tc>
        <w:tc>
          <w:tcPr>
            <w:tcW w:w="240" w:type="dxa"/>
            <w:vAlign w:val="bottom"/>
            <w:shd w:val="clear" w:color="auto" w:fill="D8EEF4"/>
          </w:tcPr>
          <w:p>
            <w:pPr>
              <w:spacing w:after="0"/>
              <w:rPr>
                <w:sz w:val="16"/>
                <w:szCs w:val="16"/>
                <w:color w:val="auto"/>
              </w:rPr>
            </w:pPr>
          </w:p>
        </w:tc>
        <w:tc>
          <w:tcPr>
            <w:tcW w:w="1780" w:type="dxa"/>
            <w:vAlign w:val="bottom"/>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16"/>
                <w:szCs w:val="16"/>
                <w:color w:val="4C4C4E"/>
              </w:rPr>
              <w:t>(10,459)</w:t>
            </w:r>
          </w:p>
        </w:tc>
        <w:tc>
          <w:tcPr>
            <w:tcW w:w="240" w:type="dxa"/>
            <w:vAlign w:val="bottom"/>
            <w:shd w:val="clear" w:color="auto" w:fill="D8EEF4"/>
          </w:tcPr>
          <w:p>
            <w:pPr>
              <w:spacing w:after="0"/>
              <w:rPr>
                <w:sz w:val="16"/>
                <w:szCs w:val="16"/>
                <w:color w:val="auto"/>
              </w:rPr>
            </w:pPr>
          </w:p>
        </w:tc>
        <w:tc>
          <w:tcPr>
            <w:tcW w:w="156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16"/>
                <w:szCs w:val="16"/>
                <w:color w:val="4C4C4E"/>
              </w:rPr>
              <w:t>(10,459)</w:t>
            </w:r>
          </w:p>
        </w:tc>
        <w:tc>
          <w:tcPr>
            <w:tcW w:w="0" w:type="dxa"/>
            <w:vAlign w:val="bottom"/>
          </w:tcPr>
          <w:p>
            <w:pPr>
              <w:spacing w:after="0"/>
              <w:rPr>
                <w:sz w:val="1"/>
                <w:szCs w:val="1"/>
                <w:color w:val="auto"/>
              </w:rPr>
            </w:pPr>
          </w:p>
        </w:tc>
      </w:tr>
      <w:tr>
        <w:trPr>
          <w:trHeight w:val="184"/>
        </w:trPr>
        <w:tc>
          <w:tcPr>
            <w:tcW w:w="698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Distributable earnings</w:t>
            </w:r>
          </w:p>
        </w:tc>
        <w:tc>
          <w:tcPr>
            <w:tcW w:w="240" w:type="dxa"/>
            <w:vAlign w:val="bottom"/>
            <w:tcBorders>
              <w:bottom w:val="single" w:sz="8" w:color="4C4C4E"/>
            </w:tcBorders>
          </w:tcPr>
          <w:p>
            <w:pPr>
              <w:spacing w:after="0"/>
              <w:rPr>
                <w:sz w:val="15"/>
                <w:szCs w:val="15"/>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81,643</w:t>
            </w:r>
          </w:p>
        </w:tc>
        <w:tc>
          <w:tcPr>
            <w:tcW w:w="300" w:type="dxa"/>
            <w:vAlign w:val="bottom"/>
            <w:tcBorders>
              <w:bottom w:val="single" w:sz="8" w:color="D8EEF4"/>
            </w:tcBorders>
          </w:tcPr>
          <w:p>
            <w:pPr>
              <w:spacing w:after="0"/>
              <w:rPr>
                <w:sz w:val="15"/>
                <w:szCs w:val="15"/>
                <w:color w:val="auto"/>
              </w:rPr>
            </w:pPr>
          </w:p>
        </w:tc>
        <w:tc>
          <w:tcPr>
            <w:tcW w:w="240" w:type="dxa"/>
            <w:vAlign w:val="bottom"/>
            <w:tcBorders>
              <w:bottom w:val="single" w:sz="8" w:color="4C4C4E"/>
            </w:tcBorders>
          </w:tcPr>
          <w:p>
            <w:pPr>
              <w:spacing w:after="0"/>
              <w:rPr>
                <w:sz w:val="15"/>
                <w:szCs w:val="15"/>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97,708</w:t>
            </w:r>
          </w:p>
        </w:tc>
        <w:tc>
          <w:tcPr>
            <w:tcW w:w="80" w:type="dxa"/>
            <w:vAlign w:val="bottom"/>
            <w:tcBorders>
              <w:bottom w:val="single" w:sz="8" w:color="D8EEF4"/>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980" w:type="dxa"/>
            <w:vAlign w:val="bottom"/>
            <w:tcBorders>
              <w:bottom w:val="single" w:sz="8" w:color="D8EEF4"/>
            </w:tcBorders>
            <w:shd w:val="clear" w:color="auto" w:fill="D8EEF4"/>
          </w:tcPr>
          <w:p>
            <w:pPr>
              <w:ind w:left="400"/>
              <w:spacing w:after="0" w:line="179" w:lineRule="exact"/>
              <w:rPr>
                <w:sz w:val="20"/>
                <w:szCs w:val="20"/>
                <w:color w:val="auto"/>
              </w:rPr>
            </w:pPr>
            <w:r>
              <w:rPr>
                <w:rFonts w:ascii="Times New Roman" w:cs="Times New Roman" w:eastAsia="Times New Roman" w:hAnsi="Times New Roman"/>
                <w:sz w:val="16"/>
                <w:szCs w:val="16"/>
                <w:b w:val="1"/>
                <w:bCs w:val="1"/>
                <w:color w:val="4C4C4E"/>
              </w:rPr>
              <w:t>Total Net Assets</w:t>
            </w:r>
          </w:p>
        </w:tc>
        <w:tc>
          <w:tcPr>
            <w:tcW w:w="240" w:type="dxa"/>
            <w:vAlign w:val="bottom"/>
            <w:tcBorders>
              <w:bottom w:val="single" w:sz="8" w:color="4C4C4E"/>
            </w:tcBorders>
            <w:shd w:val="clear" w:color="auto" w:fill="D8EEF4"/>
          </w:tcPr>
          <w:p>
            <w:pPr>
              <w:spacing w:after="0"/>
              <w:rPr>
                <w:sz w:val="17"/>
                <w:szCs w:val="17"/>
                <w:color w:val="auto"/>
              </w:rPr>
            </w:pPr>
          </w:p>
        </w:tc>
        <w:tc>
          <w:tcPr>
            <w:tcW w:w="1480" w:type="dxa"/>
            <w:vAlign w:val="bottom"/>
            <w:tcBorders>
              <w:bottom w:val="single" w:sz="8" w:color="4C4C4E"/>
            </w:tcBorders>
            <w:shd w:val="clear" w:color="auto" w:fill="D8EEF4"/>
          </w:tcPr>
          <w:p>
            <w:pPr>
              <w:jc w:val="right"/>
              <w:spacing w:after="0" w:line="179" w:lineRule="exact"/>
              <w:rPr>
                <w:sz w:val="20"/>
                <w:szCs w:val="20"/>
                <w:color w:val="auto"/>
              </w:rPr>
            </w:pPr>
            <w:r>
              <w:rPr>
                <w:rFonts w:ascii="Times New Roman" w:cs="Times New Roman" w:eastAsia="Times New Roman" w:hAnsi="Times New Roman"/>
                <w:sz w:val="16"/>
                <w:szCs w:val="16"/>
                <w:color w:val="4C4C4E"/>
              </w:rPr>
              <w:t>1,607,721</w:t>
            </w:r>
          </w:p>
        </w:tc>
        <w:tc>
          <w:tcPr>
            <w:tcW w:w="300" w:type="dxa"/>
            <w:vAlign w:val="bottom"/>
            <w:tcBorders>
              <w:bottom w:val="single" w:sz="8" w:color="D8EEF4"/>
            </w:tcBorders>
            <w:shd w:val="clear" w:color="auto" w:fill="D8EEF4"/>
          </w:tcPr>
          <w:p>
            <w:pPr>
              <w:spacing w:after="0"/>
              <w:rPr>
                <w:sz w:val="17"/>
                <w:szCs w:val="17"/>
                <w:color w:val="auto"/>
              </w:rPr>
            </w:pPr>
          </w:p>
        </w:tc>
        <w:tc>
          <w:tcPr>
            <w:tcW w:w="240" w:type="dxa"/>
            <w:vAlign w:val="bottom"/>
            <w:tcBorders>
              <w:bottom w:val="single" w:sz="8" w:color="4C4C4E"/>
            </w:tcBorders>
            <w:shd w:val="clear" w:color="auto" w:fill="D8EEF4"/>
          </w:tcPr>
          <w:p>
            <w:pPr>
              <w:spacing w:after="0"/>
              <w:rPr>
                <w:sz w:val="17"/>
                <w:szCs w:val="17"/>
                <w:color w:val="auto"/>
              </w:rPr>
            </w:pPr>
          </w:p>
        </w:tc>
        <w:tc>
          <w:tcPr>
            <w:tcW w:w="1480" w:type="dxa"/>
            <w:vAlign w:val="bottom"/>
            <w:tcBorders>
              <w:bottom w:val="single" w:sz="8" w:color="4C4C4E"/>
            </w:tcBorders>
            <w:shd w:val="clear" w:color="auto" w:fill="D8EEF4"/>
          </w:tcPr>
          <w:p>
            <w:pPr>
              <w:jc w:val="right"/>
              <w:spacing w:after="0" w:line="179" w:lineRule="exact"/>
              <w:rPr>
                <w:sz w:val="20"/>
                <w:szCs w:val="20"/>
                <w:color w:val="auto"/>
              </w:rPr>
            </w:pPr>
            <w:r>
              <w:rPr>
                <w:rFonts w:ascii="Times New Roman" w:cs="Times New Roman" w:eastAsia="Times New Roman" w:hAnsi="Times New Roman"/>
                <w:sz w:val="16"/>
                <w:szCs w:val="16"/>
                <w:color w:val="4C4C4E"/>
              </w:rPr>
              <w:t>1,607,529</w:t>
            </w:r>
          </w:p>
        </w:tc>
        <w:tc>
          <w:tcPr>
            <w:tcW w:w="80" w:type="dxa"/>
            <w:vAlign w:val="bottom"/>
            <w:tcBorders>
              <w:bottom w:val="single" w:sz="8" w:color="D8EEF4"/>
            </w:tcBorders>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80" w:type="dxa"/>
            <w:vAlign w:val="bottom"/>
            <w:tcBorders>
              <w:bottom w:val="single" w:sz="8" w:color="D8EEF4"/>
            </w:tcBorders>
          </w:tcPr>
          <w:p>
            <w:pPr>
              <w:ind w:left="400"/>
              <w:spacing w:after="0" w:line="159" w:lineRule="exact"/>
              <w:rPr>
                <w:sz w:val="20"/>
                <w:szCs w:val="20"/>
                <w:color w:val="auto"/>
              </w:rPr>
            </w:pPr>
            <w:r>
              <w:rPr>
                <w:rFonts w:ascii="Times New Roman" w:cs="Times New Roman" w:eastAsia="Times New Roman" w:hAnsi="Times New Roman"/>
                <w:sz w:val="16"/>
                <w:szCs w:val="16"/>
                <w:b w:val="1"/>
                <w:bCs w:val="1"/>
                <w:color w:val="4C4C4E"/>
              </w:rPr>
              <w:t>Total Liabilities and Net Assets</w:t>
            </w:r>
          </w:p>
        </w:tc>
        <w:tc>
          <w:tcPr>
            <w:tcW w:w="240" w:type="dxa"/>
            <w:vAlign w:val="bottom"/>
            <w:tcBorders>
              <w:bottom w:val="single" w:sz="8" w:color="4C4C4E"/>
            </w:tcBorders>
          </w:tcPr>
          <w:p>
            <w:pPr>
              <w:jc w:val="right"/>
              <w:ind w:right="80"/>
              <w:spacing w:after="0" w:line="159" w:lineRule="exact"/>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Borders>
              <w:bottom w:val="single" w:sz="8" w:color="4C4C4E"/>
            </w:tcBorders>
          </w:tcPr>
          <w:p>
            <w:pPr>
              <w:jc w:val="right"/>
              <w:spacing w:after="0" w:line="159" w:lineRule="exact"/>
              <w:rPr>
                <w:sz w:val="20"/>
                <w:szCs w:val="20"/>
                <w:color w:val="auto"/>
              </w:rPr>
            </w:pPr>
            <w:r>
              <w:rPr>
                <w:rFonts w:ascii="Times New Roman" w:cs="Times New Roman" w:eastAsia="Times New Roman" w:hAnsi="Times New Roman"/>
                <w:sz w:val="16"/>
                <w:szCs w:val="16"/>
                <w:color w:val="4C4C4E"/>
              </w:rPr>
              <w:t>3,421,655</w:t>
            </w:r>
          </w:p>
        </w:tc>
        <w:tc>
          <w:tcPr>
            <w:tcW w:w="300" w:type="dxa"/>
            <w:vAlign w:val="bottom"/>
            <w:tcBorders>
              <w:bottom w:val="single" w:sz="8" w:color="D8EEF4"/>
            </w:tcBorders>
          </w:tcPr>
          <w:p>
            <w:pPr>
              <w:spacing w:after="0"/>
              <w:rPr>
                <w:sz w:val="17"/>
                <w:szCs w:val="17"/>
                <w:color w:val="auto"/>
              </w:rPr>
            </w:pPr>
          </w:p>
        </w:tc>
        <w:tc>
          <w:tcPr>
            <w:tcW w:w="240" w:type="dxa"/>
            <w:vAlign w:val="bottom"/>
            <w:tcBorders>
              <w:bottom w:val="single" w:sz="8" w:color="4C4C4E"/>
            </w:tcBorders>
          </w:tcPr>
          <w:p>
            <w:pPr>
              <w:jc w:val="right"/>
              <w:ind w:right="80"/>
              <w:spacing w:after="0" w:line="159" w:lineRule="exact"/>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Borders>
              <w:bottom w:val="single" w:sz="8" w:color="4C4C4E"/>
            </w:tcBorders>
          </w:tcPr>
          <w:p>
            <w:pPr>
              <w:jc w:val="right"/>
              <w:spacing w:after="0" w:line="159" w:lineRule="exact"/>
              <w:rPr>
                <w:sz w:val="20"/>
                <w:szCs w:val="20"/>
                <w:color w:val="auto"/>
              </w:rPr>
            </w:pPr>
            <w:r>
              <w:rPr>
                <w:rFonts w:ascii="Times New Roman" w:cs="Times New Roman" w:eastAsia="Times New Roman" w:hAnsi="Times New Roman"/>
                <w:sz w:val="16"/>
                <w:szCs w:val="16"/>
                <w:color w:val="4C4C4E"/>
              </w:rPr>
              <w:t>3,582,225</w:t>
            </w:r>
          </w:p>
        </w:tc>
        <w:tc>
          <w:tcPr>
            <w:tcW w:w="8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D8EEF4"/>
            </w:tcBorders>
            <w:shd w:val="clear" w:color="auto" w:fill="D8EEF4"/>
          </w:tcPr>
          <w:p>
            <w:pPr>
              <w:ind w:left="400"/>
              <w:spacing w:after="0" w:line="169" w:lineRule="exact"/>
              <w:rPr>
                <w:sz w:val="20"/>
                <w:szCs w:val="20"/>
                <w:color w:val="auto"/>
              </w:rPr>
            </w:pPr>
            <w:r>
              <w:rPr>
                <w:rFonts w:ascii="Times New Roman" w:cs="Times New Roman" w:eastAsia="Times New Roman" w:hAnsi="Times New Roman"/>
                <w:sz w:val="16"/>
                <w:szCs w:val="16"/>
                <w:b w:val="1"/>
                <w:bCs w:val="1"/>
                <w:color w:val="4C4C4E"/>
              </w:rPr>
              <w:t>Net Asset Value Per Share</w:t>
            </w:r>
          </w:p>
        </w:tc>
        <w:tc>
          <w:tcPr>
            <w:tcW w:w="240" w:type="dxa"/>
            <w:vAlign w:val="bottom"/>
            <w:tcBorders>
              <w:bottom w:val="single" w:sz="8" w:color="4C4C4E"/>
            </w:tcBorders>
            <w:shd w:val="clear" w:color="auto" w:fill="D8EEF4"/>
          </w:tcPr>
          <w:p>
            <w:pPr>
              <w:jc w:val="right"/>
              <w:ind w:right="80"/>
              <w:spacing w:after="0" w:line="169" w:lineRule="exact"/>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Borders>
              <w:bottom w:val="single" w:sz="8" w:color="4C4C4E"/>
            </w:tcBorders>
            <w:shd w:val="clear" w:color="auto" w:fill="D8EEF4"/>
          </w:tcPr>
          <w:p>
            <w:pPr>
              <w:jc w:val="right"/>
              <w:spacing w:after="0" w:line="169" w:lineRule="exact"/>
              <w:rPr>
                <w:sz w:val="20"/>
                <w:szCs w:val="20"/>
                <w:color w:val="auto"/>
              </w:rPr>
            </w:pPr>
            <w:r>
              <w:rPr>
                <w:rFonts w:ascii="Times New Roman" w:cs="Times New Roman" w:eastAsia="Times New Roman" w:hAnsi="Times New Roman"/>
                <w:sz w:val="16"/>
                <w:szCs w:val="16"/>
                <w:color w:val="4C4C4E"/>
              </w:rPr>
              <w:t>16.98</w:t>
            </w:r>
          </w:p>
        </w:tc>
        <w:tc>
          <w:tcPr>
            <w:tcW w:w="300" w:type="dxa"/>
            <w:vAlign w:val="bottom"/>
            <w:tcBorders>
              <w:bottom w:val="single" w:sz="8" w:color="D8EEF4"/>
            </w:tcBorders>
            <w:shd w:val="clear" w:color="auto" w:fill="D8EEF4"/>
          </w:tcPr>
          <w:p>
            <w:pPr>
              <w:spacing w:after="0"/>
              <w:rPr>
                <w:sz w:val="16"/>
                <w:szCs w:val="16"/>
                <w:color w:val="auto"/>
              </w:rPr>
            </w:pPr>
          </w:p>
        </w:tc>
        <w:tc>
          <w:tcPr>
            <w:tcW w:w="240" w:type="dxa"/>
            <w:vAlign w:val="bottom"/>
            <w:tcBorders>
              <w:bottom w:val="single" w:sz="8" w:color="4C4C4E"/>
            </w:tcBorders>
            <w:shd w:val="clear" w:color="auto" w:fill="D8EEF4"/>
          </w:tcPr>
          <w:p>
            <w:pPr>
              <w:jc w:val="right"/>
              <w:ind w:right="80"/>
              <w:spacing w:after="0" w:line="169" w:lineRule="exact"/>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Borders>
              <w:bottom w:val="single" w:sz="8" w:color="4C4C4E"/>
            </w:tcBorders>
            <w:shd w:val="clear" w:color="auto" w:fill="D8EEF4"/>
          </w:tcPr>
          <w:p>
            <w:pPr>
              <w:jc w:val="right"/>
              <w:spacing w:after="0" w:line="169" w:lineRule="exact"/>
              <w:rPr>
                <w:sz w:val="20"/>
                <w:szCs w:val="20"/>
                <w:color w:val="auto"/>
              </w:rPr>
            </w:pPr>
            <w:r>
              <w:rPr>
                <w:rFonts w:ascii="Times New Roman" w:cs="Times New Roman" w:eastAsia="Times New Roman" w:hAnsi="Times New Roman"/>
                <w:sz w:val="16"/>
                <w:szCs w:val="16"/>
                <w:color w:val="4C4C4E"/>
              </w:rPr>
              <w:t>17.16</w:t>
            </w:r>
          </w:p>
        </w:tc>
        <w:tc>
          <w:tcPr>
            <w:tcW w:w="80" w:type="dxa"/>
            <w:vAlign w:val="bottom"/>
            <w:tcBorders>
              <w:bottom w:val="single" w:sz="8" w:color="D8EEF4"/>
            </w:tcBorders>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4C4C4E"/>
            </w:tcBorders>
          </w:tcPr>
          <w:p>
            <w:pPr>
              <w:spacing w:after="0" w:line="20" w:lineRule="exact"/>
              <w:rPr>
                <w:sz w:val="1"/>
                <w:szCs w:val="1"/>
                <w:color w:val="auto"/>
              </w:rPr>
            </w:pPr>
          </w:p>
        </w:tc>
        <w:tc>
          <w:tcPr>
            <w:tcW w:w="1480" w:type="dxa"/>
            <w:vAlign w:val="bottom"/>
            <w:tcBorders>
              <w:bottom w:val="single" w:sz="8" w:color="4C4C4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4C4C4E"/>
            </w:tcBorders>
          </w:tcPr>
          <w:p>
            <w:pPr>
              <w:spacing w:after="0" w:line="20" w:lineRule="exact"/>
              <w:rPr>
                <w:sz w:val="1"/>
                <w:szCs w:val="1"/>
                <w:color w:val="auto"/>
              </w:rPr>
            </w:pPr>
          </w:p>
        </w:tc>
        <w:tc>
          <w:tcPr>
            <w:tcW w:w="148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F-4</w:t>
      </w:r>
    </w:p>
    <w:p>
      <w:pPr>
        <w:sectPr>
          <w:pgSz w:w="11880" w:h="15480" w:orient="portrait"/>
          <w:cols w:equalWidth="0" w:num="1">
            <w:col w:w="10800"/>
          </w:cols>
          <w:pgMar w:left="540" w:top="746" w:right="54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4C4C4E"/>
        </w:rPr>
        <w:t>Sixth Street Specialty Lending,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C4C4E"/>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4C4C4E"/>
        </w:rPr>
        <w:t>(Amounts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80" w:type="dxa"/>
            <w:vAlign w:val="bottom"/>
          </w:tcPr>
          <w:p>
            <w:pPr>
              <w:spacing w:after="0"/>
              <w:rPr>
                <w:sz w:val="17"/>
                <w:szCs w:val="17"/>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4C4C4E"/>
                <w:w w:val="98"/>
              </w:rPr>
              <w:t>December 31, 2024</w:t>
            </w:r>
          </w:p>
        </w:tc>
        <w:tc>
          <w:tcPr>
            <w:tcW w:w="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4C4C4E"/>
                <w:w w:val="98"/>
              </w:rPr>
              <w:t>December 31, 2023</w:t>
            </w:r>
          </w:p>
        </w:tc>
        <w:tc>
          <w:tcPr>
            <w:tcW w:w="0" w:type="dxa"/>
            <w:vAlign w:val="bottom"/>
          </w:tcPr>
          <w:p>
            <w:pPr>
              <w:spacing w:after="0"/>
              <w:rPr>
                <w:sz w:val="1"/>
                <w:szCs w:val="1"/>
                <w:color w:val="auto"/>
              </w:rPr>
            </w:pPr>
          </w:p>
        </w:tc>
      </w:tr>
      <w:tr>
        <w:trPr>
          <w:trHeight w:val="193"/>
        </w:trPr>
        <w:tc>
          <w:tcPr>
            <w:tcW w:w="54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6"/>
                <w:szCs w:val="16"/>
                <w:b w:val="1"/>
                <w:bCs w:val="1"/>
                <w:color w:val="4C4C4E"/>
              </w:rPr>
              <w:t>Income</w:t>
            </w:r>
          </w:p>
        </w:tc>
        <w:tc>
          <w:tcPr>
            <w:tcW w:w="320" w:type="dxa"/>
            <w:vAlign w:val="bottom"/>
            <w:tcBorders>
              <w:top w:val="single" w:sz="8" w:color="D8EEF4"/>
            </w:tcBorders>
            <w:shd w:val="clear" w:color="auto" w:fill="D8EEF4"/>
          </w:tcPr>
          <w:p>
            <w:pPr>
              <w:spacing w:after="0"/>
              <w:rPr>
                <w:sz w:val="16"/>
                <w:szCs w:val="16"/>
                <w:color w:val="auto"/>
              </w:rPr>
            </w:pPr>
          </w:p>
        </w:tc>
        <w:tc>
          <w:tcPr>
            <w:tcW w:w="120" w:type="dxa"/>
            <w:vAlign w:val="bottom"/>
            <w:tcBorders>
              <w:top w:val="single" w:sz="8" w:color="4C4C4E"/>
            </w:tcBorders>
            <w:shd w:val="clear" w:color="auto" w:fill="D8EEF4"/>
          </w:tcPr>
          <w:p>
            <w:pPr>
              <w:spacing w:after="0"/>
              <w:rPr>
                <w:sz w:val="16"/>
                <w:szCs w:val="16"/>
                <w:color w:val="auto"/>
              </w:rPr>
            </w:pPr>
          </w:p>
        </w:tc>
        <w:tc>
          <w:tcPr>
            <w:tcW w:w="1480" w:type="dxa"/>
            <w:vAlign w:val="bottom"/>
            <w:tcBorders>
              <w:top w:val="single" w:sz="8" w:color="4C4C4E"/>
            </w:tcBorders>
            <w:shd w:val="clear" w:color="auto" w:fill="D8EEF4"/>
          </w:tcPr>
          <w:p>
            <w:pPr>
              <w:spacing w:after="0"/>
              <w:rPr>
                <w:sz w:val="16"/>
                <w:szCs w:val="16"/>
                <w:color w:val="auto"/>
              </w:rPr>
            </w:pPr>
          </w:p>
        </w:tc>
        <w:tc>
          <w:tcPr>
            <w:tcW w:w="120" w:type="dxa"/>
            <w:vAlign w:val="bottom"/>
            <w:tcBorders>
              <w:top w:val="single" w:sz="8" w:color="D8EEF4"/>
            </w:tcBorders>
            <w:shd w:val="clear" w:color="auto" w:fill="D8EEF4"/>
          </w:tcPr>
          <w:p>
            <w:pPr>
              <w:spacing w:after="0"/>
              <w:rPr>
                <w:sz w:val="16"/>
                <w:szCs w:val="16"/>
                <w:color w:val="auto"/>
              </w:rPr>
            </w:pPr>
          </w:p>
        </w:tc>
        <w:tc>
          <w:tcPr>
            <w:tcW w:w="80" w:type="dxa"/>
            <w:vAlign w:val="bottom"/>
            <w:tcBorders>
              <w:top w:val="single" w:sz="8" w:color="D8EEF4"/>
            </w:tcBorders>
            <w:shd w:val="clear" w:color="auto" w:fill="D8EEF4"/>
          </w:tcPr>
          <w:p>
            <w:pPr>
              <w:spacing w:after="0"/>
              <w:rPr>
                <w:sz w:val="16"/>
                <w:szCs w:val="16"/>
                <w:color w:val="auto"/>
              </w:rPr>
            </w:pPr>
          </w:p>
        </w:tc>
        <w:tc>
          <w:tcPr>
            <w:tcW w:w="100" w:type="dxa"/>
            <w:vAlign w:val="bottom"/>
            <w:tcBorders>
              <w:top w:val="single" w:sz="8" w:color="4C4C4E"/>
            </w:tcBorders>
            <w:shd w:val="clear" w:color="auto" w:fill="D8EEF4"/>
          </w:tcPr>
          <w:p>
            <w:pPr>
              <w:spacing w:after="0"/>
              <w:rPr>
                <w:sz w:val="16"/>
                <w:szCs w:val="16"/>
                <w:color w:val="auto"/>
              </w:rPr>
            </w:pPr>
          </w:p>
        </w:tc>
        <w:tc>
          <w:tcPr>
            <w:tcW w:w="1420" w:type="dxa"/>
            <w:vAlign w:val="bottom"/>
            <w:tcBorders>
              <w:top w:val="single" w:sz="8" w:color="4C4C4E"/>
            </w:tcBorders>
            <w:shd w:val="clear" w:color="auto" w:fill="D8EEF4"/>
          </w:tcPr>
          <w:p>
            <w:pPr>
              <w:spacing w:after="0"/>
              <w:rPr>
                <w:sz w:val="16"/>
                <w:szCs w:val="16"/>
                <w:color w:val="auto"/>
              </w:rPr>
            </w:pPr>
          </w:p>
        </w:tc>
        <w:tc>
          <w:tcPr>
            <w:tcW w:w="200" w:type="dxa"/>
            <w:vAlign w:val="bottom"/>
            <w:tcBorders>
              <w:top w:val="single" w:sz="8" w:color="D8EEF4"/>
            </w:tcBorders>
            <w:shd w:val="clear" w:color="auto" w:fill="D8EEF4"/>
          </w:tcPr>
          <w:p>
            <w:pPr>
              <w:spacing w:after="0"/>
              <w:rPr>
                <w:sz w:val="16"/>
                <w:szCs w:val="16"/>
                <w:color w:val="auto"/>
              </w:rPr>
            </w:pPr>
          </w:p>
        </w:tc>
        <w:tc>
          <w:tcPr>
            <w:tcW w:w="80" w:type="dxa"/>
            <w:vAlign w:val="bottom"/>
            <w:tcBorders>
              <w:top w:val="single" w:sz="8" w:color="4C4C4E"/>
            </w:tcBorders>
            <w:shd w:val="clear" w:color="auto" w:fill="D8EEF4"/>
          </w:tcPr>
          <w:p>
            <w:pPr>
              <w:spacing w:after="0"/>
              <w:rPr>
                <w:sz w:val="16"/>
                <w:szCs w:val="16"/>
                <w:color w:val="auto"/>
              </w:rPr>
            </w:pPr>
          </w:p>
        </w:tc>
        <w:tc>
          <w:tcPr>
            <w:tcW w:w="1400" w:type="dxa"/>
            <w:vAlign w:val="bottom"/>
            <w:tcBorders>
              <w:top w:val="single" w:sz="8" w:color="4C4C4E"/>
            </w:tcBorders>
            <w:shd w:val="clear" w:color="auto" w:fill="D8EEF4"/>
          </w:tcPr>
          <w:p>
            <w:pPr>
              <w:spacing w:after="0"/>
              <w:rPr>
                <w:sz w:val="16"/>
                <w:szCs w:val="16"/>
                <w:color w:val="auto"/>
              </w:rPr>
            </w:pPr>
          </w:p>
        </w:tc>
        <w:tc>
          <w:tcPr>
            <w:tcW w:w="60" w:type="dxa"/>
            <w:vAlign w:val="bottom"/>
            <w:tcBorders>
              <w:top w:val="single" w:sz="8" w:color="D8EEF4"/>
            </w:tcBorders>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4C4C4E"/>
              </w:rPr>
              <w:t>Investment income from non-controlled, non-affiliated investments: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color w:val="4C4C4E"/>
              </w:rPr>
              <w:t>Interest from investments</w:t>
            </w:r>
          </w:p>
        </w:tc>
        <w:tc>
          <w:tcPr>
            <w:tcW w:w="4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390,428</w:t>
            </w:r>
          </w:p>
        </w:tc>
        <w:tc>
          <w:tcPr>
            <w:tcW w:w="120" w:type="dxa"/>
            <w:vAlign w:val="bottom"/>
            <w:shd w:val="clear" w:color="auto" w:fill="D8EEF4"/>
          </w:tcPr>
          <w:p>
            <w:pPr>
              <w:spacing w:after="0"/>
              <w:rPr>
                <w:sz w:val="17"/>
                <w:szCs w:val="17"/>
                <w:color w:val="auto"/>
              </w:rPr>
            </w:pPr>
          </w:p>
        </w:tc>
        <w:tc>
          <w:tcPr>
            <w:tcW w:w="18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413,547</w:t>
            </w:r>
          </w:p>
        </w:tc>
        <w:tc>
          <w:tcPr>
            <w:tcW w:w="200" w:type="dxa"/>
            <w:vAlign w:val="bottom"/>
            <w:shd w:val="clear" w:color="auto" w:fill="D8EEF4"/>
          </w:tcPr>
          <w:p>
            <w:pPr>
              <w:spacing w:after="0"/>
              <w:rPr>
                <w:sz w:val="17"/>
                <w:szCs w:val="17"/>
                <w:color w:val="auto"/>
              </w:rPr>
            </w:pPr>
          </w:p>
        </w:tc>
        <w:tc>
          <w:tcPr>
            <w:tcW w:w="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391,343</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4C4C4E"/>
              </w:rPr>
              <w:t>Paid-in-kind interest income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25,586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29,335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19,679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color w:val="4C4C4E"/>
              </w:rPr>
              <w:t>Dividend income</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2,345</w:t>
            </w:r>
          </w:p>
        </w:tc>
        <w:tc>
          <w:tcPr>
            <w:tcW w:w="12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11,678</w:t>
            </w:r>
          </w:p>
        </w:tc>
        <w:tc>
          <w:tcPr>
            <w:tcW w:w="20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4,181</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Borders>
              <w:bottom w:val="single" w:sz="8" w:color="D8EEF4"/>
            </w:tcBorders>
          </w:tcPr>
          <w:p>
            <w:pPr>
              <w:ind w:left="200"/>
              <w:spacing w:after="0"/>
              <w:rPr>
                <w:sz w:val="20"/>
                <w:szCs w:val="20"/>
                <w:color w:val="auto"/>
              </w:rPr>
            </w:pPr>
            <w:r>
              <w:rPr>
                <w:rFonts w:ascii="Times New Roman" w:cs="Times New Roman" w:eastAsia="Times New Roman" w:hAnsi="Times New Roman"/>
                <w:sz w:val="16"/>
                <w:szCs w:val="16"/>
                <w:color w:val="4C4C4E"/>
              </w:rPr>
              <w:t>Other income</w:t>
            </w:r>
          </w:p>
        </w:tc>
        <w:tc>
          <w:tcPr>
            <w:tcW w:w="320" w:type="dxa"/>
            <w:vAlign w:val="bottom"/>
            <w:tcBorders>
              <w:bottom w:val="single" w:sz="8" w:color="D8EEF4"/>
            </w:tcBorders>
          </w:tcPr>
          <w:p>
            <w:pPr>
              <w:spacing w:after="0"/>
              <w:rPr>
                <w:sz w:val="17"/>
                <w:szCs w:val="17"/>
                <w:color w:val="auto"/>
              </w:rPr>
            </w:pPr>
          </w:p>
        </w:tc>
        <w:tc>
          <w:tcPr>
            <w:tcW w:w="120" w:type="dxa"/>
            <w:vAlign w:val="bottom"/>
            <w:tcBorders>
              <w:bottom w:val="single" w:sz="8" w:color="4C4C4E"/>
            </w:tcBorders>
          </w:tcPr>
          <w:p>
            <w:pPr>
              <w:spacing w:after="0"/>
              <w:rPr>
                <w:sz w:val="17"/>
                <w:szCs w:val="17"/>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20,338</w:t>
            </w:r>
          </w:p>
        </w:tc>
        <w:tc>
          <w:tcPr>
            <w:tcW w:w="120" w:type="dxa"/>
            <w:vAlign w:val="bottom"/>
            <w:tcBorders>
              <w:bottom w:val="single" w:sz="8" w:color="D8EEF4"/>
            </w:tcBorders>
          </w:tcPr>
          <w:p>
            <w:pPr>
              <w:spacing w:after="0"/>
              <w:rPr>
                <w:sz w:val="17"/>
                <w:szCs w:val="17"/>
                <w:color w:val="auto"/>
              </w:rPr>
            </w:pPr>
          </w:p>
        </w:tc>
        <w:tc>
          <w:tcPr>
            <w:tcW w:w="8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4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18,525</w:t>
            </w:r>
          </w:p>
        </w:tc>
        <w:tc>
          <w:tcPr>
            <w:tcW w:w="200" w:type="dxa"/>
            <w:vAlign w:val="bottom"/>
            <w:tcBorders>
              <w:bottom w:val="single" w:sz="8" w:color="D8EEF4"/>
            </w:tcBorders>
          </w:tcPr>
          <w:p>
            <w:pPr>
              <w:spacing w:after="0"/>
              <w:rPr>
                <w:sz w:val="17"/>
                <w:szCs w:val="17"/>
                <w:color w:val="auto"/>
              </w:rPr>
            </w:pPr>
          </w:p>
        </w:tc>
        <w:tc>
          <w:tcPr>
            <w:tcW w:w="80" w:type="dxa"/>
            <w:vAlign w:val="bottom"/>
            <w:tcBorders>
              <w:bottom w:val="single" w:sz="8" w:color="4C4C4E"/>
            </w:tcBorders>
          </w:tcPr>
          <w:p>
            <w:pPr>
              <w:spacing w:after="0"/>
              <w:rPr>
                <w:sz w:val="17"/>
                <w:szCs w:val="17"/>
                <w:color w:val="auto"/>
              </w:rPr>
            </w:pPr>
          </w:p>
        </w:tc>
        <w:tc>
          <w:tcPr>
            <w:tcW w:w="14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15,122</w:t>
            </w:r>
          </w:p>
        </w:tc>
        <w:tc>
          <w:tcPr>
            <w:tcW w:w="6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Total investment income from non-controlled, non-affiliated investments</w:t>
            </w:r>
          </w:p>
        </w:tc>
        <w:tc>
          <w:tcPr>
            <w:tcW w:w="3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438,697</w:t>
            </w:r>
          </w:p>
        </w:tc>
        <w:tc>
          <w:tcPr>
            <w:tcW w:w="1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473,085</w:t>
            </w:r>
          </w:p>
        </w:tc>
        <w:tc>
          <w:tcPr>
            <w:tcW w:w="2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430,325</w:t>
            </w:r>
          </w:p>
        </w:tc>
        <w:tc>
          <w:tcPr>
            <w:tcW w:w="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4C4C4E"/>
              </w:rPr>
              <w:t>Investment income from controlled, affiliated investments: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color w:val="4C4C4E"/>
              </w:rPr>
              <w:t>Interest from investments</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10,347</w:t>
            </w:r>
          </w:p>
        </w:tc>
        <w:tc>
          <w:tcPr>
            <w:tcW w:w="12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9,428</w:t>
            </w:r>
          </w:p>
        </w:tc>
        <w:tc>
          <w:tcPr>
            <w:tcW w:w="20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7,756</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Borders>
              <w:bottom w:val="single" w:sz="8" w:color="D8EEF4"/>
            </w:tcBorders>
          </w:tcPr>
          <w:p>
            <w:pPr>
              <w:ind w:left="200"/>
              <w:spacing w:after="0"/>
              <w:rPr>
                <w:sz w:val="20"/>
                <w:szCs w:val="20"/>
                <w:color w:val="auto"/>
              </w:rPr>
            </w:pPr>
            <w:r>
              <w:rPr>
                <w:rFonts w:ascii="Times New Roman" w:cs="Times New Roman" w:eastAsia="Times New Roman" w:hAnsi="Times New Roman"/>
                <w:sz w:val="16"/>
                <w:szCs w:val="16"/>
                <w:color w:val="4C4C4E"/>
              </w:rPr>
              <w:t>Other income</w:t>
            </w:r>
          </w:p>
        </w:tc>
        <w:tc>
          <w:tcPr>
            <w:tcW w:w="320" w:type="dxa"/>
            <w:vAlign w:val="bottom"/>
            <w:tcBorders>
              <w:bottom w:val="single" w:sz="8" w:color="D8EEF4"/>
            </w:tcBorders>
          </w:tcPr>
          <w:p>
            <w:pPr>
              <w:spacing w:after="0"/>
              <w:rPr>
                <w:sz w:val="17"/>
                <w:szCs w:val="17"/>
                <w:color w:val="auto"/>
              </w:rPr>
            </w:pPr>
          </w:p>
        </w:tc>
        <w:tc>
          <w:tcPr>
            <w:tcW w:w="120" w:type="dxa"/>
            <w:vAlign w:val="bottom"/>
            <w:tcBorders>
              <w:bottom w:val="single" w:sz="8" w:color="4C4C4E"/>
            </w:tcBorders>
          </w:tcPr>
          <w:p>
            <w:pPr>
              <w:spacing w:after="0"/>
              <w:rPr>
                <w:sz w:val="17"/>
                <w:szCs w:val="17"/>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11</w:t>
            </w:r>
          </w:p>
        </w:tc>
        <w:tc>
          <w:tcPr>
            <w:tcW w:w="120" w:type="dxa"/>
            <w:vAlign w:val="bottom"/>
            <w:tcBorders>
              <w:bottom w:val="single" w:sz="8" w:color="D8EEF4"/>
            </w:tcBorders>
          </w:tcPr>
          <w:p>
            <w:pPr>
              <w:spacing w:after="0"/>
              <w:rPr>
                <w:sz w:val="17"/>
                <w:szCs w:val="17"/>
                <w:color w:val="auto"/>
              </w:rPr>
            </w:pPr>
          </w:p>
        </w:tc>
        <w:tc>
          <w:tcPr>
            <w:tcW w:w="8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4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13</w:t>
            </w:r>
          </w:p>
        </w:tc>
        <w:tc>
          <w:tcPr>
            <w:tcW w:w="200" w:type="dxa"/>
            <w:vAlign w:val="bottom"/>
            <w:tcBorders>
              <w:bottom w:val="single" w:sz="8" w:color="D8EEF4"/>
            </w:tcBorders>
          </w:tcPr>
          <w:p>
            <w:pPr>
              <w:spacing w:after="0"/>
              <w:rPr>
                <w:sz w:val="17"/>
                <w:szCs w:val="17"/>
                <w:color w:val="auto"/>
              </w:rPr>
            </w:pPr>
          </w:p>
        </w:tc>
        <w:tc>
          <w:tcPr>
            <w:tcW w:w="80" w:type="dxa"/>
            <w:vAlign w:val="bottom"/>
            <w:tcBorders>
              <w:bottom w:val="single" w:sz="8" w:color="4C4C4E"/>
            </w:tcBorders>
          </w:tcPr>
          <w:p>
            <w:pPr>
              <w:spacing w:after="0"/>
              <w:rPr>
                <w:sz w:val="17"/>
                <w:szCs w:val="17"/>
                <w:color w:val="auto"/>
              </w:rPr>
            </w:pPr>
          </w:p>
        </w:tc>
        <w:tc>
          <w:tcPr>
            <w:tcW w:w="14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6</w:t>
            </w:r>
          </w:p>
        </w:tc>
        <w:tc>
          <w:tcPr>
            <w:tcW w:w="6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Total investment income from controlled, affiliated investments</w:t>
            </w:r>
          </w:p>
        </w:tc>
        <w:tc>
          <w:tcPr>
            <w:tcW w:w="320" w:type="dxa"/>
            <w:vAlign w:val="bottom"/>
            <w:shd w:val="clear" w:color="auto" w:fill="D8EEF4"/>
          </w:tcPr>
          <w:p>
            <w:pPr>
              <w:spacing w:after="0"/>
              <w:rPr>
                <w:sz w:val="16"/>
                <w:szCs w:val="16"/>
                <w:color w:val="auto"/>
              </w:rPr>
            </w:pPr>
          </w:p>
        </w:tc>
        <w:tc>
          <w:tcPr>
            <w:tcW w:w="120" w:type="dxa"/>
            <w:vAlign w:val="bottom"/>
            <w:tcBorders>
              <w:bottom w:val="single" w:sz="8" w:color="4C4C4E"/>
            </w:tcBorders>
            <w:shd w:val="clear" w:color="auto" w:fill="D8EEF4"/>
          </w:tcPr>
          <w:p>
            <w:pPr>
              <w:spacing w:after="0"/>
              <w:rPr>
                <w:sz w:val="16"/>
                <w:szCs w:val="16"/>
                <w:color w:val="auto"/>
              </w:rPr>
            </w:pPr>
          </w:p>
        </w:tc>
        <w:tc>
          <w:tcPr>
            <w:tcW w:w="14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10,358</w:t>
            </w:r>
          </w:p>
        </w:tc>
        <w:tc>
          <w:tcPr>
            <w:tcW w:w="1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00" w:type="dxa"/>
            <w:vAlign w:val="bottom"/>
            <w:tcBorders>
              <w:bottom w:val="single" w:sz="8" w:color="4C4C4E"/>
            </w:tcBorders>
            <w:shd w:val="clear" w:color="auto" w:fill="D8EEF4"/>
          </w:tcPr>
          <w:p>
            <w:pPr>
              <w:spacing w:after="0"/>
              <w:rPr>
                <w:sz w:val="16"/>
                <w:szCs w:val="16"/>
                <w:color w:val="auto"/>
              </w:rPr>
            </w:pPr>
          </w:p>
        </w:tc>
        <w:tc>
          <w:tcPr>
            <w:tcW w:w="14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9,441</w:t>
            </w:r>
          </w:p>
        </w:tc>
        <w:tc>
          <w:tcPr>
            <w:tcW w:w="200" w:type="dxa"/>
            <w:vAlign w:val="bottom"/>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14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7,762</w:t>
            </w:r>
          </w:p>
        </w:tc>
        <w:tc>
          <w:tcPr>
            <w:tcW w:w="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20" w:type="dxa"/>
            <w:vAlign w:val="bottom"/>
            <w:tcBorders>
              <w:bottom w:val="single" w:sz="8" w:color="D8EEF4"/>
            </w:tcBorders>
          </w:tcPr>
          <w:p>
            <w:pPr>
              <w:ind w:left="600"/>
              <w:spacing w:after="0"/>
              <w:rPr>
                <w:sz w:val="20"/>
                <w:szCs w:val="20"/>
                <w:color w:val="auto"/>
              </w:rPr>
            </w:pPr>
            <w:r>
              <w:rPr>
                <w:rFonts w:ascii="Times New Roman" w:cs="Times New Roman" w:eastAsia="Times New Roman" w:hAnsi="Times New Roman"/>
                <w:sz w:val="16"/>
                <w:szCs w:val="16"/>
                <w:b w:val="1"/>
                <w:bCs w:val="1"/>
                <w:color w:val="4C4C4E"/>
              </w:rPr>
              <w:t>Total Investment Income</w:t>
            </w:r>
          </w:p>
        </w:tc>
        <w:tc>
          <w:tcPr>
            <w:tcW w:w="320" w:type="dxa"/>
            <w:vAlign w:val="bottom"/>
            <w:tcBorders>
              <w:bottom w:val="single" w:sz="8" w:color="D8EEF4"/>
            </w:tcBorders>
          </w:tcPr>
          <w:p>
            <w:pPr>
              <w:spacing w:after="0"/>
              <w:rPr>
                <w:sz w:val="16"/>
                <w:szCs w:val="16"/>
                <w:color w:val="auto"/>
              </w:rPr>
            </w:pPr>
          </w:p>
        </w:tc>
        <w:tc>
          <w:tcPr>
            <w:tcW w:w="120" w:type="dxa"/>
            <w:vAlign w:val="bottom"/>
            <w:tcBorders>
              <w:bottom w:val="single" w:sz="8" w:color="4C4C4E"/>
            </w:tcBorders>
          </w:tcPr>
          <w:p>
            <w:pPr>
              <w:spacing w:after="0"/>
              <w:rPr>
                <w:sz w:val="16"/>
                <w:szCs w:val="16"/>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449,055</w:t>
            </w:r>
          </w:p>
        </w:tc>
        <w:tc>
          <w:tcPr>
            <w:tcW w:w="120" w:type="dxa"/>
            <w:vAlign w:val="bottom"/>
            <w:tcBorders>
              <w:bottom w:val="single" w:sz="8" w:color="D8EEF4"/>
            </w:tcBorders>
          </w:tcPr>
          <w:p>
            <w:pPr>
              <w:spacing w:after="0"/>
              <w:rPr>
                <w:sz w:val="16"/>
                <w:szCs w:val="16"/>
                <w:color w:val="auto"/>
              </w:rPr>
            </w:pPr>
          </w:p>
        </w:tc>
        <w:tc>
          <w:tcPr>
            <w:tcW w:w="80" w:type="dxa"/>
            <w:vAlign w:val="bottom"/>
            <w:tcBorders>
              <w:bottom w:val="single" w:sz="8" w:color="D8EEF4"/>
            </w:tcBorders>
          </w:tcPr>
          <w:p>
            <w:pPr>
              <w:spacing w:after="0"/>
              <w:rPr>
                <w:sz w:val="16"/>
                <w:szCs w:val="16"/>
                <w:color w:val="auto"/>
              </w:rPr>
            </w:pPr>
          </w:p>
        </w:tc>
        <w:tc>
          <w:tcPr>
            <w:tcW w:w="100" w:type="dxa"/>
            <w:vAlign w:val="bottom"/>
            <w:tcBorders>
              <w:bottom w:val="single" w:sz="8" w:color="4C4C4E"/>
            </w:tcBorders>
          </w:tcPr>
          <w:p>
            <w:pPr>
              <w:spacing w:after="0"/>
              <w:rPr>
                <w:sz w:val="16"/>
                <w:szCs w:val="16"/>
                <w:color w:val="auto"/>
              </w:rPr>
            </w:pPr>
          </w:p>
        </w:tc>
        <w:tc>
          <w:tcPr>
            <w:tcW w:w="14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482,526</w:t>
            </w:r>
          </w:p>
        </w:tc>
        <w:tc>
          <w:tcPr>
            <w:tcW w:w="20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14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438,087</w:t>
            </w:r>
          </w:p>
        </w:tc>
        <w:tc>
          <w:tcPr>
            <w:tcW w:w="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b w:val="1"/>
                <w:bCs w:val="1"/>
                <w:color w:val="4C4C4E"/>
              </w:rPr>
              <w:t>Expenses</w:t>
            </w:r>
          </w:p>
        </w:tc>
        <w:tc>
          <w:tcPr>
            <w:tcW w:w="3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148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420" w:type="dxa"/>
            <w:vAlign w:val="bottom"/>
            <w:shd w:val="clear" w:color="auto" w:fill="D8EEF4"/>
          </w:tcPr>
          <w:p>
            <w:pPr>
              <w:spacing w:after="0"/>
              <w:rPr>
                <w:sz w:val="16"/>
                <w:szCs w:val="16"/>
                <w:color w:val="auto"/>
              </w:rPr>
            </w:pPr>
          </w:p>
        </w:tc>
        <w:tc>
          <w:tcPr>
            <w:tcW w:w="2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40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4C4C4E"/>
              </w:rPr>
              <w:t>Interest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129,557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154,145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133,731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Management fees</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52,176</w:t>
            </w:r>
          </w:p>
        </w:tc>
        <w:tc>
          <w:tcPr>
            <w:tcW w:w="12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51,786</w:t>
            </w:r>
          </w:p>
        </w:tc>
        <w:tc>
          <w:tcPr>
            <w:tcW w:w="20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46,382</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4C4C4E"/>
              </w:rPr>
              <w:t>Incentive fees on net investment income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43,469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45,530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42,590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Incentive fees on net capital gains</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16"/>
                <w:szCs w:val="16"/>
                <w:color w:val="4C4C4E"/>
              </w:rPr>
              <w:t>(5,071)</w:t>
            </w: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2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16"/>
                <w:szCs w:val="16"/>
                <w:color w:val="4C4C4E"/>
              </w:rPr>
              <w:t>(5,375)</w:t>
            </w:r>
          </w:p>
        </w:tc>
        <w:tc>
          <w:tcPr>
            <w:tcW w:w="80" w:type="dxa"/>
            <w:vAlign w:val="bottom"/>
            <w:shd w:val="clear" w:color="auto" w:fill="D8EEF4"/>
          </w:tcPr>
          <w:p>
            <w:pPr>
              <w:spacing w:after="0"/>
              <w:rPr>
                <w:sz w:val="17"/>
                <w:szCs w:val="17"/>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4,382</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4C4C4E"/>
              </w:rPr>
              <w:t>Professional fees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8,308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7,546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7,323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Directors’ fees</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962</w:t>
            </w:r>
          </w:p>
        </w:tc>
        <w:tc>
          <w:tcPr>
            <w:tcW w:w="12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877</w:t>
            </w:r>
          </w:p>
        </w:tc>
        <w:tc>
          <w:tcPr>
            <w:tcW w:w="20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806</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Other general and administrative</w:t>
            </w:r>
          </w:p>
        </w:tc>
        <w:tc>
          <w:tcPr>
            <w:tcW w:w="320" w:type="dxa"/>
            <w:vAlign w:val="bottom"/>
            <w:tcBorders>
              <w:bottom w:val="single" w:sz="8" w:color="D8EEF4"/>
            </w:tcBorders>
          </w:tcPr>
          <w:p>
            <w:pPr>
              <w:spacing w:after="0"/>
              <w:rPr>
                <w:sz w:val="17"/>
                <w:szCs w:val="17"/>
                <w:color w:val="auto"/>
              </w:rPr>
            </w:pPr>
          </w:p>
        </w:tc>
        <w:tc>
          <w:tcPr>
            <w:tcW w:w="120" w:type="dxa"/>
            <w:vAlign w:val="bottom"/>
            <w:tcBorders>
              <w:bottom w:val="single" w:sz="8" w:color="4C4C4E"/>
            </w:tcBorders>
          </w:tcPr>
          <w:p>
            <w:pPr>
              <w:spacing w:after="0"/>
              <w:rPr>
                <w:sz w:val="17"/>
                <w:szCs w:val="17"/>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5,631</w:t>
            </w:r>
          </w:p>
        </w:tc>
        <w:tc>
          <w:tcPr>
            <w:tcW w:w="120" w:type="dxa"/>
            <w:vAlign w:val="bottom"/>
            <w:tcBorders>
              <w:bottom w:val="single" w:sz="8" w:color="D8EEF4"/>
            </w:tcBorders>
          </w:tcPr>
          <w:p>
            <w:pPr>
              <w:spacing w:after="0"/>
              <w:rPr>
                <w:sz w:val="17"/>
                <w:szCs w:val="17"/>
                <w:color w:val="auto"/>
              </w:rPr>
            </w:pPr>
          </w:p>
        </w:tc>
        <w:tc>
          <w:tcPr>
            <w:tcW w:w="8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4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5,522</w:t>
            </w:r>
          </w:p>
        </w:tc>
        <w:tc>
          <w:tcPr>
            <w:tcW w:w="200" w:type="dxa"/>
            <w:vAlign w:val="bottom"/>
            <w:tcBorders>
              <w:bottom w:val="single" w:sz="8" w:color="D8EEF4"/>
            </w:tcBorders>
          </w:tcPr>
          <w:p>
            <w:pPr>
              <w:spacing w:after="0"/>
              <w:rPr>
                <w:sz w:val="17"/>
                <w:szCs w:val="17"/>
                <w:color w:val="auto"/>
              </w:rPr>
            </w:pPr>
          </w:p>
        </w:tc>
        <w:tc>
          <w:tcPr>
            <w:tcW w:w="80" w:type="dxa"/>
            <w:vAlign w:val="bottom"/>
            <w:tcBorders>
              <w:bottom w:val="single" w:sz="8" w:color="4C4C4E"/>
            </w:tcBorders>
          </w:tcPr>
          <w:p>
            <w:pPr>
              <w:spacing w:after="0"/>
              <w:rPr>
                <w:sz w:val="17"/>
                <w:szCs w:val="17"/>
                <w:color w:val="auto"/>
              </w:rPr>
            </w:pPr>
          </w:p>
        </w:tc>
        <w:tc>
          <w:tcPr>
            <w:tcW w:w="14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5,280</w:t>
            </w:r>
          </w:p>
        </w:tc>
        <w:tc>
          <w:tcPr>
            <w:tcW w:w="6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tcBorders>
              <w:bottom w:val="single" w:sz="8" w:color="D8EEF4"/>
            </w:tcBorders>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Total expenses</w:t>
            </w:r>
          </w:p>
        </w:tc>
        <w:tc>
          <w:tcPr>
            <w:tcW w:w="320" w:type="dxa"/>
            <w:vAlign w:val="bottom"/>
            <w:tcBorders>
              <w:bottom w:val="single" w:sz="8" w:color="D8EEF4"/>
            </w:tcBorders>
            <w:shd w:val="clear" w:color="auto" w:fill="D8EEF4"/>
          </w:tcPr>
          <w:p>
            <w:pPr>
              <w:spacing w:after="0"/>
              <w:rPr>
                <w:sz w:val="18"/>
                <w:szCs w:val="18"/>
                <w:color w:val="auto"/>
              </w:rPr>
            </w:pPr>
          </w:p>
        </w:tc>
        <w:tc>
          <w:tcPr>
            <w:tcW w:w="120" w:type="dxa"/>
            <w:vAlign w:val="bottom"/>
            <w:tcBorders>
              <w:bottom w:val="single" w:sz="8" w:color="4C4C4E"/>
            </w:tcBorders>
            <w:shd w:val="clear" w:color="auto" w:fill="D8EEF4"/>
          </w:tcPr>
          <w:p>
            <w:pPr>
              <w:spacing w:after="0"/>
              <w:rPr>
                <w:sz w:val="18"/>
                <w:szCs w:val="18"/>
                <w:color w:val="auto"/>
              </w:rPr>
            </w:pPr>
          </w:p>
        </w:tc>
        <w:tc>
          <w:tcPr>
            <w:tcW w:w="14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235,032</w:t>
            </w:r>
          </w:p>
        </w:tc>
        <w:tc>
          <w:tcPr>
            <w:tcW w:w="12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14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260,031</w:t>
            </w:r>
          </w:p>
        </w:tc>
        <w:tc>
          <w:tcPr>
            <w:tcW w:w="20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4C4C4E"/>
            </w:tcBorders>
            <w:shd w:val="clear" w:color="auto" w:fill="D8EEF4"/>
          </w:tcPr>
          <w:p>
            <w:pPr>
              <w:spacing w:after="0"/>
              <w:rPr>
                <w:sz w:val="18"/>
                <w:szCs w:val="18"/>
                <w:color w:val="auto"/>
              </w:rPr>
            </w:pPr>
          </w:p>
        </w:tc>
        <w:tc>
          <w:tcPr>
            <w:tcW w:w="14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240,494</w:t>
            </w:r>
          </w:p>
        </w:tc>
        <w:tc>
          <w:tcPr>
            <w:tcW w:w="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420" w:type="dxa"/>
            <w:vAlign w:val="bottom"/>
            <w:tcBorders>
              <w:bottom w:val="single" w:sz="8" w:color="D8EEF4"/>
            </w:tcBorders>
          </w:tcPr>
          <w:p>
            <w:pPr>
              <w:spacing w:after="0" w:line="173" w:lineRule="exact"/>
              <w:rPr>
                <w:sz w:val="20"/>
                <w:szCs w:val="20"/>
                <w:color w:val="auto"/>
              </w:rPr>
            </w:pPr>
            <w:r>
              <w:rPr>
                <w:rFonts w:ascii="Times New Roman" w:cs="Times New Roman" w:eastAsia="Times New Roman" w:hAnsi="Times New Roman"/>
                <w:sz w:val="16"/>
                <w:szCs w:val="16"/>
                <w:color w:val="4C4C4E"/>
              </w:rPr>
              <w:t>Management and incentive fees waived (Note 3)</w:t>
            </w:r>
          </w:p>
        </w:tc>
        <w:tc>
          <w:tcPr>
            <w:tcW w:w="320" w:type="dxa"/>
            <w:vAlign w:val="bottom"/>
            <w:tcBorders>
              <w:bottom w:val="single" w:sz="8" w:color="D8EEF4"/>
            </w:tcBorders>
          </w:tcPr>
          <w:p>
            <w:pPr>
              <w:spacing w:after="0"/>
              <w:rPr>
                <w:sz w:val="15"/>
                <w:szCs w:val="15"/>
                <w:color w:val="auto"/>
              </w:rPr>
            </w:pPr>
          </w:p>
        </w:tc>
        <w:tc>
          <w:tcPr>
            <w:tcW w:w="120" w:type="dxa"/>
            <w:vAlign w:val="bottom"/>
            <w:tcBorders>
              <w:bottom w:val="single" w:sz="8" w:color="4C4C4E"/>
            </w:tcBorders>
          </w:tcPr>
          <w:p>
            <w:pPr>
              <w:spacing w:after="0"/>
              <w:rPr>
                <w:sz w:val="15"/>
                <w:szCs w:val="15"/>
                <w:color w:val="auto"/>
              </w:rPr>
            </w:pPr>
          </w:p>
        </w:tc>
        <w:tc>
          <w:tcPr>
            <w:tcW w:w="1480" w:type="dxa"/>
            <w:vAlign w:val="bottom"/>
            <w:tcBorders>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(1,291)</w:t>
            </w:r>
          </w:p>
        </w:tc>
        <w:tc>
          <w:tcPr>
            <w:tcW w:w="120" w:type="dxa"/>
            <w:vAlign w:val="bottom"/>
            <w:tcBorders>
              <w:bottom w:val="single" w:sz="8" w:color="D8EEF4"/>
            </w:tcBorders>
          </w:tcPr>
          <w:p>
            <w:pPr>
              <w:spacing w:after="0"/>
              <w:rPr>
                <w:sz w:val="15"/>
                <w:szCs w:val="15"/>
                <w:color w:val="auto"/>
              </w:rPr>
            </w:pPr>
          </w:p>
        </w:tc>
        <w:tc>
          <w:tcPr>
            <w:tcW w:w="80" w:type="dxa"/>
            <w:vAlign w:val="bottom"/>
            <w:tcBorders>
              <w:bottom w:val="single" w:sz="8" w:color="D8EEF4"/>
            </w:tcBorders>
          </w:tcPr>
          <w:p>
            <w:pPr>
              <w:spacing w:after="0"/>
              <w:rPr>
                <w:sz w:val="15"/>
                <w:szCs w:val="15"/>
                <w:color w:val="auto"/>
              </w:rPr>
            </w:pPr>
          </w:p>
        </w:tc>
        <w:tc>
          <w:tcPr>
            <w:tcW w:w="100" w:type="dxa"/>
            <w:vAlign w:val="bottom"/>
            <w:tcBorders>
              <w:bottom w:val="single" w:sz="8" w:color="4C4C4E"/>
            </w:tcBorders>
          </w:tcPr>
          <w:p>
            <w:pPr>
              <w:spacing w:after="0"/>
              <w:rPr>
                <w:sz w:val="15"/>
                <w:szCs w:val="15"/>
                <w:color w:val="auto"/>
              </w:rPr>
            </w:pPr>
          </w:p>
        </w:tc>
        <w:tc>
          <w:tcPr>
            <w:tcW w:w="1420" w:type="dxa"/>
            <w:vAlign w:val="bottom"/>
            <w:tcBorders>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(1,466)</w:t>
            </w:r>
          </w:p>
        </w:tc>
        <w:tc>
          <w:tcPr>
            <w:tcW w:w="200" w:type="dxa"/>
            <w:vAlign w:val="bottom"/>
            <w:tcBorders>
              <w:bottom w:val="single" w:sz="8" w:color="D8EEF4"/>
            </w:tcBorders>
          </w:tcPr>
          <w:p>
            <w:pPr>
              <w:spacing w:after="0"/>
              <w:rPr>
                <w:sz w:val="15"/>
                <w:szCs w:val="15"/>
                <w:color w:val="auto"/>
              </w:rPr>
            </w:pPr>
          </w:p>
        </w:tc>
        <w:tc>
          <w:tcPr>
            <w:tcW w:w="80" w:type="dxa"/>
            <w:vAlign w:val="bottom"/>
            <w:tcBorders>
              <w:bottom w:val="single" w:sz="8" w:color="4C4C4E"/>
            </w:tcBorders>
          </w:tcPr>
          <w:p>
            <w:pPr>
              <w:spacing w:after="0"/>
              <w:rPr>
                <w:sz w:val="15"/>
                <w:szCs w:val="15"/>
                <w:color w:val="auto"/>
              </w:rPr>
            </w:pPr>
          </w:p>
        </w:tc>
        <w:tc>
          <w:tcPr>
            <w:tcW w:w="1400" w:type="dxa"/>
            <w:vAlign w:val="bottom"/>
            <w:tcBorders>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(1,171)</w:t>
            </w:r>
          </w:p>
        </w:tc>
        <w:tc>
          <w:tcPr>
            <w:tcW w:w="60" w:type="dxa"/>
            <w:vAlign w:val="bottom"/>
            <w:tcBorders>
              <w:bottom w:val="single" w:sz="8" w:color="D8EEF4"/>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20" w:type="dxa"/>
            <w:vAlign w:val="bottom"/>
            <w:tcBorders>
              <w:bottom w:val="single" w:sz="8" w:color="D8EEF4"/>
            </w:tcBorders>
            <w:shd w:val="clear" w:color="auto" w:fill="D8EEF4"/>
          </w:tcPr>
          <w:p>
            <w:pPr>
              <w:ind w:left="600"/>
              <w:spacing w:after="0"/>
              <w:rPr>
                <w:sz w:val="20"/>
                <w:szCs w:val="20"/>
                <w:color w:val="auto"/>
              </w:rPr>
            </w:pPr>
            <w:r>
              <w:rPr>
                <w:rFonts w:ascii="Times New Roman" w:cs="Times New Roman" w:eastAsia="Times New Roman" w:hAnsi="Times New Roman"/>
                <w:sz w:val="16"/>
                <w:szCs w:val="16"/>
                <w:b w:val="1"/>
                <w:bCs w:val="1"/>
                <w:color w:val="4C4C4E"/>
              </w:rPr>
              <w:t>Net Expenses</w:t>
            </w:r>
          </w:p>
        </w:tc>
        <w:tc>
          <w:tcPr>
            <w:tcW w:w="320" w:type="dxa"/>
            <w:vAlign w:val="bottom"/>
            <w:tcBorders>
              <w:bottom w:val="single" w:sz="8" w:color="D8EEF4"/>
            </w:tcBorders>
            <w:shd w:val="clear" w:color="auto" w:fill="D8EEF4"/>
          </w:tcPr>
          <w:p>
            <w:pPr>
              <w:spacing w:after="0"/>
              <w:rPr>
                <w:sz w:val="18"/>
                <w:szCs w:val="18"/>
                <w:color w:val="auto"/>
              </w:rPr>
            </w:pPr>
          </w:p>
        </w:tc>
        <w:tc>
          <w:tcPr>
            <w:tcW w:w="120" w:type="dxa"/>
            <w:vAlign w:val="bottom"/>
            <w:tcBorders>
              <w:bottom w:val="single" w:sz="8" w:color="4C4C4E"/>
            </w:tcBorders>
            <w:shd w:val="clear" w:color="auto" w:fill="D8EEF4"/>
          </w:tcPr>
          <w:p>
            <w:pPr>
              <w:spacing w:after="0"/>
              <w:rPr>
                <w:sz w:val="18"/>
                <w:szCs w:val="18"/>
                <w:color w:val="auto"/>
              </w:rPr>
            </w:pPr>
          </w:p>
        </w:tc>
        <w:tc>
          <w:tcPr>
            <w:tcW w:w="14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233,741</w:t>
            </w:r>
          </w:p>
        </w:tc>
        <w:tc>
          <w:tcPr>
            <w:tcW w:w="12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14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258,565</w:t>
            </w:r>
          </w:p>
        </w:tc>
        <w:tc>
          <w:tcPr>
            <w:tcW w:w="20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4C4C4E"/>
            </w:tcBorders>
            <w:shd w:val="clear" w:color="auto" w:fill="D8EEF4"/>
          </w:tcPr>
          <w:p>
            <w:pPr>
              <w:spacing w:after="0"/>
              <w:rPr>
                <w:sz w:val="18"/>
                <w:szCs w:val="18"/>
                <w:color w:val="auto"/>
              </w:rPr>
            </w:pPr>
          </w:p>
        </w:tc>
        <w:tc>
          <w:tcPr>
            <w:tcW w:w="14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239,323</w:t>
            </w:r>
          </w:p>
        </w:tc>
        <w:tc>
          <w:tcPr>
            <w:tcW w:w="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4C4C4E"/>
              </w:rPr>
              <w:t>Net Investment Income Before Income Taxes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4C4C4E"/>
              </w:rPr>
              <w:t>215,314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4C4C4E"/>
              </w:rPr>
              <w:t>223,961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4C4C4E"/>
              </w:rPr>
              <w:t>198,764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2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6"/>
                <w:szCs w:val="16"/>
                <w:color w:val="4C4C4E"/>
              </w:rPr>
              <w:t>Income taxes, including excise taxes</w:t>
            </w:r>
          </w:p>
        </w:tc>
        <w:tc>
          <w:tcPr>
            <w:tcW w:w="320" w:type="dxa"/>
            <w:vAlign w:val="bottom"/>
            <w:tcBorders>
              <w:bottom w:val="single" w:sz="8" w:color="D8EEF4"/>
            </w:tcBorders>
            <w:shd w:val="clear" w:color="auto" w:fill="D8EEF4"/>
          </w:tcPr>
          <w:p>
            <w:pPr>
              <w:spacing w:after="0"/>
              <w:rPr>
                <w:sz w:val="18"/>
                <w:szCs w:val="18"/>
                <w:color w:val="auto"/>
              </w:rPr>
            </w:pPr>
          </w:p>
        </w:tc>
        <w:tc>
          <w:tcPr>
            <w:tcW w:w="120" w:type="dxa"/>
            <w:vAlign w:val="bottom"/>
            <w:tcBorders>
              <w:bottom w:val="single" w:sz="8" w:color="4C4C4E"/>
            </w:tcBorders>
            <w:shd w:val="clear" w:color="auto" w:fill="D8EEF4"/>
          </w:tcPr>
          <w:p>
            <w:pPr>
              <w:spacing w:after="0"/>
              <w:rPr>
                <w:sz w:val="18"/>
                <w:szCs w:val="18"/>
                <w:color w:val="auto"/>
              </w:rPr>
            </w:pPr>
          </w:p>
        </w:tc>
        <w:tc>
          <w:tcPr>
            <w:tcW w:w="14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5,319</w:t>
            </w:r>
          </w:p>
        </w:tc>
        <w:tc>
          <w:tcPr>
            <w:tcW w:w="12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14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3,944</w:t>
            </w:r>
          </w:p>
        </w:tc>
        <w:tc>
          <w:tcPr>
            <w:tcW w:w="20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4C4C4E"/>
            </w:tcBorders>
            <w:shd w:val="clear" w:color="auto" w:fill="D8EEF4"/>
          </w:tcPr>
          <w:p>
            <w:pPr>
              <w:spacing w:after="0"/>
              <w:rPr>
                <w:sz w:val="18"/>
                <w:szCs w:val="18"/>
                <w:color w:val="auto"/>
              </w:rPr>
            </w:pPr>
          </w:p>
        </w:tc>
        <w:tc>
          <w:tcPr>
            <w:tcW w:w="14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2,365</w:t>
            </w:r>
          </w:p>
        </w:tc>
        <w:tc>
          <w:tcPr>
            <w:tcW w:w="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4C4C4E"/>
              </w:rPr>
              <w:t>Net Investment Income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4C4C4E"/>
              </w:rPr>
              <w:t>209,995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4C4C4E"/>
              </w:rPr>
              <w:t>220,017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4C4C4E"/>
              </w:rPr>
              <w:t>196,399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b w:val="1"/>
                <w:bCs w:val="1"/>
                <w:color w:val="4C4C4E"/>
              </w:rPr>
              <w:t>Unrealized and Realized Gains (Losses)</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48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20" w:type="dxa"/>
            <w:vAlign w:val="bottom"/>
            <w:shd w:val="clear" w:color="auto" w:fill="D8EEF4"/>
          </w:tcPr>
          <w:p>
            <w:pPr>
              <w:spacing w:after="0"/>
              <w:rPr>
                <w:sz w:val="17"/>
                <w:szCs w:val="17"/>
                <w:color w:val="auto"/>
              </w:rPr>
            </w:pPr>
          </w:p>
        </w:tc>
        <w:tc>
          <w:tcPr>
            <w:tcW w:w="20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400" w:type="dxa"/>
            <w:vAlign w:val="bottom"/>
            <w:shd w:val="clear" w:color="auto" w:fill="D8EEF4"/>
          </w:tcPr>
          <w:p>
            <w:pPr>
              <w:spacing w:after="0"/>
              <w:rPr>
                <w:sz w:val="17"/>
                <w:szCs w:val="17"/>
                <w:color w:val="auto"/>
              </w:rPr>
            </w:pP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4C4C4E"/>
              </w:rPr>
              <w:t>Net change in unrealized gains (losses):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color w:val="4C4C4E"/>
              </w:rPr>
              <w:t>Non-controlled, non-affiliated investments</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41,511</w:t>
            </w:r>
          </w:p>
        </w:tc>
        <w:tc>
          <w:tcPr>
            <w:tcW w:w="12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2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16"/>
                <w:szCs w:val="16"/>
                <w:color w:val="4C4C4E"/>
              </w:rPr>
              <w:t>(47,625)</w:t>
            </w:r>
          </w:p>
        </w:tc>
        <w:tc>
          <w:tcPr>
            <w:tcW w:w="80" w:type="dxa"/>
            <w:vAlign w:val="bottom"/>
            <w:shd w:val="clear" w:color="auto" w:fill="D8EEF4"/>
          </w:tcPr>
          <w:p>
            <w:pPr>
              <w:spacing w:after="0"/>
              <w:rPr>
                <w:sz w:val="17"/>
                <w:szCs w:val="17"/>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40,571</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4C4C4E"/>
              </w:rPr>
              <w:t>Controlled, affiliated investments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3,266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4C4C4E"/>
              </w:rPr>
              <w:t>(5,169)</w:t>
            </w:r>
          </w:p>
        </w:tc>
        <w:tc>
          <w:tcPr>
            <w:tcW w:w="8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C4C4E"/>
              </w:rPr>
              <w:t>(21,717)</w:t>
            </w: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color w:val="4C4C4E"/>
              </w:rPr>
              <w:t>Translation of other assets and liabilities in foreign currencies</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16"/>
                <w:szCs w:val="16"/>
                <w:color w:val="4C4C4E"/>
              </w:rPr>
              <w:t>(35,915)</w:t>
            </w: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13,379</w:t>
            </w:r>
          </w:p>
        </w:tc>
        <w:tc>
          <w:tcPr>
            <w:tcW w:w="20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46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16"/>
                <w:szCs w:val="16"/>
                <w:color w:val="4C4C4E"/>
              </w:rPr>
              <w:t>(6,393)</w:t>
            </w:r>
          </w:p>
        </w:tc>
        <w:tc>
          <w:tcPr>
            <w:tcW w:w="0" w:type="dxa"/>
            <w:vAlign w:val="bottom"/>
          </w:tcPr>
          <w:p>
            <w:pPr>
              <w:spacing w:after="0"/>
              <w:rPr>
                <w:sz w:val="1"/>
                <w:szCs w:val="1"/>
                <w:color w:val="auto"/>
              </w:rPr>
            </w:pPr>
          </w:p>
        </w:tc>
      </w:tr>
      <w:tr>
        <w:trPr>
          <w:trHeight w:val="198"/>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4C4C4E"/>
              </w:rPr>
              <w:t>Interest rate swaps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4C4C4E"/>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4C4C4E"/>
              </w:rPr>
              <w:t>—</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color w:val="4C4C4E"/>
              </w:rPr>
              <w:t>Income tax provision</w:t>
            </w:r>
          </w:p>
        </w:tc>
        <w:tc>
          <w:tcPr>
            <w:tcW w:w="320" w:type="dxa"/>
            <w:vAlign w:val="bottom"/>
            <w:shd w:val="clear" w:color="auto" w:fill="D8EEF4"/>
          </w:tcPr>
          <w:p>
            <w:pPr>
              <w:spacing w:after="0"/>
              <w:rPr>
                <w:sz w:val="18"/>
                <w:szCs w:val="18"/>
                <w:color w:val="auto"/>
              </w:rPr>
            </w:pPr>
          </w:p>
        </w:tc>
        <w:tc>
          <w:tcPr>
            <w:tcW w:w="120" w:type="dxa"/>
            <w:vAlign w:val="bottom"/>
            <w:shd w:val="clear" w:color="auto" w:fill="D8EEF4"/>
          </w:tcPr>
          <w:p>
            <w:pPr>
              <w:spacing w:after="0"/>
              <w:rPr>
                <w:sz w:val="18"/>
                <w:szCs w:val="18"/>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520</w:t>
            </w:r>
          </w:p>
        </w:tc>
        <w:tc>
          <w:tcPr>
            <w:tcW w:w="120" w:type="dxa"/>
            <w:vAlign w:val="bottom"/>
            <w:shd w:val="clear" w:color="auto" w:fill="D8EEF4"/>
          </w:tcPr>
          <w:p>
            <w:pPr>
              <w:spacing w:after="0"/>
              <w:rPr>
                <w:sz w:val="18"/>
                <w:szCs w:val="18"/>
                <w:color w:val="auto"/>
              </w:rPr>
            </w:pPr>
          </w:p>
        </w:tc>
        <w:tc>
          <w:tcPr>
            <w:tcW w:w="80" w:type="dxa"/>
            <w:vAlign w:val="bottom"/>
            <w:shd w:val="clear" w:color="auto" w:fill="D8EEF4"/>
          </w:tcPr>
          <w:p>
            <w:pPr>
              <w:spacing w:after="0"/>
              <w:rPr>
                <w:sz w:val="18"/>
                <w:szCs w:val="18"/>
                <w:color w:val="auto"/>
              </w:rPr>
            </w:pPr>
          </w:p>
        </w:tc>
        <w:tc>
          <w:tcPr>
            <w:tcW w:w="100" w:type="dxa"/>
            <w:vAlign w:val="bottom"/>
            <w:shd w:val="clear" w:color="auto" w:fill="D8EEF4"/>
          </w:tcPr>
          <w:p>
            <w:pPr>
              <w:spacing w:after="0"/>
              <w:rPr>
                <w:sz w:val="18"/>
                <w:szCs w:val="18"/>
                <w:color w:val="auto"/>
              </w:rPr>
            </w:pPr>
          </w:p>
        </w:tc>
        <w:tc>
          <w:tcPr>
            <w:tcW w:w="162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16"/>
                <w:szCs w:val="16"/>
                <w:color w:val="4C4C4E"/>
              </w:rPr>
              <w:t>(2,609)</w:t>
            </w:r>
          </w:p>
        </w:tc>
        <w:tc>
          <w:tcPr>
            <w:tcW w:w="80" w:type="dxa"/>
            <w:vAlign w:val="bottom"/>
            <w:shd w:val="clear" w:color="auto" w:fill="D8EEF4"/>
          </w:tcPr>
          <w:p>
            <w:pPr>
              <w:spacing w:after="0"/>
              <w:rPr>
                <w:sz w:val="18"/>
                <w:szCs w:val="18"/>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556</w:t>
            </w:r>
          </w:p>
        </w:tc>
        <w:tc>
          <w:tcPr>
            <w:tcW w:w="60" w:type="dxa"/>
            <w:vAlign w:val="bottom"/>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420" w:type="dxa"/>
            <w:vAlign w:val="bottom"/>
            <w:tcBorders>
              <w:top w:val="single" w:sz="8" w:color="D8EEF4"/>
              <w:bottom w:val="single" w:sz="8" w:color="D8EEF4"/>
            </w:tcBorders>
          </w:tcPr>
          <w:p>
            <w:pPr>
              <w:ind w:left="600"/>
              <w:spacing w:after="0" w:line="173" w:lineRule="exact"/>
              <w:rPr>
                <w:sz w:val="20"/>
                <w:szCs w:val="20"/>
                <w:color w:val="auto"/>
              </w:rPr>
            </w:pPr>
            <w:r>
              <w:rPr>
                <w:rFonts w:ascii="Times New Roman" w:cs="Times New Roman" w:eastAsia="Times New Roman" w:hAnsi="Times New Roman"/>
                <w:sz w:val="16"/>
                <w:szCs w:val="16"/>
                <w:color w:val="4C4C4E"/>
              </w:rPr>
              <w:t>Total net change in unrealized gains (losses)</w:t>
            </w:r>
          </w:p>
        </w:tc>
        <w:tc>
          <w:tcPr>
            <w:tcW w:w="320" w:type="dxa"/>
            <w:vAlign w:val="bottom"/>
            <w:tcBorders>
              <w:top w:val="single" w:sz="8" w:color="D8EEF4"/>
              <w:bottom w:val="single" w:sz="8" w:color="D8EEF4"/>
            </w:tcBorders>
          </w:tcPr>
          <w:p>
            <w:pPr>
              <w:spacing w:after="0"/>
              <w:rPr>
                <w:sz w:val="15"/>
                <w:szCs w:val="15"/>
                <w:color w:val="auto"/>
              </w:rPr>
            </w:pPr>
          </w:p>
        </w:tc>
        <w:tc>
          <w:tcPr>
            <w:tcW w:w="120" w:type="dxa"/>
            <w:vAlign w:val="bottom"/>
            <w:tcBorders>
              <w:top w:val="single" w:sz="8" w:color="4C4C4E"/>
              <w:bottom w:val="single" w:sz="8" w:color="4C4C4E"/>
            </w:tcBorders>
          </w:tcPr>
          <w:p>
            <w:pPr>
              <w:spacing w:after="0"/>
              <w:rPr>
                <w:sz w:val="15"/>
                <w:szCs w:val="15"/>
                <w:color w:val="auto"/>
              </w:rPr>
            </w:pPr>
          </w:p>
        </w:tc>
        <w:tc>
          <w:tcPr>
            <w:tcW w:w="1480" w:type="dxa"/>
            <w:vAlign w:val="bottom"/>
            <w:tcBorders>
              <w:top w:val="single" w:sz="8" w:color="4C4C4E"/>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9,382</w:t>
            </w:r>
          </w:p>
        </w:tc>
        <w:tc>
          <w:tcPr>
            <w:tcW w:w="120" w:type="dxa"/>
            <w:vAlign w:val="bottom"/>
            <w:tcBorders>
              <w:top w:val="single" w:sz="8" w:color="D8EEF4"/>
              <w:bottom w:val="single" w:sz="8" w:color="D8EEF4"/>
            </w:tcBorders>
          </w:tcPr>
          <w:p>
            <w:pPr>
              <w:spacing w:after="0"/>
              <w:rPr>
                <w:sz w:val="15"/>
                <w:szCs w:val="15"/>
                <w:color w:val="auto"/>
              </w:rPr>
            </w:pPr>
          </w:p>
        </w:tc>
        <w:tc>
          <w:tcPr>
            <w:tcW w:w="80" w:type="dxa"/>
            <w:vAlign w:val="bottom"/>
            <w:tcBorders>
              <w:top w:val="single" w:sz="8" w:color="D8EEF4"/>
              <w:bottom w:val="single" w:sz="8" w:color="D8EEF4"/>
            </w:tcBorders>
          </w:tcPr>
          <w:p>
            <w:pPr>
              <w:spacing w:after="0"/>
              <w:rPr>
                <w:sz w:val="15"/>
                <w:szCs w:val="15"/>
                <w:color w:val="auto"/>
              </w:rPr>
            </w:pPr>
          </w:p>
        </w:tc>
        <w:tc>
          <w:tcPr>
            <w:tcW w:w="100" w:type="dxa"/>
            <w:vAlign w:val="bottom"/>
            <w:tcBorders>
              <w:top w:val="single" w:sz="8" w:color="4C4C4E"/>
              <w:bottom w:val="single" w:sz="8" w:color="4C4C4E"/>
            </w:tcBorders>
          </w:tcPr>
          <w:p>
            <w:pPr>
              <w:spacing w:after="0"/>
              <w:rPr>
                <w:sz w:val="15"/>
                <w:szCs w:val="15"/>
                <w:color w:val="auto"/>
              </w:rPr>
            </w:pPr>
          </w:p>
        </w:tc>
        <w:tc>
          <w:tcPr>
            <w:tcW w:w="1420" w:type="dxa"/>
            <w:vAlign w:val="bottom"/>
            <w:tcBorders>
              <w:top w:val="single" w:sz="8" w:color="4C4C4E"/>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(42,024)</w:t>
            </w:r>
          </w:p>
        </w:tc>
        <w:tc>
          <w:tcPr>
            <w:tcW w:w="200" w:type="dxa"/>
            <w:vAlign w:val="bottom"/>
            <w:tcBorders>
              <w:top w:val="single" w:sz="8" w:color="D8EEF4"/>
              <w:bottom w:val="single" w:sz="8" w:color="D8EEF4"/>
            </w:tcBorders>
          </w:tcPr>
          <w:p>
            <w:pPr>
              <w:spacing w:after="0"/>
              <w:rPr>
                <w:sz w:val="15"/>
                <w:szCs w:val="15"/>
                <w:color w:val="auto"/>
              </w:rPr>
            </w:pPr>
          </w:p>
        </w:tc>
        <w:tc>
          <w:tcPr>
            <w:tcW w:w="80" w:type="dxa"/>
            <w:vAlign w:val="bottom"/>
            <w:tcBorders>
              <w:top w:val="single" w:sz="8" w:color="4C4C4E"/>
              <w:bottom w:val="single" w:sz="8" w:color="4C4C4E"/>
            </w:tcBorders>
          </w:tcPr>
          <w:p>
            <w:pPr>
              <w:spacing w:after="0"/>
              <w:rPr>
                <w:sz w:val="15"/>
                <w:szCs w:val="15"/>
                <w:color w:val="auto"/>
              </w:rPr>
            </w:pPr>
          </w:p>
        </w:tc>
        <w:tc>
          <w:tcPr>
            <w:tcW w:w="1400" w:type="dxa"/>
            <w:vAlign w:val="bottom"/>
            <w:tcBorders>
              <w:top w:val="single" w:sz="8" w:color="4C4C4E"/>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13,191</w:t>
            </w:r>
          </w:p>
        </w:tc>
        <w:tc>
          <w:tcPr>
            <w:tcW w:w="60" w:type="dxa"/>
            <w:vAlign w:val="bottom"/>
            <w:tcBorders>
              <w:top w:val="single" w:sz="8" w:color="D8EEF4"/>
              <w:bottom w:val="single" w:sz="8" w:color="D8EEF4"/>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Realized gains (losses):</w:t>
            </w:r>
          </w:p>
        </w:tc>
        <w:tc>
          <w:tcPr>
            <w:tcW w:w="3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148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420" w:type="dxa"/>
            <w:vAlign w:val="bottom"/>
            <w:shd w:val="clear" w:color="auto" w:fill="D8EEF4"/>
          </w:tcPr>
          <w:p>
            <w:pPr>
              <w:spacing w:after="0"/>
              <w:rPr>
                <w:sz w:val="16"/>
                <w:szCs w:val="16"/>
                <w:color w:val="auto"/>
              </w:rPr>
            </w:pPr>
          </w:p>
        </w:tc>
        <w:tc>
          <w:tcPr>
            <w:tcW w:w="2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40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4C4C4E"/>
              </w:rPr>
              <w:t>Non-controlled, non-affiliated investments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(31,106)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9,037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12,095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color w:val="4C4C4E"/>
              </w:rPr>
              <w:t>Non-controlled, affiliated investments</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140"/>
              <w:spacing w:after="0"/>
              <w:rPr>
                <w:sz w:val="20"/>
                <w:szCs w:val="20"/>
                <w:color w:val="auto"/>
              </w:rPr>
            </w:pPr>
            <w:r>
              <w:rPr>
                <w:rFonts w:ascii="Times New Roman" w:cs="Times New Roman" w:eastAsia="Times New Roman" w:hAnsi="Times New Roman"/>
                <w:sz w:val="16"/>
                <w:szCs w:val="16"/>
                <w:color w:val="4C4C4E"/>
              </w:rPr>
              <w:t>—</w:t>
            </w: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2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16"/>
                <w:szCs w:val="16"/>
                <w:color w:val="4C4C4E"/>
              </w:rPr>
              <w:t>—</w:t>
            </w:r>
          </w:p>
        </w:tc>
        <w:tc>
          <w:tcPr>
            <w:tcW w:w="80" w:type="dxa"/>
            <w:vAlign w:val="bottom"/>
            <w:shd w:val="clear" w:color="auto" w:fill="D8EEF4"/>
          </w:tcPr>
          <w:p>
            <w:pPr>
              <w:spacing w:after="0"/>
              <w:rPr>
                <w:sz w:val="17"/>
                <w:szCs w:val="17"/>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158</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4C4C4E"/>
              </w:rPr>
              <w:t>Controlled, affiliated investments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4C4C4E"/>
              </w:rPr>
              <w:t>(16,309)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4C4C4E"/>
              </w:rPr>
              <w:t>—</w:t>
            </w:r>
          </w:p>
        </w:tc>
        <w:tc>
          <w:tcPr>
            <w:tcW w:w="8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4C4C4E"/>
              </w:rPr>
              <w:t>—</w:t>
            </w:r>
          </w:p>
        </w:tc>
        <w:tc>
          <w:tcPr>
            <w:tcW w:w="0" w:type="dxa"/>
            <w:vAlign w:val="bottom"/>
          </w:tcPr>
          <w:p>
            <w:pPr>
              <w:spacing w:after="0"/>
              <w:rPr>
                <w:sz w:val="1"/>
                <w:szCs w:val="1"/>
                <w:color w:val="auto"/>
              </w:rPr>
            </w:pPr>
          </w:p>
        </w:tc>
      </w:tr>
      <w:tr>
        <w:trPr>
          <w:trHeight w:val="198"/>
        </w:trPr>
        <w:tc>
          <w:tcPr>
            <w:tcW w:w="542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color w:val="4C4C4E"/>
              </w:rPr>
              <w:t>Foreign currency transactions</w:t>
            </w:r>
          </w:p>
        </w:tc>
        <w:tc>
          <w:tcPr>
            <w:tcW w:w="32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16"/>
                <w:szCs w:val="16"/>
                <w:color w:val="4C4C4E"/>
              </w:rPr>
              <w:t>(505)</w:t>
            </w:r>
          </w:p>
        </w:tc>
        <w:tc>
          <w:tcPr>
            <w:tcW w:w="8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2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16"/>
                <w:szCs w:val="16"/>
                <w:color w:val="4C4C4E"/>
              </w:rPr>
              <w:t>(464)</w:t>
            </w:r>
          </w:p>
        </w:tc>
        <w:tc>
          <w:tcPr>
            <w:tcW w:w="80" w:type="dxa"/>
            <w:vAlign w:val="bottom"/>
            <w:shd w:val="clear" w:color="auto" w:fill="D8EEF4"/>
          </w:tcPr>
          <w:p>
            <w:pPr>
              <w:spacing w:after="0"/>
              <w:rPr>
                <w:sz w:val="17"/>
                <w:szCs w:val="17"/>
                <w:color w:val="auto"/>
              </w:rPr>
            </w:pPr>
          </w:p>
        </w:tc>
        <w:tc>
          <w:tcPr>
            <w:tcW w:w="14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180</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4C4C4E"/>
              </w:rPr>
              <w:t>Income tax provision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4C4C4E"/>
              </w:rPr>
              <w:t>(940)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4C4C4E"/>
              </w:rPr>
              <w:t>—</w:t>
            </w:r>
          </w:p>
        </w:tc>
        <w:tc>
          <w:tcPr>
            <w:tcW w:w="8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4C4C4E"/>
              </w:rPr>
              <w:t>—</w:t>
            </w:r>
          </w:p>
        </w:tc>
        <w:tc>
          <w:tcPr>
            <w:tcW w:w="0" w:type="dxa"/>
            <w:vAlign w:val="bottom"/>
          </w:tcPr>
          <w:p>
            <w:pPr>
              <w:spacing w:after="0"/>
              <w:rPr>
                <w:sz w:val="1"/>
                <w:szCs w:val="1"/>
                <w:color w:val="auto"/>
              </w:rPr>
            </w:pPr>
          </w:p>
        </w:tc>
      </w:tr>
      <w:tr>
        <w:trPr>
          <w:trHeight w:val="213"/>
        </w:trPr>
        <w:tc>
          <w:tcPr>
            <w:tcW w:w="5420" w:type="dxa"/>
            <w:vAlign w:val="bottom"/>
            <w:tcBorders>
              <w:top w:val="single" w:sz="8" w:color="D8EEF4"/>
              <w:bottom w:val="single" w:sz="8" w:color="D8EEF4"/>
            </w:tcBorders>
            <w:shd w:val="clear" w:color="auto" w:fill="D8EEF4"/>
          </w:tcPr>
          <w:p>
            <w:pPr>
              <w:ind w:left="600"/>
              <w:spacing w:after="0"/>
              <w:rPr>
                <w:sz w:val="20"/>
                <w:szCs w:val="20"/>
                <w:color w:val="auto"/>
              </w:rPr>
            </w:pPr>
            <w:r>
              <w:rPr>
                <w:rFonts w:ascii="Times New Roman" w:cs="Times New Roman" w:eastAsia="Times New Roman" w:hAnsi="Times New Roman"/>
                <w:sz w:val="16"/>
                <w:szCs w:val="16"/>
                <w:color w:val="4C4C4E"/>
              </w:rPr>
              <w:t>Total net realized gains (losses)</w:t>
            </w:r>
          </w:p>
        </w:tc>
        <w:tc>
          <w:tcPr>
            <w:tcW w:w="320" w:type="dxa"/>
            <w:vAlign w:val="bottom"/>
            <w:tcBorders>
              <w:top w:val="single" w:sz="8" w:color="D8EEF4"/>
              <w:bottom w:val="single" w:sz="8" w:color="D8EEF4"/>
            </w:tcBorders>
            <w:shd w:val="clear" w:color="auto" w:fill="D8EEF4"/>
          </w:tcPr>
          <w:p>
            <w:pPr>
              <w:spacing w:after="0"/>
              <w:rPr>
                <w:sz w:val="18"/>
                <w:szCs w:val="18"/>
                <w:color w:val="auto"/>
              </w:rPr>
            </w:pPr>
          </w:p>
        </w:tc>
        <w:tc>
          <w:tcPr>
            <w:tcW w:w="120" w:type="dxa"/>
            <w:vAlign w:val="bottom"/>
            <w:tcBorders>
              <w:top w:val="single" w:sz="8" w:color="4C4C4E"/>
              <w:bottom w:val="single" w:sz="8" w:color="4C4C4E"/>
            </w:tcBorders>
            <w:shd w:val="clear" w:color="auto" w:fill="D8EEF4"/>
          </w:tcPr>
          <w:p>
            <w:pPr>
              <w:spacing w:after="0"/>
              <w:rPr>
                <w:sz w:val="18"/>
                <w:szCs w:val="18"/>
                <w:color w:val="auto"/>
              </w:rPr>
            </w:pPr>
          </w:p>
        </w:tc>
        <w:tc>
          <w:tcPr>
            <w:tcW w:w="14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(48,860)</w:t>
            </w:r>
          </w:p>
        </w:tc>
        <w:tc>
          <w:tcPr>
            <w:tcW w:w="120" w:type="dxa"/>
            <w:vAlign w:val="bottom"/>
            <w:tcBorders>
              <w:top w:val="single" w:sz="8" w:color="D8EEF4"/>
              <w:bottom w:val="single" w:sz="8" w:color="D8EEF4"/>
            </w:tcBorders>
            <w:shd w:val="clear" w:color="auto" w:fill="D8EEF4"/>
          </w:tcPr>
          <w:p>
            <w:pPr>
              <w:spacing w:after="0"/>
              <w:rPr>
                <w:sz w:val="18"/>
                <w:szCs w:val="18"/>
                <w:color w:val="auto"/>
              </w:rPr>
            </w:pPr>
          </w:p>
        </w:tc>
        <w:tc>
          <w:tcPr>
            <w:tcW w:w="80" w:type="dxa"/>
            <w:vAlign w:val="bottom"/>
            <w:tcBorders>
              <w:top w:val="single" w:sz="8" w:color="D8EEF4"/>
              <w:bottom w:val="single" w:sz="8" w:color="D8EEF4"/>
            </w:tcBorders>
            <w:shd w:val="clear" w:color="auto" w:fill="D8EEF4"/>
          </w:tcPr>
          <w:p>
            <w:pPr>
              <w:spacing w:after="0"/>
              <w:rPr>
                <w:sz w:val="18"/>
                <w:szCs w:val="18"/>
                <w:color w:val="auto"/>
              </w:rPr>
            </w:pPr>
          </w:p>
        </w:tc>
        <w:tc>
          <w:tcPr>
            <w:tcW w:w="100" w:type="dxa"/>
            <w:vAlign w:val="bottom"/>
            <w:tcBorders>
              <w:top w:val="single" w:sz="8" w:color="4C4C4E"/>
              <w:bottom w:val="single" w:sz="8" w:color="4C4C4E"/>
            </w:tcBorders>
            <w:shd w:val="clear" w:color="auto" w:fill="D8EEF4"/>
          </w:tcPr>
          <w:p>
            <w:pPr>
              <w:spacing w:after="0"/>
              <w:rPr>
                <w:sz w:val="18"/>
                <w:szCs w:val="18"/>
                <w:color w:val="auto"/>
              </w:rPr>
            </w:pPr>
          </w:p>
        </w:tc>
        <w:tc>
          <w:tcPr>
            <w:tcW w:w="14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8,573</w:t>
            </w:r>
          </w:p>
        </w:tc>
        <w:tc>
          <w:tcPr>
            <w:tcW w:w="200" w:type="dxa"/>
            <w:vAlign w:val="bottom"/>
            <w:tcBorders>
              <w:top w:val="single" w:sz="8" w:color="D8EEF4"/>
              <w:bottom w:val="single" w:sz="8" w:color="D8EEF4"/>
            </w:tcBorders>
            <w:shd w:val="clear" w:color="auto" w:fill="D8EEF4"/>
          </w:tcPr>
          <w:p>
            <w:pPr>
              <w:spacing w:after="0"/>
              <w:rPr>
                <w:sz w:val="18"/>
                <w:szCs w:val="18"/>
                <w:color w:val="auto"/>
              </w:rPr>
            </w:pPr>
          </w:p>
        </w:tc>
        <w:tc>
          <w:tcPr>
            <w:tcW w:w="80" w:type="dxa"/>
            <w:vAlign w:val="bottom"/>
            <w:tcBorders>
              <w:top w:val="single" w:sz="8" w:color="4C4C4E"/>
              <w:bottom w:val="single" w:sz="8" w:color="4C4C4E"/>
            </w:tcBorders>
            <w:shd w:val="clear" w:color="auto" w:fill="D8EEF4"/>
          </w:tcPr>
          <w:p>
            <w:pPr>
              <w:spacing w:after="0"/>
              <w:rPr>
                <w:sz w:val="18"/>
                <w:szCs w:val="18"/>
                <w:color w:val="auto"/>
              </w:rPr>
            </w:pPr>
          </w:p>
        </w:tc>
        <w:tc>
          <w:tcPr>
            <w:tcW w:w="14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12,433</w:t>
            </w:r>
          </w:p>
        </w:tc>
        <w:tc>
          <w:tcPr>
            <w:tcW w:w="60" w:type="dxa"/>
            <w:vAlign w:val="bottom"/>
            <w:tcBorders>
              <w:top w:val="single" w:sz="8" w:color="D8EEF4"/>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420" w:type="dxa"/>
            <w:vAlign w:val="bottom"/>
            <w:tcBorders>
              <w:bottom w:val="single" w:sz="8" w:color="D8EEF4"/>
            </w:tcBorders>
          </w:tcPr>
          <w:p>
            <w:pPr>
              <w:ind w:left="800"/>
              <w:spacing w:after="0" w:line="173" w:lineRule="exact"/>
              <w:rPr>
                <w:sz w:val="20"/>
                <w:szCs w:val="20"/>
                <w:color w:val="auto"/>
              </w:rPr>
            </w:pPr>
            <w:r>
              <w:rPr>
                <w:rFonts w:ascii="Times New Roman" w:cs="Times New Roman" w:eastAsia="Times New Roman" w:hAnsi="Times New Roman"/>
                <w:sz w:val="16"/>
                <w:szCs w:val="16"/>
                <w:b w:val="1"/>
                <w:bCs w:val="1"/>
                <w:color w:val="4C4C4E"/>
              </w:rPr>
              <w:t>Total Net Unrealized and Realized Gains (Losses)</w:t>
            </w:r>
          </w:p>
        </w:tc>
        <w:tc>
          <w:tcPr>
            <w:tcW w:w="320" w:type="dxa"/>
            <w:vAlign w:val="bottom"/>
            <w:tcBorders>
              <w:bottom w:val="single" w:sz="8" w:color="D8EEF4"/>
            </w:tcBorders>
          </w:tcPr>
          <w:p>
            <w:pPr>
              <w:spacing w:after="0"/>
              <w:rPr>
                <w:sz w:val="15"/>
                <w:szCs w:val="15"/>
                <w:color w:val="auto"/>
              </w:rPr>
            </w:pPr>
          </w:p>
        </w:tc>
        <w:tc>
          <w:tcPr>
            <w:tcW w:w="120" w:type="dxa"/>
            <w:vAlign w:val="bottom"/>
            <w:tcBorders>
              <w:bottom w:val="single" w:sz="8" w:color="4C4C4E"/>
            </w:tcBorders>
          </w:tcPr>
          <w:p>
            <w:pPr>
              <w:spacing w:after="0"/>
              <w:rPr>
                <w:sz w:val="15"/>
                <w:szCs w:val="15"/>
                <w:color w:val="auto"/>
              </w:rPr>
            </w:pPr>
          </w:p>
        </w:tc>
        <w:tc>
          <w:tcPr>
            <w:tcW w:w="1480" w:type="dxa"/>
            <w:vAlign w:val="bottom"/>
            <w:tcBorders>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(39,478)</w:t>
            </w:r>
          </w:p>
        </w:tc>
        <w:tc>
          <w:tcPr>
            <w:tcW w:w="120" w:type="dxa"/>
            <w:vAlign w:val="bottom"/>
            <w:tcBorders>
              <w:bottom w:val="single" w:sz="8" w:color="D8EEF4"/>
            </w:tcBorders>
          </w:tcPr>
          <w:p>
            <w:pPr>
              <w:spacing w:after="0"/>
              <w:rPr>
                <w:sz w:val="15"/>
                <w:szCs w:val="15"/>
                <w:color w:val="auto"/>
              </w:rPr>
            </w:pPr>
          </w:p>
        </w:tc>
        <w:tc>
          <w:tcPr>
            <w:tcW w:w="80" w:type="dxa"/>
            <w:vAlign w:val="bottom"/>
            <w:tcBorders>
              <w:bottom w:val="single" w:sz="8" w:color="D8EEF4"/>
            </w:tcBorders>
          </w:tcPr>
          <w:p>
            <w:pPr>
              <w:spacing w:after="0"/>
              <w:rPr>
                <w:sz w:val="15"/>
                <w:szCs w:val="15"/>
                <w:color w:val="auto"/>
              </w:rPr>
            </w:pPr>
          </w:p>
        </w:tc>
        <w:tc>
          <w:tcPr>
            <w:tcW w:w="100" w:type="dxa"/>
            <w:vAlign w:val="bottom"/>
            <w:tcBorders>
              <w:bottom w:val="single" w:sz="8" w:color="4C4C4E"/>
            </w:tcBorders>
          </w:tcPr>
          <w:p>
            <w:pPr>
              <w:spacing w:after="0"/>
              <w:rPr>
                <w:sz w:val="15"/>
                <w:szCs w:val="15"/>
                <w:color w:val="auto"/>
              </w:rPr>
            </w:pPr>
          </w:p>
        </w:tc>
        <w:tc>
          <w:tcPr>
            <w:tcW w:w="1420" w:type="dxa"/>
            <w:vAlign w:val="bottom"/>
            <w:tcBorders>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(33,451)</w:t>
            </w:r>
          </w:p>
        </w:tc>
        <w:tc>
          <w:tcPr>
            <w:tcW w:w="200" w:type="dxa"/>
            <w:vAlign w:val="bottom"/>
            <w:tcBorders>
              <w:bottom w:val="single" w:sz="8" w:color="D8EEF4"/>
            </w:tcBorders>
          </w:tcPr>
          <w:p>
            <w:pPr>
              <w:spacing w:after="0"/>
              <w:rPr>
                <w:sz w:val="15"/>
                <w:szCs w:val="15"/>
                <w:color w:val="auto"/>
              </w:rPr>
            </w:pPr>
          </w:p>
        </w:tc>
        <w:tc>
          <w:tcPr>
            <w:tcW w:w="80" w:type="dxa"/>
            <w:vAlign w:val="bottom"/>
            <w:tcBorders>
              <w:bottom w:val="single" w:sz="8" w:color="4C4C4E"/>
            </w:tcBorders>
          </w:tcPr>
          <w:p>
            <w:pPr>
              <w:spacing w:after="0"/>
              <w:rPr>
                <w:sz w:val="15"/>
                <w:szCs w:val="15"/>
                <w:color w:val="auto"/>
              </w:rPr>
            </w:pPr>
          </w:p>
        </w:tc>
        <w:tc>
          <w:tcPr>
            <w:tcW w:w="1400" w:type="dxa"/>
            <w:vAlign w:val="bottom"/>
            <w:tcBorders>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25,624</w:t>
            </w:r>
          </w:p>
        </w:tc>
        <w:tc>
          <w:tcPr>
            <w:tcW w:w="60" w:type="dxa"/>
            <w:vAlign w:val="bottom"/>
            <w:tcBorders>
              <w:bottom w:val="single" w:sz="8" w:color="D8EEF4"/>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20" w:type="dxa"/>
            <w:vAlign w:val="bottom"/>
            <w:tcBorders>
              <w:bottom w:val="single" w:sz="8" w:color="D8EEF4"/>
            </w:tcBorders>
            <w:shd w:val="clear" w:color="auto" w:fill="D8EEF4"/>
          </w:tcPr>
          <w:p>
            <w:pPr>
              <w:ind w:left="800"/>
              <w:spacing w:after="0"/>
              <w:rPr>
                <w:sz w:val="20"/>
                <w:szCs w:val="20"/>
                <w:color w:val="auto"/>
              </w:rPr>
            </w:pPr>
            <w:r>
              <w:rPr>
                <w:rFonts w:ascii="Times New Roman" w:cs="Times New Roman" w:eastAsia="Times New Roman" w:hAnsi="Times New Roman"/>
                <w:sz w:val="16"/>
                <w:szCs w:val="16"/>
                <w:b w:val="1"/>
                <w:bCs w:val="1"/>
                <w:color w:val="4C4C4E"/>
              </w:rPr>
              <w:t>Increase (Decrease) in Net Assets Resulting from Operations</w:t>
            </w:r>
          </w:p>
        </w:tc>
        <w:tc>
          <w:tcPr>
            <w:tcW w:w="320" w:type="dxa"/>
            <w:vAlign w:val="bottom"/>
            <w:tcBorders>
              <w:bottom w:val="single" w:sz="8" w:color="D8EEF4"/>
            </w:tcBorders>
            <w:shd w:val="clear" w:color="auto" w:fill="D8EEF4"/>
          </w:tcPr>
          <w:p>
            <w:pPr>
              <w:spacing w:after="0"/>
              <w:rPr>
                <w:sz w:val="18"/>
                <w:szCs w:val="18"/>
                <w:color w:val="auto"/>
              </w:rPr>
            </w:pPr>
          </w:p>
        </w:tc>
        <w:tc>
          <w:tcPr>
            <w:tcW w:w="1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170,517</w:t>
            </w:r>
          </w:p>
        </w:tc>
        <w:tc>
          <w:tcPr>
            <w:tcW w:w="12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186,566</w:t>
            </w:r>
          </w:p>
        </w:tc>
        <w:tc>
          <w:tcPr>
            <w:tcW w:w="20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222,023</w:t>
            </w:r>
          </w:p>
        </w:tc>
        <w:tc>
          <w:tcPr>
            <w:tcW w:w="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color w:val="4C4C4E"/>
              </w:rPr>
              <w:t>Earnings per common share—basic and diluted</w:t>
            </w: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20" w:type="dxa"/>
            <w:vAlign w:val="bottom"/>
            <w:tcBorders>
              <w:bottom w:val="single" w:sz="8" w:color="D8EEF4"/>
            </w:tcBorders>
            <w:vMerge w:val="continue"/>
          </w:tcPr>
          <w:p>
            <w:pPr>
              <w:spacing w:after="0"/>
              <w:rPr>
                <w:sz w:val="14"/>
                <w:szCs w:val="14"/>
                <w:color w:val="auto"/>
              </w:rPr>
            </w:pPr>
          </w:p>
        </w:tc>
        <w:tc>
          <w:tcPr>
            <w:tcW w:w="320" w:type="dxa"/>
            <w:vAlign w:val="bottom"/>
            <w:tcBorders>
              <w:bottom w:val="single" w:sz="8" w:color="D8EEF4"/>
            </w:tcBorders>
          </w:tcPr>
          <w:p>
            <w:pPr>
              <w:spacing w:after="0"/>
              <w:rPr>
                <w:sz w:val="14"/>
                <w:szCs w:val="14"/>
                <w:color w:val="auto"/>
              </w:rPr>
            </w:pPr>
          </w:p>
        </w:tc>
        <w:tc>
          <w:tcPr>
            <w:tcW w:w="120" w:type="dxa"/>
            <w:vAlign w:val="bottom"/>
            <w:tcBorders>
              <w:top w:val="single" w:sz="8" w:color="4C4C4E"/>
              <w:bottom w:val="single" w:sz="8" w:color="4C4C4E"/>
            </w:tcBorders>
          </w:tcPr>
          <w:p>
            <w:pPr>
              <w:jc w:val="right"/>
              <w:spacing w:after="0" w:line="163" w:lineRule="exact"/>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Borders>
              <w:top w:val="single" w:sz="8" w:color="4C4C4E"/>
              <w:bottom w:val="single" w:sz="8" w:color="4C4C4E"/>
            </w:tcBorders>
          </w:tcPr>
          <w:p>
            <w:pPr>
              <w:jc w:val="right"/>
              <w:spacing w:after="0" w:line="163" w:lineRule="exact"/>
              <w:rPr>
                <w:sz w:val="20"/>
                <w:szCs w:val="20"/>
                <w:color w:val="auto"/>
              </w:rPr>
            </w:pPr>
            <w:r>
              <w:rPr>
                <w:rFonts w:ascii="Times New Roman" w:cs="Times New Roman" w:eastAsia="Times New Roman" w:hAnsi="Times New Roman"/>
                <w:sz w:val="16"/>
                <w:szCs w:val="16"/>
                <w:color w:val="4C4C4E"/>
              </w:rPr>
              <w:t>1.81</w:t>
            </w:r>
          </w:p>
        </w:tc>
        <w:tc>
          <w:tcPr>
            <w:tcW w:w="120" w:type="dxa"/>
            <w:vAlign w:val="bottom"/>
            <w:tcBorders>
              <w:bottom w:val="single" w:sz="8" w:color="D8EEF4"/>
            </w:tcBorders>
          </w:tcPr>
          <w:p>
            <w:pPr>
              <w:spacing w:after="0"/>
              <w:rPr>
                <w:sz w:val="14"/>
                <w:szCs w:val="14"/>
                <w:color w:val="auto"/>
              </w:rPr>
            </w:pPr>
          </w:p>
        </w:tc>
        <w:tc>
          <w:tcPr>
            <w:tcW w:w="80" w:type="dxa"/>
            <w:vAlign w:val="bottom"/>
            <w:tcBorders>
              <w:bottom w:val="single" w:sz="8" w:color="D8EEF4"/>
            </w:tcBorders>
          </w:tcPr>
          <w:p>
            <w:pPr>
              <w:spacing w:after="0"/>
              <w:rPr>
                <w:sz w:val="14"/>
                <w:szCs w:val="14"/>
                <w:color w:val="auto"/>
              </w:rPr>
            </w:pPr>
          </w:p>
        </w:tc>
        <w:tc>
          <w:tcPr>
            <w:tcW w:w="100" w:type="dxa"/>
            <w:vAlign w:val="bottom"/>
            <w:tcBorders>
              <w:top w:val="single" w:sz="8" w:color="4C4C4E"/>
              <w:bottom w:val="single" w:sz="8" w:color="4C4C4E"/>
            </w:tcBorders>
          </w:tcPr>
          <w:p>
            <w:pPr>
              <w:jc w:val="right"/>
              <w:spacing w:after="0" w:line="163" w:lineRule="exact"/>
              <w:rPr>
                <w:sz w:val="20"/>
                <w:szCs w:val="20"/>
                <w:color w:val="auto"/>
              </w:rPr>
            </w:pPr>
            <w:r>
              <w:rPr>
                <w:rFonts w:ascii="Times New Roman" w:cs="Times New Roman" w:eastAsia="Times New Roman" w:hAnsi="Times New Roman"/>
                <w:sz w:val="16"/>
                <w:szCs w:val="16"/>
                <w:color w:val="4C4C4E"/>
                <w:w w:val="74"/>
              </w:rPr>
              <w:t>$</w:t>
            </w:r>
          </w:p>
        </w:tc>
        <w:tc>
          <w:tcPr>
            <w:tcW w:w="1420" w:type="dxa"/>
            <w:vAlign w:val="bottom"/>
            <w:tcBorders>
              <w:top w:val="single" w:sz="8" w:color="4C4C4E"/>
              <w:bottom w:val="single" w:sz="8" w:color="4C4C4E"/>
            </w:tcBorders>
          </w:tcPr>
          <w:p>
            <w:pPr>
              <w:jc w:val="right"/>
              <w:spacing w:after="0" w:line="163" w:lineRule="exact"/>
              <w:rPr>
                <w:sz w:val="20"/>
                <w:szCs w:val="20"/>
                <w:color w:val="auto"/>
              </w:rPr>
            </w:pPr>
            <w:r>
              <w:rPr>
                <w:rFonts w:ascii="Times New Roman" w:cs="Times New Roman" w:eastAsia="Times New Roman" w:hAnsi="Times New Roman"/>
                <w:sz w:val="16"/>
                <w:szCs w:val="16"/>
                <w:color w:val="4C4C4E"/>
              </w:rPr>
              <w:t>2.03</w:t>
            </w:r>
          </w:p>
        </w:tc>
        <w:tc>
          <w:tcPr>
            <w:tcW w:w="200" w:type="dxa"/>
            <w:vAlign w:val="bottom"/>
            <w:tcBorders>
              <w:bottom w:val="single" w:sz="8" w:color="D8EEF4"/>
            </w:tcBorders>
          </w:tcPr>
          <w:p>
            <w:pPr>
              <w:spacing w:after="0"/>
              <w:rPr>
                <w:sz w:val="14"/>
                <w:szCs w:val="14"/>
                <w:color w:val="auto"/>
              </w:rPr>
            </w:pPr>
          </w:p>
        </w:tc>
        <w:tc>
          <w:tcPr>
            <w:tcW w:w="80" w:type="dxa"/>
            <w:vAlign w:val="bottom"/>
            <w:tcBorders>
              <w:top w:val="single" w:sz="8" w:color="4C4C4E"/>
              <w:bottom w:val="single" w:sz="8" w:color="4C4C4E"/>
            </w:tcBorders>
          </w:tcPr>
          <w:p>
            <w:pPr>
              <w:jc w:val="right"/>
              <w:spacing w:after="0" w:line="163" w:lineRule="exact"/>
              <w:rPr>
                <w:sz w:val="20"/>
                <w:szCs w:val="20"/>
                <w:color w:val="auto"/>
              </w:rPr>
            </w:pPr>
            <w:r>
              <w:rPr>
                <w:rFonts w:ascii="Times New Roman" w:cs="Times New Roman" w:eastAsia="Times New Roman" w:hAnsi="Times New Roman"/>
                <w:sz w:val="16"/>
                <w:szCs w:val="16"/>
                <w:color w:val="4C4C4E"/>
                <w:w w:val="74"/>
              </w:rPr>
              <w:t>$</w:t>
            </w:r>
          </w:p>
        </w:tc>
        <w:tc>
          <w:tcPr>
            <w:tcW w:w="1400" w:type="dxa"/>
            <w:vAlign w:val="bottom"/>
            <w:tcBorders>
              <w:top w:val="single" w:sz="8" w:color="4C4C4E"/>
              <w:bottom w:val="single" w:sz="8" w:color="4C4C4E"/>
            </w:tcBorders>
          </w:tcPr>
          <w:p>
            <w:pPr>
              <w:jc w:val="right"/>
              <w:spacing w:after="0" w:line="163" w:lineRule="exact"/>
              <w:rPr>
                <w:sz w:val="20"/>
                <w:szCs w:val="20"/>
                <w:color w:val="auto"/>
              </w:rPr>
            </w:pPr>
            <w:r>
              <w:rPr>
                <w:rFonts w:ascii="Times New Roman" w:cs="Times New Roman" w:eastAsia="Times New Roman" w:hAnsi="Times New Roman"/>
                <w:sz w:val="16"/>
                <w:szCs w:val="16"/>
                <w:color w:val="4C4C4E"/>
              </w:rPr>
              <w:t>2.61</w:t>
            </w:r>
          </w:p>
        </w:tc>
        <w:tc>
          <w:tcPr>
            <w:tcW w:w="60" w:type="dxa"/>
            <w:vAlign w:val="bottom"/>
            <w:tcBorders>
              <w:bottom w:val="single" w:sz="8" w:color="D8EEF4"/>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42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6"/>
                <w:szCs w:val="16"/>
                <w:color w:val="4C4C4E"/>
              </w:rPr>
              <w:t>Weighted average shares of common stock outstanding—basic and diluted</w:t>
            </w:r>
          </w:p>
        </w:tc>
        <w:tc>
          <w:tcPr>
            <w:tcW w:w="320" w:type="dxa"/>
            <w:vAlign w:val="bottom"/>
            <w:tcBorders>
              <w:bottom w:val="single" w:sz="8" w:color="D8EEF4"/>
            </w:tcBorders>
            <w:shd w:val="clear" w:color="auto" w:fill="D8EEF4"/>
          </w:tcPr>
          <w:p>
            <w:pPr>
              <w:spacing w:after="0"/>
              <w:rPr>
                <w:sz w:val="16"/>
                <w:szCs w:val="16"/>
                <w:color w:val="auto"/>
              </w:rPr>
            </w:pPr>
          </w:p>
        </w:tc>
        <w:tc>
          <w:tcPr>
            <w:tcW w:w="120" w:type="dxa"/>
            <w:vAlign w:val="bottom"/>
            <w:tcBorders>
              <w:bottom w:val="single" w:sz="8" w:color="4C4C4E"/>
            </w:tcBorders>
            <w:shd w:val="clear" w:color="auto" w:fill="D8EEF4"/>
          </w:tcPr>
          <w:p>
            <w:pPr>
              <w:spacing w:after="0"/>
              <w:rPr>
                <w:sz w:val="16"/>
                <w:szCs w:val="16"/>
                <w:color w:val="auto"/>
              </w:rPr>
            </w:pPr>
          </w:p>
        </w:tc>
        <w:tc>
          <w:tcPr>
            <w:tcW w:w="14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94,098,870</w:t>
            </w:r>
          </w:p>
        </w:tc>
        <w:tc>
          <w:tcPr>
            <w:tcW w:w="120" w:type="dxa"/>
            <w:vAlign w:val="bottom"/>
            <w:tcBorders>
              <w:bottom w:val="single" w:sz="8" w:color="D8EEF4"/>
            </w:tcBorders>
            <w:shd w:val="clear" w:color="auto" w:fill="D8EEF4"/>
          </w:tcPr>
          <w:p>
            <w:pPr>
              <w:spacing w:after="0"/>
              <w:rPr>
                <w:sz w:val="16"/>
                <w:szCs w:val="16"/>
                <w:color w:val="auto"/>
              </w:rPr>
            </w:pPr>
          </w:p>
        </w:tc>
        <w:tc>
          <w:tcPr>
            <w:tcW w:w="80" w:type="dxa"/>
            <w:vAlign w:val="bottom"/>
            <w:tcBorders>
              <w:bottom w:val="single" w:sz="8" w:color="D8EEF4"/>
            </w:tcBorders>
            <w:shd w:val="clear" w:color="auto" w:fill="D8EEF4"/>
          </w:tcPr>
          <w:p>
            <w:pPr>
              <w:spacing w:after="0"/>
              <w:rPr>
                <w:sz w:val="16"/>
                <w:szCs w:val="16"/>
                <w:color w:val="auto"/>
              </w:rPr>
            </w:pPr>
          </w:p>
        </w:tc>
        <w:tc>
          <w:tcPr>
            <w:tcW w:w="100" w:type="dxa"/>
            <w:vAlign w:val="bottom"/>
            <w:tcBorders>
              <w:bottom w:val="single" w:sz="8" w:color="4C4C4E"/>
            </w:tcBorders>
            <w:shd w:val="clear" w:color="auto" w:fill="D8EEF4"/>
          </w:tcPr>
          <w:p>
            <w:pPr>
              <w:spacing w:after="0"/>
              <w:rPr>
                <w:sz w:val="16"/>
                <w:szCs w:val="16"/>
                <w:color w:val="auto"/>
              </w:rPr>
            </w:pPr>
          </w:p>
        </w:tc>
        <w:tc>
          <w:tcPr>
            <w:tcW w:w="14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92,035,165</w:t>
            </w:r>
          </w:p>
        </w:tc>
        <w:tc>
          <w:tcPr>
            <w:tcW w:w="200" w:type="dxa"/>
            <w:vAlign w:val="bottom"/>
            <w:tcBorders>
              <w:bottom w:val="single" w:sz="8" w:color="D8EEF4"/>
            </w:tcBorders>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14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85,131,264</w:t>
            </w:r>
          </w:p>
        </w:tc>
        <w:tc>
          <w:tcPr>
            <w:tcW w:w="60" w:type="dxa"/>
            <w:vAlign w:val="bottom"/>
            <w:tcBorders>
              <w:bottom w:val="single" w:sz="8" w:color="D8EEF4"/>
            </w:tcBorders>
            <w:shd w:val="clear" w:color="auto" w:fill="D8EEF4"/>
          </w:tcPr>
          <w:p>
            <w:pPr>
              <w:spacing w:after="0"/>
              <w:rPr>
                <w:sz w:val="16"/>
                <w:szCs w:val="1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F-5</w:t>
      </w:r>
    </w:p>
    <w:p>
      <w:pPr>
        <w:sectPr>
          <w:pgSz w:w="11880" w:h="15480" w:orient="portrait"/>
          <w:cols w:equalWidth="0" w:num="1">
            <w:col w:w="10800"/>
          </w:cols>
          <w:pgMar w:left="540" w:top="746" w:right="540" w:bottom="0" w:gutter="0" w:footer="0" w:header="0"/>
          <w:type w:val="continuous"/>
        </w:sectPr>
      </w:pPr>
    </w:p>
    <w:bookmarkStart w:id="94" w:name="page95"/>
    <w:bookmarkEnd w:id="94"/>
    <w:p>
      <w:pPr>
        <w:jc w:val="center"/>
        <w:ind w:left="1820" w:right="1820"/>
        <w:spacing w:after="0" w:line="257" w:lineRule="auto"/>
        <w:rPr>
          <w:sz w:val="20"/>
          <w:szCs w:val="20"/>
          <w:color w:val="auto"/>
        </w:rPr>
      </w:pPr>
      <w:r>
        <w:rPr>
          <w:rFonts w:ascii="Times New Roman" w:cs="Times New Roman" w:eastAsia="Times New Roman" w:hAnsi="Times New Roman"/>
          <w:sz w:val="20"/>
          <w:szCs w:val="20"/>
          <w:b w:val="1"/>
          <w:bCs w:val="1"/>
          <w:color w:val="4C4C4E"/>
        </w:rPr>
        <w:t>Sixth Street Specialty Lending, Inc. Consolidated Schedule of Investments as of December 31, 2025 (Amounts in thousands, except share amounts) (Unaudited)</w:t>
      </w:r>
    </w:p>
    <w:p>
      <w:pPr>
        <w:sectPr>
          <w:pgSz w:w="11880" w:h="15480" w:orient="portrait"/>
          <w:cols w:equalWidth="0" w:num="1">
            <w:col w:w="9000"/>
          </w:cols>
          <w:pgMar w:left="1440" w:top="74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F-6</w:t>
      </w:r>
    </w:p>
    <w:p>
      <w:pPr>
        <w:sectPr>
          <w:pgSz w:w="11880" w:h="15480" w:orient="portrait"/>
          <w:cols w:equalWidth="0" w:num="1">
            <w:col w:w="9000"/>
          </w:cols>
          <w:pgMar w:left="1440" w:top="746" w:right="1440"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72"/>
        </w:trPr>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4C4C4E"/>
                <w:w w:val="96"/>
              </w:rPr>
              <w:t>Initial</w:t>
            </w:r>
          </w:p>
        </w:tc>
        <w:tc>
          <w:tcPr>
            <w:tcW w:w="2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4C4C4E"/>
                <w:w w:val="99"/>
              </w:rPr>
              <w:t>Reference</w:t>
            </w: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2"/>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4C4C4E"/>
              </w:rPr>
              <w:t>Acquisition</w:t>
            </w:r>
          </w:p>
        </w:tc>
        <w:tc>
          <w:tcPr>
            <w:tcW w:w="2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4C4C4E"/>
              </w:rPr>
              <w:t>Rate and</w:t>
            </w: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4C4C4E"/>
              </w:rPr>
              <w:t>Amortized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b w:val="1"/>
                <w:bCs w:val="1"/>
                <w:color w:val="4C4C4E"/>
              </w:rPr>
              <w:t>Percentage</w:t>
            </w:r>
          </w:p>
        </w:tc>
      </w:tr>
      <w:tr>
        <w:trPr>
          <w:trHeight w:val="190"/>
        </w:trPr>
        <w:tc>
          <w:tcPr>
            <w:tcW w:w="2360" w:type="dxa"/>
            <w:vAlign w:val="bottom"/>
          </w:tcPr>
          <w:p>
            <w:pPr>
              <w:spacing w:after="0" w:line="190" w:lineRule="exact"/>
              <w:rPr>
                <w:sz w:val="20"/>
                <w:szCs w:val="20"/>
                <w:color w:val="auto"/>
              </w:rPr>
            </w:pPr>
            <w:r>
              <w:rPr>
                <w:rFonts w:ascii="Times New Roman" w:cs="Times New Roman" w:eastAsia="Times New Roman" w:hAnsi="Times New Roman"/>
                <w:sz w:val="15"/>
                <w:szCs w:val="15"/>
                <w:b w:val="1"/>
                <w:bCs w:val="1"/>
                <w:color w:val="4C4C4E"/>
              </w:rPr>
              <w:t xml:space="preserve">Company </w:t>
            </w:r>
            <w:r>
              <w:rPr>
                <w:rFonts w:ascii="Times New Roman" w:cs="Times New Roman" w:eastAsia="Times New Roman" w:hAnsi="Times New Roman"/>
                <w:sz w:val="20"/>
                <w:szCs w:val="20"/>
                <w:b w:val="1"/>
                <w:bCs w:val="1"/>
                <w:color w:val="4C4C4E"/>
                <w:vertAlign w:val="superscript"/>
              </w:rPr>
              <w:t>(1)</w:t>
            </w:r>
          </w:p>
        </w:tc>
        <w:tc>
          <w:tcPr>
            <w:tcW w:w="20" w:type="dxa"/>
            <w:vAlign w:val="bottom"/>
          </w:tcPr>
          <w:p>
            <w:pPr>
              <w:spacing w:after="0"/>
              <w:rPr>
                <w:sz w:val="16"/>
                <w:szCs w:val="16"/>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5"/>
                <w:szCs w:val="15"/>
                <w:b w:val="1"/>
                <w:bCs w:val="1"/>
                <w:color w:val="4C4C4E"/>
              </w:rPr>
              <w:t>Investment</w:t>
            </w:r>
          </w:p>
        </w:tc>
        <w:tc>
          <w:tcPr>
            <w:tcW w:w="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4C4C4E"/>
                <w:w w:val="99"/>
              </w:rPr>
              <w:t>Date</w:t>
            </w:r>
          </w:p>
        </w:tc>
        <w:tc>
          <w:tcPr>
            <w:tcW w:w="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4C4C4E"/>
              </w:rPr>
              <w:t>Spread</w:t>
            </w: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4C4C4E"/>
              </w:rPr>
              <w:t>Interest Rate</w:t>
            </w:r>
          </w:p>
        </w:tc>
        <w:tc>
          <w:tcPr>
            <w:tcW w:w="800" w:type="dxa"/>
            <w:vAlign w:val="bottom"/>
          </w:tcPr>
          <w:p>
            <w:pPr>
              <w:jc w:val="right"/>
              <w:ind w:right="6"/>
              <w:spacing w:after="0" w:line="190" w:lineRule="exact"/>
              <w:rPr>
                <w:sz w:val="20"/>
                <w:szCs w:val="20"/>
                <w:color w:val="auto"/>
              </w:rPr>
            </w:pPr>
            <w:r>
              <w:rPr>
                <w:rFonts w:ascii="Times New Roman" w:cs="Times New Roman" w:eastAsia="Times New Roman" w:hAnsi="Times New Roman"/>
                <w:sz w:val="22"/>
                <w:szCs w:val="22"/>
                <w:b w:val="1"/>
                <w:bCs w:val="1"/>
                <w:color w:val="4C4C4E"/>
                <w:vertAlign w:val="subscript"/>
              </w:rPr>
              <w:t>Cost</w:t>
            </w:r>
            <w:r>
              <w:rPr>
                <w:rFonts w:ascii="Times New Roman" w:cs="Times New Roman" w:eastAsia="Times New Roman" w:hAnsi="Times New Roman"/>
                <w:sz w:val="9"/>
                <w:szCs w:val="9"/>
                <w:b w:val="1"/>
                <w:bCs w:val="1"/>
                <w:color w:val="4C4C4E"/>
              </w:rPr>
              <w:t xml:space="preserve"> (2)(7)</w:t>
            </w:r>
          </w:p>
        </w:tc>
        <w:tc>
          <w:tcPr>
            <w:tcW w:w="40" w:type="dxa"/>
            <w:vAlign w:val="bottom"/>
          </w:tcPr>
          <w:p>
            <w:pPr>
              <w:spacing w:after="0"/>
              <w:rPr>
                <w:sz w:val="16"/>
                <w:szCs w:val="16"/>
                <w:color w:val="auto"/>
              </w:rPr>
            </w:pPr>
          </w:p>
        </w:tc>
        <w:tc>
          <w:tcPr>
            <w:tcW w:w="1040" w:type="dxa"/>
            <w:vAlign w:val="bottom"/>
            <w:gridSpan w:val="2"/>
          </w:tcPr>
          <w:p>
            <w:pPr>
              <w:jc w:val="right"/>
              <w:ind w:right="5"/>
              <w:spacing w:after="0" w:line="190" w:lineRule="exact"/>
              <w:rPr>
                <w:sz w:val="20"/>
                <w:szCs w:val="20"/>
                <w:color w:val="auto"/>
              </w:rPr>
            </w:pPr>
            <w:r>
              <w:rPr>
                <w:rFonts w:ascii="Times New Roman" w:cs="Times New Roman" w:eastAsia="Times New Roman" w:hAnsi="Times New Roman"/>
                <w:sz w:val="15"/>
                <w:szCs w:val="15"/>
                <w:b w:val="1"/>
                <w:bCs w:val="1"/>
                <w:color w:val="4C4C4E"/>
              </w:rPr>
              <w:t xml:space="preserve">Fair Value </w:t>
            </w:r>
            <w:r>
              <w:rPr>
                <w:rFonts w:ascii="Times New Roman" w:cs="Times New Roman" w:eastAsia="Times New Roman" w:hAnsi="Times New Roman"/>
                <w:sz w:val="20"/>
                <w:szCs w:val="20"/>
                <w:b w:val="1"/>
                <w:bCs w:val="1"/>
                <w:color w:val="4C4C4E"/>
                <w:vertAlign w:val="superscript"/>
              </w:rPr>
              <w:t>(8)</w:t>
            </w:r>
          </w:p>
        </w:tc>
        <w:tc>
          <w:tcPr>
            <w:tcW w:w="40" w:type="dxa"/>
            <w:vAlign w:val="bottom"/>
          </w:tcPr>
          <w:p>
            <w:pPr>
              <w:spacing w:after="0"/>
              <w:rPr>
                <w:sz w:val="16"/>
                <w:szCs w:val="16"/>
                <w:color w:val="auto"/>
              </w:rPr>
            </w:pPr>
          </w:p>
        </w:tc>
        <w:tc>
          <w:tcPr>
            <w:tcW w:w="100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b w:val="1"/>
                <w:bCs w:val="1"/>
                <w:color w:val="4C4C4E"/>
                <w:w w:val="96"/>
              </w:rPr>
              <w:t>of Net Assets</w:t>
            </w:r>
          </w:p>
        </w:tc>
      </w:tr>
      <w:tr>
        <w:trPr>
          <w:trHeight w:val="181"/>
        </w:trPr>
        <w:tc>
          <w:tcPr>
            <w:tcW w:w="2360" w:type="dxa"/>
            <w:vAlign w:val="bottom"/>
            <w:tcBorders>
              <w:top w:val="single" w:sz="8" w:color="4C4C4E"/>
            </w:tcBorders>
          </w:tcPr>
          <w:p>
            <w:pPr>
              <w:spacing w:after="0"/>
              <w:rPr>
                <w:sz w:val="20"/>
                <w:szCs w:val="20"/>
                <w:color w:val="auto"/>
              </w:rPr>
            </w:pPr>
            <w:r>
              <w:rPr>
                <w:rFonts w:ascii="Times New Roman" w:cs="Times New Roman" w:eastAsia="Times New Roman" w:hAnsi="Times New Roman"/>
                <w:sz w:val="15"/>
                <w:szCs w:val="15"/>
                <w:b w:val="1"/>
                <w:bCs w:val="1"/>
                <w:color w:val="4C4C4E"/>
              </w:rPr>
              <w:t>Debt Investments</w:t>
            </w:r>
          </w:p>
        </w:tc>
        <w:tc>
          <w:tcPr>
            <w:tcW w:w="20" w:type="dxa"/>
            <w:vAlign w:val="bottom"/>
          </w:tcPr>
          <w:p>
            <w:pPr>
              <w:spacing w:after="0"/>
              <w:rPr>
                <w:sz w:val="15"/>
                <w:szCs w:val="15"/>
                <w:color w:val="auto"/>
              </w:rPr>
            </w:pPr>
          </w:p>
        </w:tc>
        <w:tc>
          <w:tcPr>
            <w:tcW w:w="1720" w:type="dxa"/>
            <w:vAlign w:val="bottom"/>
            <w:tcBorders>
              <w:top w:val="single" w:sz="8" w:color="4C4C4E"/>
            </w:tcBorders>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4C4C4E"/>
            </w:tcBorders>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top w:val="single" w:sz="8" w:color="4C4C4E"/>
            </w:tcBorders>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Borders>
              <w:top w:val="single" w:sz="8" w:color="4C4C4E"/>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4C4C4E"/>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4C4C4E"/>
            </w:tcBorders>
          </w:tcPr>
          <w:p>
            <w:pPr>
              <w:spacing w:after="0"/>
              <w:rPr>
                <w:sz w:val="15"/>
                <w:szCs w:val="15"/>
                <w:color w:val="auto"/>
              </w:rPr>
            </w:pPr>
          </w:p>
        </w:tc>
        <w:tc>
          <w:tcPr>
            <w:tcW w:w="880" w:type="dxa"/>
            <w:vAlign w:val="bottom"/>
            <w:tcBorders>
              <w:top w:val="single" w:sz="8" w:color="4C4C4E"/>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top w:val="single" w:sz="8" w:color="4C4C4E"/>
            </w:tcBorders>
          </w:tcPr>
          <w:p>
            <w:pPr>
              <w:spacing w:after="0"/>
              <w:rPr>
                <w:sz w:val="15"/>
                <w:szCs w:val="15"/>
                <w:color w:val="auto"/>
              </w:rPr>
            </w:pPr>
          </w:p>
        </w:tc>
        <w:tc>
          <w:tcPr>
            <w:tcW w:w="160" w:type="dxa"/>
            <w:vAlign w:val="bottom"/>
          </w:tcPr>
          <w:p>
            <w:pPr>
              <w:spacing w:after="0"/>
              <w:rPr>
                <w:sz w:val="15"/>
                <w:szCs w:val="15"/>
                <w:color w:val="auto"/>
              </w:rPr>
            </w:pPr>
          </w:p>
        </w:tc>
      </w:tr>
      <w:tr>
        <w:trPr>
          <w:trHeight w:val="186"/>
        </w:trPr>
        <w:tc>
          <w:tcPr>
            <w:tcW w:w="236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Business Services</w:t>
            </w: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Artisan Bidco, Inc.</w:t>
            </w:r>
            <w:r>
              <w:rPr>
                <w:rFonts w:ascii="Times New Roman" w:cs="Times New Roman" w:eastAsia="Times New Roman" w:hAnsi="Times New Roman"/>
                <w:sz w:val="19"/>
                <w:szCs w:val="19"/>
                <w:color w:val="4C4C4E"/>
                <w:vertAlign w:val="superscript"/>
              </w:rPr>
              <w:t>(3)</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($38,438 par,</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11/7/2023</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10.94%</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   37,903</w:t>
            </w:r>
          </w:p>
        </w:tc>
        <w:tc>
          <w:tcPr>
            <w:tcW w:w="2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38,245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due 11/2029)</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17,380</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11/7/2023</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E + 7.00%</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9.03%</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18,414</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20,310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par, due 11/2029)</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98"/>
              </w:rPr>
              <w:t>(EUR 17,293)</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11/7/2023</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10.95%</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4,214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4,259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($4,287 par, due 11/2029)</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Azurite Intermediate Holdings, Inc. </w:t>
            </w:r>
            <w:r>
              <w:rPr>
                <w:rFonts w:ascii="Times New Roman" w:cs="Times New Roman" w:eastAsia="Times New Roman" w:hAnsi="Times New Roman"/>
                <w:sz w:val="19"/>
                <w:szCs w:val="19"/>
                <w:color w:val="4C4C4E"/>
                <w:vertAlign w:val="superscript"/>
              </w:rPr>
              <w:t>(3)</w:t>
            </w: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($42,750 par,</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3/19/2024</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+ 6.00%</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9.72%</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42,138</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42,988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due 3/2031)</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BCTO Ignition Purchaser, Inc. </w:t>
            </w:r>
            <w:r>
              <w:rPr>
                <w:rFonts w:ascii="Times New Roman" w:cs="Times New Roman" w:eastAsia="Times New Roman" w:hAnsi="Times New Roman"/>
                <w:sz w:val="19"/>
                <w:szCs w:val="19"/>
                <w:color w:val="4C4C4E"/>
                <w:vertAlign w:val="superscript"/>
              </w:rPr>
              <w:t>(3)</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holdco loan</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4/18/2023</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+ 7.50%</w:t>
            </w:r>
          </w:p>
        </w:tc>
        <w:tc>
          <w:tcPr>
            <w:tcW w:w="182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5"/>
                <w:szCs w:val="15"/>
                <w:color w:val="4C4C4E"/>
              </w:rPr>
              <w:t>11.37% PIK</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53,519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55,388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($54,435 par, due 10/2030)</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Crewline Buyer, Inc.</w:t>
            </w:r>
            <w:r>
              <w:rPr>
                <w:rFonts w:ascii="Times New Roman" w:cs="Times New Roman" w:eastAsia="Times New Roman" w:hAnsi="Times New Roman"/>
                <w:sz w:val="19"/>
                <w:szCs w:val="19"/>
                <w:color w:val="4C4C4E"/>
                <w:vertAlign w:val="superscript"/>
              </w:rPr>
              <w:t>(3)</w:t>
            </w: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($58,384 par,</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11/8/2023</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+ 6.75%</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10.59%</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57,145</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58,705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due 11/2030)</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Dye &amp; Durham Corp. </w:t>
            </w:r>
            <w:r>
              <w:rPr>
                <w:rFonts w:ascii="Times New Roman" w:cs="Times New Roman" w:eastAsia="Times New Roman" w:hAnsi="Times New Roman"/>
                <w:sz w:val="19"/>
                <w:szCs w:val="19"/>
                <w:color w:val="4C4C4E"/>
                <w:vertAlign w:val="superscript"/>
              </w:rPr>
              <w:t>(3)(4)(9)</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($945 par,</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4/4/2024</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+ 4.35%</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8.02%</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due 4/2031)</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Elements Finco Limited </w:t>
            </w:r>
            <w:r>
              <w:rPr>
                <w:rFonts w:ascii="Times New Roman" w:cs="Times New Roman" w:eastAsia="Times New Roman" w:hAnsi="Times New Roman"/>
                <w:sz w:val="19"/>
                <w:szCs w:val="19"/>
                <w:color w:val="4C4C4E"/>
                <w:vertAlign w:val="superscript"/>
              </w:rPr>
              <w:t>(3)(4)</w:t>
            </w: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($2,270 par,</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4/29/2024</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20" w:type="dxa"/>
            <w:vAlign w:val="bottom"/>
            <w:gridSpan w:val="2"/>
            <w:shd w:val="clear" w:color="auto" w:fill="D8EEF4"/>
          </w:tcPr>
          <w:p>
            <w:pPr>
              <w:jc w:val="right"/>
              <w:ind w:right="180"/>
              <w:spacing w:after="0" w:line="171" w:lineRule="exact"/>
              <w:rPr>
                <w:sz w:val="20"/>
                <w:szCs w:val="20"/>
                <w:color w:val="auto"/>
              </w:rPr>
            </w:pPr>
            <w:r>
              <w:rPr>
                <w:rFonts w:ascii="Times New Roman" w:cs="Times New Roman" w:eastAsia="Times New Roman" w:hAnsi="Times New Roman"/>
                <w:sz w:val="15"/>
                <w:szCs w:val="15"/>
                <w:color w:val="4C4C4E"/>
              </w:rPr>
              <w:t>8.97% (incl. 2.25 % PIK)</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2,256</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2,293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due 4/2031)</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($1,848 par,</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4/29/2024</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8.72%</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1,841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1,858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due 4/2031)</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(GBP 10,529</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4/29/2024</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 + 5.50%</w:t>
            </w:r>
          </w:p>
        </w:tc>
        <w:tc>
          <w:tcPr>
            <w:tcW w:w="1820" w:type="dxa"/>
            <w:vAlign w:val="bottom"/>
            <w:gridSpan w:val="2"/>
            <w:shd w:val="clear" w:color="auto" w:fill="D8EEF4"/>
          </w:tcPr>
          <w:p>
            <w:pPr>
              <w:jc w:val="right"/>
              <w:ind w:right="180"/>
              <w:spacing w:after="0" w:line="171" w:lineRule="exact"/>
              <w:rPr>
                <w:sz w:val="20"/>
                <w:szCs w:val="20"/>
                <w:color w:val="auto"/>
              </w:rPr>
            </w:pPr>
            <w:r>
              <w:rPr>
                <w:rFonts w:ascii="Times New Roman" w:cs="Times New Roman" w:eastAsia="Times New Roman" w:hAnsi="Times New Roman"/>
                <w:sz w:val="15"/>
                <w:szCs w:val="15"/>
                <w:color w:val="4C4C4E"/>
              </w:rPr>
              <w:t>9.23% (incl. 2.50% PIK)</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13,101</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14,338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0.9%</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par, due 4/2031)</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99"/>
              </w:rPr>
              <w:t>(GBP 10,660)</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ExtraHop Networks, Inc. </w:t>
            </w:r>
            <w:r>
              <w:rPr>
                <w:rFonts w:ascii="Times New Roman" w:cs="Times New Roman" w:eastAsia="Times New Roman" w:hAnsi="Times New Roman"/>
                <w:sz w:val="19"/>
                <w:szCs w:val="19"/>
                <w:color w:val="4C4C4E"/>
                <w:vertAlign w:val="superscript"/>
              </w:rPr>
              <w:t>(3)(5)</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($76,301 par,</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7/22/2021</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+ 6.60%</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10.32%</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75,851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76,492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4.7%</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due 7/2027)</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7/22/2021</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+ 6.60%</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10.33%</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657</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672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($669 par, due 7/2027)</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Galileo Parent, Inc. </w:t>
            </w:r>
            <w:r>
              <w:rPr>
                <w:rFonts w:ascii="Times New Roman" w:cs="Times New Roman" w:eastAsia="Times New Roman" w:hAnsi="Times New Roman"/>
                <w:sz w:val="19"/>
                <w:szCs w:val="19"/>
                <w:color w:val="4C4C4E"/>
                <w:vertAlign w:val="superscript"/>
              </w:rPr>
              <w:t>(3)</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($63,444 par,</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5/3/2023</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9.42%</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62,098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64,078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due 5/2030)</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5/3/2023</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9.42%</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6,466</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6,736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($6,635 par, due 5/2030)</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Lynx BidCo </w:t>
            </w:r>
            <w:r>
              <w:rPr>
                <w:rFonts w:ascii="Times New Roman" w:cs="Times New Roman" w:eastAsia="Times New Roman" w:hAnsi="Times New Roman"/>
                <w:sz w:val="19"/>
                <w:szCs w:val="19"/>
                <w:color w:val="4C4C4E"/>
                <w:vertAlign w:val="superscript"/>
              </w:rPr>
              <w:t>(3)(4)</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($1,523 par,</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7/5/2024</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10.17%</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1,415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1,467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due 7/2031)</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23,956</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7/5/2024</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E + 6.50%</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8.52%</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27,370</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27,875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par, due 7/2031)</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98"/>
              </w:rPr>
              <w:t>(EUR 23,735)</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Mitnick Corporate Purchaser, Inc. </w:t>
            </w:r>
            <w:r>
              <w:rPr>
                <w:rFonts w:ascii="Times New Roman" w:cs="Times New Roman" w:eastAsia="Times New Roman" w:hAnsi="Times New Roman"/>
                <w:sz w:val="19"/>
                <w:szCs w:val="19"/>
                <w:color w:val="4C4C4E"/>
                <w:vertAlign w:val="superscript"/>
              </w:rPr>
              <w:t>(3)(9)</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($323 par,</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5/2/2022</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+ 4.85%</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8.69%</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due 5/2029)</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Price Fx Inc. </w:t>
            </w:r>
            <w:r>
              <w:rPr>
                <w:rFonts w:ascii="Times New Roman" w:cs="Times New Roman" w:eastAsia="Times New Roman" w:hAnsi="Times New Roman"/>
                <w:sz w:val="19"/>
                <w:szCs w:val="19"/>
                <w:color w:val="4C4C4E"/>
                <w:vertAlign w:val="superscript"/>
              </w:rPr>
              <w:t>(3)(4)</w:t>
            </w: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910</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10/27/2023</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E + 7.00%</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9.08%</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970</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par, due 10/2029)</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926)</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910</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12/19/2024</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E + 6.25%</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8.33%</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1,079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par, due 10/2029)</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919)</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USA DeBusk, LLC </w:t>
            </w:r>
            <w:r>
              <w:rPr>
                <w:rFonts w:ascii="Times New Roman" w:cs="Times New Roman" w:eastAsia="Times New Roman" w:hAnsi="Times New Roman"/>
                <w:sz w:val="19"/>
                <w:szCs w:val="19"/>
                <w:color w:val="4C4C4E"/>
                <w:vertAlign w:val="superscript"/>
              </w:rPr>
              <w:t>(3)</w:t>
            </w: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($8,322 par,</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4/30/2024</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9.00%</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8,212</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8,374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0.5%</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due 4/2031)</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4/30/2024</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9.06%</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908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($901 par, due 4/2030)</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Wrangler TopCo, LLC </w:t>
            </w:r>
            <w:r>
              <w:rPr>
                <w:rFonts w:ascii="Times New Roman" w:cs="Times New Roman" w:eastAsia="Times New Roman" w:hAnsi="Times New Roman"/>
                <w:sz w:val="19"/>
                <w:szCs w:val="19"/>
                <w:color w:val="4C4C4E"/>
                <w:vertAlign w:val="superscript"/>
              </w:rPr>
              <w:t>(3)</w:t>
            </w: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($5,970 par,</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7/7/2023</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9.49%</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5,876</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6,038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due 9/2029)</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tcBorders>
              <w:bottom w:val="single" w:sz="8" w:color="4C4C4E"/>
            </w:tcBorders>
            <w:shd w:val="clear" w:color="auto" w:fill="D8EEF4"/>
          </w:tcPr>
          <w:p>
            <w:pPr>
              <w:spacing w:after="0"/>
              <w:rPr>
                <w:sz w:val="16"/>
                <w:szCs w:val="16"/>
                <w:color w:val="auto"/>
              </w:rPr>
            </w:pPr>
          </w:p>
        </w:tc>
        <w:tc>
          <w:tcPr>
            <w:tcW w:w="88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81"/>
        </w:trPr>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422,516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434,265</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27.0%</w:t>
            </w:r>
          </w:p>
        </w:tc>
      </w:tr>
      <w:tr>
        <w:trPr>
          <w:trHeight w:val="181"/>
        </w:trPr>
        <w:tc>
          <w:tcPr>
            <w:tcW w:w="236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Chemicals</w:t>
            </w:r>
          </w:p>
        </w:tc>
        <w:tc>
          <w:tcPr>
            <w:tcW w:w="20" w:type="dxa"/>
            <w:vAlign w:val="bottom"/>
            <w:tcBorders>
              <w:top w:val="single" w:sz="8" w:color="D8EEF4"/>
            </w:tcBorders>
            <w:shd w:val="clear" w:color="auto" w:fill="D8EEF4"/>
          </w:tcPr>
          <w:p>
            <w:pPr>
              <w:spacing w:after="0"/>
              <w:rPr>
                <w:sz w:val="15"/>
                <w:szCs w:val="15"/>
                <w:color w:val="auto"/>
              </w:rPr>
            </w:pPr>
          </w:p>
        </w:tc>
        <w:tc>
          <w:tcPr>
            <w:tcW w:w="17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76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08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166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4C4C4E"/>
            </w:tcBorders>
            <w:shd w:val="clear" w:color="auto" w:fill="D8EEF4"/>
          </w:tcPr>
          <w:p>
            <w:pPr>
              <w:spacing w:after="0"/>
              <w:rPr>
                <w:sz w:val="15"/>
                <w:szCs w:val="15"/>
                <w:color w:val="auto"/>
              </w:rPr>
            </w:pPr>
          </w:p>
        </w:tc>
        <w:tc>
          <w:tcPr>
            <w:tcW w:w="88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Erling Lux Bidco SARL </w:t>
            </w:r>
            <w:r>
              <w:rPr>
                <w:rFonts w:ascii="Times New Roman" w:cs="Times New Roman" w:eastAsia="Times New Roman" w:hAnsi="Times New Roman"/>
                <w:sz w:val="19"/>
                <w:szCs w:val="19"/>
                <w:color w:val="4C4C4E"/>
                <w:vertAlign w:val="superscript"/>
              </w:rPr>
              <w:t>(3)(4)</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11,549</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9/6/2022</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E + 7.00%</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9.07%</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11,630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13,809</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0.9%</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par, due 9/2028)</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4C4C4E"/>
                <w:w w:val="98"/>
              </w:rPr>
              <w:t>(EUR 11,758)</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(GBP 19,592</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9/6/2022</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 + 7.00%</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10.73%</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23,151</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26,681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par, due 9/2028)</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99"/>
              </w:rPr>
              <w:t>(GBP 19,836)</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(NOK 7,427</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9/6/2022</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N + 7.00%</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11.23%</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712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745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par, due 9/2028)</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(NOK 7,520)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9/6/2022</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 + 7.00%</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10.73%</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730</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807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(GBP 593 par, due 9/2028)</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tcBorders>
              <w:bottom w:val="single" w:sz="8" w:color="4C4C4E"/>
            </w:tcBorders>
            <w:shd w:val="clear" w:color="auto" w:fill="D8EEF4"/>
          </w:tcPr>
          <w:p>
            <w:pPr>
              <w:spacing w:after="0"/>
              <w:rPr>
                <w:sz w:val="16"/>
                <w:szCs w:val="16"/>
                <w:color w:val="auto"/>
              </w:rPr>
            </w:pPr>
          </w:p>
        </w:tc>
        <w:tc>
          <w:tcPr>
            <w:tcW w:w="8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(GBP 600)</w:t>
            </w:r>
          </w:p>
        </w:tc>
        <w:tc>
          <w:tcPr>
            <w:tcW w:w="40" w:type="dxa"/>
            <w:vAlign w:val="bottom"/>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81"/>
        </w:trPr>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36,223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42,042</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2.6%</w:t>
            </w:r>
          </w:p>
        </w:tc>
      </w:tr>
      <w:tr>
        <w:trPr>
          <w:trHeight w:val="181"/>
        </w:trPr>
        <w:tc>
          <w:tcPr>
            <w:tcW w:w="236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Communications</w:t>
            </w:r>
          </w:p>
        </w:tc>
        <w:tc>
          <w:tcPr>
            <w:tcW w:w="20" w:type="dxa"/>
            <w:vAlign w:val="bottom"/>
            <w:tcBorders>
              <w:top w:val="single" w:sz="8" w:color="D8EEF4"/>
            </w:tcBorders>
            <w:shd w:val="clear" w:color="auto" w:fill="D8EEF4"/>
          </w:tcPr>
          <w:p>
            <w:pPr>
              <w:spacing w:after="0"/>
              <w:rPr>
                <w:sz w:val="15"/>
                <w:szCs w:val="15"/>
                <w:color w:val="auto"/>
              </w:rPr>
            </w:pPr>
          </w:p>
        </w:tc>
        <w:tc>
          <w:tcPr>
            <w:tcW w:w="17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76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08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166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4C4C4E"/>
            </w:tcBorders>
            <w:shd w:val="clear" w:color="auto" w:fill="D8EEF4"/>
          </w:tcPr>
          <w:p>
            <w:pPr>
              <w:spacing w:after="0"/>
              <w:rPr>
                <w:sz w:val="15"/>
                <w:szCs w:val="15"/>
                <w:color w:val="auto"/>
              </w:rPr>
            </w:pPr>
          </w:p>
        </w:tc>
        <w:tc>
          <w:tcPr>
            <w:tcW w:w="88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Aurelia Netherlands B.V. </w:t>
            </w:r>
            <w:r>
              <w:rPr>
                <w:rFonts w:ascii="Times New Roman" w:cs="Times New Roman" w:eastAsia="Times New Roman" w:hAnsi="Times New Roman"/>
                <w:sz w:val="19"/>
                <w:szCs w:val="19"/>
                <w:color w:val="4C4C4E"/>
                <w:vertAlign w:val="superscript"/>
              </w:rPr>
              <w:t>(3)(4)</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32,904</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5/22/2024</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E + 4.75%</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6.78%</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35,003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38,837</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par, due 5/2031)</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4C4C4E"/>
                <w:w w:val="98"/>
              </w:rPr>
              <w:t>(EUR 33,068)</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X Holdings Inc. </w:t>
            </w:r>
            <w:r>
              <w:rPr>
                <w:rFonts w:ascii="Times New Roman" w:cs="Times New Roman" w:eastAsia="Times New Roman" w:hAnsi="Times New Roman"/>
                <w:sz w:val="19"/>
                <w:szCs w:val="19"/>
                <w:color w:val="4C4C4E"/>
                <w:vertAlign w:val="superscript"/>
              </w:rPr>
              <w:t>(9)</w:t>
            </w: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($9,338 par,</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2/5/2025</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+ 6.75%</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10.45%</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9,098</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9,164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0.6%</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due 10/2029) </w:t>
            </w:r>
            <w:r>
              <w:rPr>
                <w:rFonts w:ascii="Times New Roman" w:cs="Times New Roman" w:eastAsia="Times New Roman" w:hAnsi="Times New Roman"/>
                <w:sz w:val="20"/>
                <w:szCs w:val="20"/>
                <w:color w:val="4C4C4E"/>
                <w:vertAlign w:val="superscript"/>
              </w:rPr>
              <w:t>(3)</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($988 par,</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4/28/2025</w:t>
            </w:r>
          </w:p>
        </w:tc>
        <w:tc>
          <w:tcPr>
            <w:tcW w:w="1260" w:type="dxa"/>
            <w:vAlign w:val="bottom"/>
            <w:gridSpan w:val="3"/>
          </w:tcPr>
          <w:p>
            <w:pPr>
              <w:jc w:val="right"/>
              <w:ind w:right="20"/>
              <w:spacing w:after="0" w:line="171" w:lineRule="exact"/>
              <w:rPr>
                <w:sz w:val="20"/>
                <w:szCs w:val="20"/>
                <w:color w:val="auto"/>
              </w:rPr>
            </w:pPr>
            <w:r>
              <w:rPr>
                <w:rFonts w:ascii="Times New Roman" w:cs="Times New Roman" w:eastAsia="Times New Roman" w:hAnsi="Times New Roman"/>
                <w:sz w:val="15"/>
                <w:szCs w:val="15"/>
                <w:color w:val="4C4C4E"/>
              </w:rPr>
              <w:t>9.50%</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9.50%</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971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60" w:type="dxa"/>
            <w:vAlign w:val="bottom"/>
            <w:tcBorders>
              <w:bottom w:val="single" w:sz="8" w:color="D8EEF4"/>
            </w:tcBorders>
          </w:tcPr>
          <w:p>
            <w:pPr>
              <w:spacing w:after="0"/>
              <w:rPr>
                <w:sz w:val="16"/>
                <w:szCs w:val="16"/>
                <w:color w:val="auto"/>
              </w:rPr>
            </w:pPr>
          </w:p>
        </w:tc>
        <w:tc>
          <w:tcPr>
            <w:tcW w:w="20" w:type="dxa"/>
            <w:vAlign w:val="bottom"/>
            <w:tcBorders>
              <w:bottom w:val="single" w:sz="8" w:color="D8EEF4"/>
            </w:tcBorders>
          </w:tcPr>
          <w:p>
            <w:pPr>
              <w:spacing w:after="0"/>
              <w:rPr>
                <w:sz w:val="16"/>
                <w:szCs w:val="16"/>
                <w:color w:val="auto"/>
              </w:rPr>
            </w:pPr>
          </w:p>
        </w:tc>
        <w:tc>
          <w:tcPr>
            <w:tcW w:w="17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5"/>
                <w:szCs w:val="15"/>
                <w:color w:val="4C4C4E"/>
              </w:rPr>
              <w:t>due 10/2029)</w:t>
            </w:r>
          </w:p>
        </w:tc>
        <w:tc>
          <w:tcPr>
            <w:tcW w:w="20" w:type="dxa"/>
            <w:vAlign w:val="bottom"/>
            <w:tcBorders>
              <w:bottom w:val="single" w:sz="8" w:color="D8EEF4"/>
            </w:tcBorders>
          </w:tcPr>
          <w:p>
            <w:pPr>
              <w:spacing w:after="0"/>
              <w:rPr>
                <w:sz w:val="16"/>
                <w:szCs w:val="16"/>
                <w:color w:val="auto"/>
              </w:rPr>
            </w:pPr>
          </w:p>
        </w:tc>
        <w:tc>
          <w:tcPr>
            <w:tcW w:w="760" w:type="dxa"/>
            <w:vAlign w:val="bottom"/>
            <w:tcBorders>
              <w:bottom w:val="single" w:sz="8" w:color="D8EEF4"/>
            </w:tcBorders>
          </w:tcPr>
          <w:p>
            <w:pPr>
              <w:spacing w:after="0"/>
              <w:rPr>
                <w:sz w:val="16"/>
                <w:szCs w:val="16"/>
                <w:color w:val="auto"/>
              </w:rPr>
            </w:pPr>
          </w:p>
        </w:tc>
        <w:tc>
          <w:tcPr>
            <w:tcW w:w="20" w:type="dxa"/>
            <w:vAlign w:val="bottom"/>
            <w:tcBorders>
              <w:bottom w:val="single" w:sz="8" w:color="D8EEF4"/>
            </w:tcBorders>
          </w:tcPr>
          <w:p>
            <w:pPr>
              <w:spacing w:after="0"/>
              <w:rPr>
                <w:sz w:val="16"/>
                <w:szCs w:val="16"/>
                <w:color w:val="auto"/>
              </w:rPr>
            </w:pPr>
          </w:p>
        </w:tc>
        <w:tc>
          <w:tcPr>
            <w:tcW w:w="1080" w:type="dxa"/>
            <w:vAlign w:val="bottom"/>
            <w:tcBorders>
              <w:bottom w:val="single" w:sz="8" w:color="D8EEF4"/>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1660" w:type="dxa"/>
            <w:vAlign w:val="bottom"/>
            <w:tcBorders>
              <w:bottom w:val="single" w:sz="8" w:color="D8EEF4"/>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80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60" w:type="dxa"/>
            <w:vAlign w:val="bottom"/>
            <w:tcBorders>
              <w:bottom w:val="single" w:sz="8" w:color="4C4C4E"/>
            </w:tcBorders>
          </w:tcPr>
          <w:p>
            <w:pPr>
              <w:spacing w:after="0"/>
              <w:rPr>
                <w:sz w:val="16"/>
                <w:szCs w:val="16"/>
                <w:color w:val="auto"/>
              </w:rPr>
            </w:pPr>
          </w:p>
        </w:tc>
        <w:tc>
          <w:tcPr>
            <w:tcW w:w="88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181"/>
        </w:trPr>
        <w:tc>
          <w:tcPr>
            <w:tcW w:w="2360" w:type="dxa"/>
            <w:vAlign w:val="bottom"/>
            <w:shd w:val="clear" w:color="auto" w:fill="D8EEF4"/>
          </w:tcPr>
          <w:p>
            <w:pPr>
              <w:spacing w:after="0"/>
              <w:rPr>
                <w:sz w:val="15"/>
                <w:szCs w:val="15"/>
                <w:color w:val="auto"/>
              </w:rPr>
            </w:pPr>
          </w:p>
        </w:tc>
        <w:tc>
          <w:tcPr>
            <w:tcW w:w="20" w:type="dxa"/>
            <w:vAlign w:val="bottom"/>
            <w:shd w:val="clear" w:color="auto" w:fill="D8EEF4"/>
          </w:tcPr>
          <w:p>
            <w:pPr>
              <w:spacing w:after="0"/>
              <w:rPr>
                <w:sz w:val="15"/>
                <w:szCs w:val="15"/>
                <w:color w:val="auto"/>
              </w:rPr>
            </w:pPr>
          </w:p>
        </w:tc>
        <w:tc>
          <w:tcPr>
            <w:tcW w:w="1720" w:type="dxa"/>
            <w:vAlign w:val="bottom"/>
            <w:shd w:val="clear" w:color="auto" w:fill="D8EEF4"/>
          </w:tcPr>
          <w:p>
            <w:pPr>
              <w:spacing w:after="0"/>
              <w:rPr>
                <w:sz w:val="15"/>
                <w:szCs w:val="15"/>
                <w:color w:val="auto"/>
              </w:rPr>
            </w:pPr>
          </w:p>
        </w:tc>
        <w:tc>
          <w:tcPr>
            <w:tcW w:w="20" w:type="dxa"/>
            <w:vAlign w:val="bottom"/>
            <w:shd w:val="clear" w:color="auto" w:fill="D8EEF4"/>
          </w:tcPr>
          <w:p>
            <w:pPr>
              <w:spacing w:after="0"/>
              <w:rPr>
                <w:sz w:val="15"/>
                <w:szCs w:val="15"/>
                <w:color w:val="auto"/>
              </w:rPr>
            </w:pPr>
          </w:p>
        </w:tc>
        <w:tc>
          <w:tcPr>
            <w:tcW w:w="760" w:type="dxa"/>
            <w:vAlign w:val="bottom"/>
            <w:shd w:val="clear" w:color="auto" w:fill="D8EEF4"/>
          </w:tcPr>
          <w:p>
            <w:pPr>
              <w:spacing w:after="0"/>
              <w:rPr>
                <w:sz w:val="15"/>
                <w:szCs w:val="15"/>
                <w:color w:val="auto"/>
              </w:rPr>
            </w:pPr>
          </w:p>
        </w:tc>
        <w:tc>
          <w:tcPr>
            <w:tcW w:w="20" w:type="dxa"/>
            <w:vAlign w:val="bottom"/>
            <w:shd w:val="clear" w:color="auto" w:fill="D8EEF4"/>
          </w:tcPr>
          <w:p>
            <w:pPr>
              <w:spacing w:after="0"/>
              <w:rPr>
                <w:sz w:val="15"/>
                <w:szCs w:val="15"/>
                <w:color w:val="auto"/>
              </w:rPr>
            </w:pPr>
          </w:p>
        </w:tc>
        <w:tc>
          <w:tcPr>
            <w:tcW w:w="1080" w:type="dxa"/>
            <w:vAlign w:val="bottom"/>
            <w:shd w:val="clear" w:color="auto" w:fill="D8EEF4"/>
          </w:tcPr>
          <w:p>
            <w:pPr>
              <w:spacing w:after="0"/>
              <w:rPr>
                <w:sz w:val="15"/>
                <w:szCs w:val="15"/>
                <w:color w:val="auto"/>
              </w:rPr>
            </w:pPr>
          </w:p>
        </w:tc>
        <w:tc>
          <w:tcPr>
            <w:tcW w:w="160" w:type="dxa"/>
            <w:vAlign w:val="bottom"/>
            <w:shd w:val="clear" w:color="auto" w:fill="D8EEF4"/>
          </w:tcPr>
          <w:p>
            <w:pPr>
              <w:spacing w:after="0"/>
              <w:rPr>
                <w:sz w:val="15"/>
                <w:szCs w:val="15"/>
                <w:color w:val="auto"/>
              </w:rPr>
            </w:pPr>
          </w:p>
        </w:tc>
        <w:tc>
          <w:tcPr>
            <w:tcW w:w="1660" w:type="dxa"/>
            <w:vAlign w:val="bottom"/>
            <w:shd w:val="clear" w:color="auto" w:fill="D8EEF4"/>
          </w:tcPr>
          <w:p>
            <w:pPr>
              <w:spacing w:after="0"/>
              <w:rPr>
                <w:sz w:val="15"/>
                <w:szCs w:val="15"/>
                <w:color w:val="auto"/>
              </w:rPr>
            </w:pPr>
          </w:p>
        </w:tc>
        <w:tc>
          <w:tcPr>
            <w:tcW w:w="160" w:type="dxa"/>
            <w:vAlign w:val="bottom"/>
            <w:shd w:val="clear" w:color="auto" w:fill="D8EEF4"/>
          </w:tcPr>
          <w:p>
            <w:pPr>
              <w:spacing w:after="0"/>
              <w:rPr>
                <w:sz w:val="15"/>
                <w:szCs w:val="15"/>
                <w:color w:val="auto"/>
              </w:rPr>
            </w:pPr>
          </w:p>
        </w:tc>
        <w:tc>
          <w:tcPr>
            <w:tcW w:w="8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45,072</w:t>
            </w:r>
          </w:p>
        </w:tc>
        <w:tc>
          <w:tcPr>
            <w:tcW w:w="40" w:type="dxa"/>
            <w:vAlign w:val="bottom"/>
            <w:shd w:val="clear" w:color="auto" w:fill="D8EEF4"/>
          </w:tcPr>
          <w:p>
            <w:pPr>
              <w:spacing w:after="0"/>
              <w:rPr>
                <w:sz w:val="15"/>
                <w:szCs w:val="15"/>
                <w:color w:val="auto"/>
              </w:rPr>
            </w:pPr>
          </w:p>
        </w:tc>
        <w:tc>
          <w:tcPr>
            <w:tcW w:w="160" w:type="dxa"/>
            <w:vAlign w:val="bottom"/>
            <w:tcBorders>
              <w:bottom w:val="single" w:sz="8" w:color="4C4C4E"/>
            </w:tcBorders>
            <w:shd w:val="clear" w:color="auto" w:fill="D8EEF4"/>
          </w:tcPr>
          <w:p>
            <w:pPr>
              <w:spacing w:after="0"/>
              <w:rPr>
                <w:sz w:val="15"/>
                <w:szCs w:val="15"/>
                <w:color w:val="auto"/>
              </w:rPr>
            </w:pPr>
          </w:p>
        </w:tc>
        <w:tc>
          <w:tcPr>
            <w:tcW w:w="8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48,985</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3.0</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81"/>
        </w:trPr>
        <w:tc>
          <w:tcPr>
            <w:tcW w:w="236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Education</w:t>
            </w: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236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Astra Acquisition Corp. </w:t>
            </w:r>
            <w:r>
              <w:rPr>
                <w:rFonts w:ascii="Times New Roman" w:cs="Times New Roman" w:eastAsia="Times New Roman" w:hAnsi="Times New Roman"/>
                <w:sz w:val="19"/>
                <w:szCs w:val="19"/>
                <w:color w:val="4C4C4E"/>
                <w:vertAlign w:val="superscript"/>
              </w:rPr>
              <w:t>(3)(14)</w:t>
            </w: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Second-lien loan ($40,084</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10/22/2021</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P + 9.88%</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16.63%</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39,489</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par, due 10/2029)</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6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EMS Linq, Inc. </w:t>
            </w:r>
            <w:r>
              <w:rPr>
                <w:rFonts w:ascii="Times New Roman" w:cs="Times New Roman" w:eastAsia="Times New Roman" w:hAnsi="Times New Roman"/>
                <w:sz w:val="19"/>
                <w:szCs w:val="19"/>
                <w:color w:val="4C4C4E"/>
                <w:vertAlign w:val="superscript"/>
              </w:rPr>
              <w:t>(3)</w:t>
            </w:r>
          </w:p>
        </w:tc>
        <w:tc>
          <w:tcPr>
            <w:tcW w:w="20" w:type="dxa"/>
            <w:vAlign w:val="bottom"/>
          </w:tcPr>
          <w:p>
            <w:pPr>
              <w:spacing w:after="0"/>
              <w:rPr>
                <w:sz w:val="14"/>
                <w:szCs w:val="14"/>
                <w:color w:val="auto"/>
              </w:rPr>
            </w:pPr>
          </w:p>
        </w:tc>
        <w:tc>
          <w:tcPr>
            <w:tcW w:w="1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($56,216 par,</w:t>
            </w:r>
          </w:p>
        </w:tc>
        <w:tc>
          <w:tcPr>
            <w:tcW w:w="7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12/22/2021</w:t>
            </w:r>
          </w:p>
        </w:tc>
        <w:tc>
          <w:tcPr>
            <w:tcW w:w="20" w:type="dxa"/>
            <w:vAlign w:val="bottom"/>
          </w:tcPr>
          <w:p>
            <w:pPr>
              <w:spacing w:after="0"/>
              <w:rPr>
                <w:sz w:val="14"/>
                <w:szCs w:val="14"/>
                <w:color w:val="auto"/>
              </w:rPr>
            </w:pPr>
          </w:p>
        </w:tc>
        <w:tc>
          <w:tcPr>
            <w:tcW w:w="124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+ 6.35%</w:t>
            </w:r>
          </w:p>
        </w:tc>
        <w:tc>
          <w:tcPr>
            <w:tcW w:w="182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10.07%</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55,773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55,232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w:t>
            </w:r>
          </w:p>
        </w:tc>
      </w:tr>
      <w:tr>
        <w:trPr>
          <w:trHeight w:val="188"/>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4C4C4E"/>
              </w:rPr>
              <w:t>due 12/2027)</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7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7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12/22/2021</w:t>
            </w:r>
          </w:p>
        </w:tc>
        <w:tc>
          <w:tcPr>
            <w:tcW w:w="20" w:type="dxa"/>
            <w:vAlign w:val="bottom"/>
            <w:shd w:val="clear" w:color="auto" w:fill="D8EEF4"/>
          </w:tcPr>
          <w:p>
            <w:pPr>
              <w:spacing w:after="0"/>
              <w:rPr>
                <w:sz w:val="14"/>
                <w:szCs w:val="14"/>
                <w:color w:val="auto"/>
              </w:rPr>
            </w:pPr>
          </w:p>
        </w:tc>
        <w:tc>
          <w:tcPr>
            <w:tcW w:w="1240" w:type="dxa"/>
            <w:vAlign w:val="bottom"/>
            <w:gridSpan w:val="2"/>
            <w:shd w:val="clear" w:color="auto" w:fill="D8EEF4"/>
          </w:tcPr>
          <w:p>
            <w:pPr>
              <w:jc w:val="right"/>
              <w:ind w:right="160"/>
              <w:spacing w:after="0" w:line="171" w:lineRule="exact"/>
              <w:rPr>
                <w:sz w:val="20"/>
                <w:szCs w:val="20"/>
                <w:color w:val="auto"/>
              </w:rPr>
            </w:pPr>
            <w:r>
              <w:rPr>
                <w:rFonts w:ascii="Times New Roman" w:cs="Times New Roman" w:eastAsia="Times New Roman" w:hAnsi="Times New Roman"/>
                <w:sz w:val="15"/>
                <w:szCs w:val="15"/>
                <w:color w:val="4C4C4E"/>
              </w:rPr>
              <w:t>SOFR + 6.35%</w:t>
            </w:r>
          </w:p>
        </w:tc>
        <w:tc>
          <w:tcPr>
            <w:tcW w:w="1820" w:type="dxa"/>
            <w:vAlign w:val="bottom"/>
            <w:gridSpan w:val="2"/>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10.07%</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2,858</w:t>
            </w: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8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2,762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r>
      <w:tr>
        <w:trPr>
          <w:trHeight w:val="188"/>
        </w:trPr>
        <w:tc>
          <w:tcPr>
            <w:tcW w:w="23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7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($2,916 par, due 12/2027)</w:t>
            </w:r>
          </w:p>
        </w:tc>
        <w:tc>
          <w:tcPr>
            <w:tcW w:w="2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8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8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bl>
    <w:p>
      <w:pPr>
        <w:spacing w:after="0" w:line="200" w:lineRule="exact"/>
        <w:rPr>
          <w:sz w:val="20"/>
          <w:szCs w:val="20"/>
          <w:color w:val="auto"/>
        </w:rPr>
      </w:pPr>
    </w:p>
    <w:p>
      <w:pPr>
        <w:sectPr>
          <w:pgSz w:w="11880" w:h="15480" w:orient="portrait"/>
          <w:cols w:equalWidth="0" w:num="1">
            <w:col w:w="10880"/>
          </w:cols>
          <w:pgMar w:left="500" w:top="766" w:right="500" w:bottom="0" w:gutter="0" w:footer="0" w:header="0"/>
        </w:sectPr>
      </w:pP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F-7</w:t>
      </w:r>
    </w:p>
    <w:p>
      <w:pPr>
        <w:sectPr>
          <w:pgSz w:w="11880" w:h="15480" w:orient="portrait"/>
          <w:cols w:equalWidth="0" w:num="1">
            <w:col w:w="10880"/>
          </w:cols>
          <w:pgMar w:left="500" w:top="766" w:right="50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4C4C4E"/>
              </w:rPr>
              <w:t xml:space="preserve">Kangaroo Bidco AS </w:t>
            </w:r>
            <w:r>
              <w:rPr>
                <w:rFonts w:ascii="Times New Roman" w:cs="Times New Roman" w:eastAsia="Times New Roman" w:hAnsi="Times New Roman"/>
                <w:sz w:val="20"/>
                <w:szCs w:val="20"/>
                <w:color w:val="4C4C4E"/>
                <w:vertAlign w:val="superscript"/>
              </w:rPr>
              <w:t>(3)(4)</w:t>
            </w: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First-lien loan ($30,625 par,</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11/2/2023</w:t>
            </w:r>
          </w:p>
        </w:tc>
        <w:tc>
          <w:tcPr>
            <w:tcW w:w="124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4C4C4E"/>
              </w:rPr>
              <w:t>SOFR + 6.25%</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9.99%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29,945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30,975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1.9%</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due 11/2030)</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Severin Acquisition, LLC </w:t>
            </w:r>
            <w:r>
              <w:rPr>
                <w:rFonts w:ascii="Times New Roman" w:cs="Times New Roman" w:eastAsia="Times New Roman" w:hAnsi="Times New Roman"/>
                <w:sz w:val="19"/>
                <w:szCs w:val="19"/>
                <w:color w:val="4C4C4E"/>
                <w:vertAlign w:val="superscript"/>
              </w:rPr>
              <w:t>(3)</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($15,905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10/1/2024</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+ 4.75%</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8.47% (incl. 2.25% PIK)</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15,887</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15,855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10/2031)</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81"/>
        </w:trPr>
        <w:tc>
          <w:tcPr>
            <w:tcW w:w="2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143,952</w:t>
            </w:r>
          </w:p>
        </w:tc>
        <w:tc>
          <w:tcPr>
            <w:tcW w:w="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104,824</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6.5%</w:t>
            </w:r>
          </w:p>
        </w:tc>
      </w:tr>
      <w:tr>
        <w:trPr>
          <w:trHeight w:val="181"/>
        </w:trPr>
        <w:tc>
          <w:tcPr>
            <w:tcW w:w="22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Electronics</w:t>
            </w:r>
          </w:p>
        </w:tc>
        <w:tc>
          <w:tcPr>
            <w:tcW w:w="190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D8EEF4"/>
            </w:tcBorders>
            <w:shd w:val="clear" w:color="auto" w:fill="D8EEF4"/>
          </w:tcPr>
          <w:p>
            <w:pPr>
              <w:spacing w:after="0"/>
              <w:rPr>
                <w:sz w:val="15"/>
                <w:szCs w:val="15"/>
                <w:color w:val="auto"/>
              </w:rPr>
            </w:pPr>
          </w:p>
        </w:tc>
        <w:tc>
          <w:tcPr>
            <w:tcW w:w="1240" w:type="dxa"/>
            <w:vAlign w:val="bottom"/>
            <w:tcBorders>
              <w:top w:val="single" w:sz="8" w:color="D8EEF4"/>
            </w:tcBorders>
            <w:shd w:val="clear" w:color="auto" w:fill="D8EEF4"/>
          </w:tcPr>
          <w:p>
            <w:pPr>
              <w:spacing w:after="0"/>
              <w:rPr>
                <w:sz w:val="15"/>
                <w:szCs w:val="15"/>
                <w:color w:val="auto"/>
              </w:rPr>
            </w:pPr>
          </w:p>
        </w:tc>
        <w:tc>
          <w:tcPr>
            <w:tcW w:w="180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4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Sapphire Software Buyer, Inc. </w:t>
            </w:r>
            <w:r>
              <w:rPr>
                <w:rFonts w:ascii="Times New Roman" w:cs="Times New Roman" w:eastAsia="Times New Roman" w:hAnsi="Times New Roman"/>
                <w:sz w:val="19"/>
                <w:szCs w:val="19"/>
                <w:color w:val="4C4C4E"/>
                <w:vertAlign w:val="superscript"/>
              </w:rPr>
              <w:t>(3)</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($26,963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9/30/2024</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8.87%</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26,711</w:t>
            </w:r>
          </w:p>
        </w:tc>
        <w:tc>
          <w:tcPr>
            <w:tcW w:w="4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26,812</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due 9/2031)</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6"/>
        </w:trPr>
        <w:tc>
          <w:tcPr>
            <w:tcW w:w="22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Financial Services</w:t>
            </w:r>
          </w:p>
        </w:tc>
        <w:tc>
          <w:tcPr>
            <w:tcW w:w="19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Alaska Bidco Oy </w:t>
            </w:r>
            <w:r>
              <w:rPr>
                <w:rFonts w:ascii="Times New Roman" w:cs="Times New Roman" w:eastAsia="Times New Roman" w:hAnsi="Times New Roman"/>
                <w:sz w:val="19"/>
                <w:szCs w:val="19"/>
                <w:color w:val="4C4C4E"/>
                <w:vertAlign w:val="superscript"/>
              </w:rPr>
              <w:t>(3)(4)</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(EUR 727</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5/30/2023</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+ 5.75%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7.77%</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763</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par, due 5/2030)</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732)</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Arlberg Bidco LLC </w:t>
            </w:r>
            <w:r>
              <w:rPr>
                <w:rFonts w:ascii="Times New Roman" w:cs="Times New Roman" w:eastAsia="Times New Roman" w:hAnsi="Times New Roman"/>
                <w:sz w:val="19"/>
                <w:szCs w:val="19"/>
                <w:color w:val="4C4C4E"/>
                <w:vertAlign w:val="superscript"/>
              </w:rPr>
              <w:t>(3)(4)(5)</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($5,000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2/14/2025</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9.60%</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4,903</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4,962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2/2031)</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GreenShoot BidCo B.V </w:t>
            </w:r>
            <w:r>
              <w:rPr>
                <w:rFonts w:ascii="Times New Roman" w:cs="Times New Roman" w:eastAsia="Times New Roman" w:hAnsi="Times New Roman"/>
                <w:sz w:val="19"/>
                <w:szCs w:val="19"/>
                <w:color w:val="4C4C4E"/>
                <w:vertAlign w:val="superscript"/>
              </w:rPr>
              <w:t>(3)(4)</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(EUR 5,107</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5/28/2024</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+ 5.75%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7.82%</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5,431</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5,917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par, due 5/2030)</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5,038)</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Ibis Intermediate Co. </w:t>
            </w:r>
            <w:r>
              <w:rPr>
                <w:rFonts w:ascii="Times New Roman" w:cs="Times New Roman" w:eastAsia="Times New Roman" w:hAnsi="Times New Roman"/>
                <w:sz w:val="19"/>
                <w:szCs w:val="19"/>
                <w:color w:val="4C4C4E"/>
                <w:vertAlign w:val="superscript"/>
              </w:rPr>
              <w:t>(3)(5)</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($1,170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5/28/2021</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+ 4.65%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8.47%</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1,151</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1,184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5/2027)</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Ibis US Blocker Co. </w:t>
            </w:r>
            <w:r>
              <w:rPr>
                <w:rFonts w:ascii="Times New Roman" w:cs="Times New Roman" w:eastAsia="Times New Roman" w:hAnsi="Times New Roman"/>
                <w:sz w:val="19"/>
                <w:szCs w:val="19"/>
                <w:color w:val="4C4C4E"/>
                <w:vertAlign w:val="superscript"/>
              </w:rPr>
              <w:t>(3)</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($20,790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5/28/2021</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+ 8.40%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12.22% PIK</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20,656</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20,946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due 5/2028)</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Passport Labs, Inc.</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Convertible Promissory</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3/2/2023</w:t>
            </w:r>
          </w:p>
        </w:tc>
        <w:tc>
          <w:tcPr>
            <w:tcW w:w="12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8.00%</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1,085</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1,167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72"/>
        </w:trPr>
        <w:tc>
          <w:tcPr>
            <w:tcW w:w="2220" w:type="dxa"/>
            <w:vAlign w:val="bottom"/>
            <w:shd w:val="clear" w:color="auto" w:fill="D8EEF4"/>
          </w:tcPr>
          <w:p>
            <w:pPr>
              <w:spacing w:after="0"/>
              <w:rPr>
                <w:sz w:val="14"/>
                <w:szCs w:val="14"/>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Note A ($1,086 par, due</w:t>
            </w:r>
          </w:p>
        </w:tc>
        <w:tc>
          <w:tcPr>
            <w:tcW w:w="800" w:type="dxa"/>
            <w:vAlign w:val="bottom"/>
            <w:shd w:val="clear" w:color="auto" w:fill="D8EEF4"/>
          </w:tcPr>
          <w:p>
            <w:pPr>
              <w:spacing w:after="0"/>
              <w:rPr>
                <w:sz w:val="14"/>
                <w:szCs w:val="14"/>
                <w:color w:val="auto"/>
              </w:rPr>
            </w:pPr>
          </w:p>
        </w:tc>
        <w:tc>
          <w:tcPr>
            <w:tcW w:w="124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04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8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8/2026)</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Payroc Buyer, LLC</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Promissory Note ($6,000</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9/30/2025</w:t>
            </w:r>
          </w:p>
        </w:tc>
        <w:tc>
          <w:tcPr>
            <w:tcW w:w="12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5.50%</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6,000</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5,070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par, due 9/2030)</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TS Imagine, Inc. </w:t>
            </w:r>
            <w:r>
              <w:rPr>
                <w:rFonts w:ascii="Times New Roman" w:cs="Times New Roman" w:eastAsia="Times New Roman" w:hAnsi="Times New Roman"/>
                <w:sz w:val="19"/>
                <w:szCs w:val="19"/>
                <w:color w:val="4C4C4E"/>
                <w:vertAlign w:val="superscript"/>
              </w:rPr>
              <w:t>(3)(5)</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($54,960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4/30/2021</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+ 5.85%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9.69%</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54,529</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54,960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4/2027)</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rPr>
                <w:sz w:val="14"/>
                <w:szCs w:val="14"/>
                <w:color w:val="auto"/>
              </w:rPr>
            </w:pP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11/1/2024</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P + 4.75%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11.50%</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886</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899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($899 par, due 5/2027)</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Volante Technologies, Inc.</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($3,619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9/29/2023</w:t>
            </w:r>
          </w:p>
        </w:tc>
        <w:tc>
          <w:tcPr>
            <w:tcW w:w="12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16.50%</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16.50% PIK</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3,601</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3,755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r>
      <w:tr>
        <w:trPr>
          <w:trHeight w:val="208"/>
        </w:trPr>
        <w:tc>
          <w:tcPr>
            <w:tcW w:w="2220" w:type="dxa"/>
            <w:vAlign w:val="bottom"/>
            <w:tcBorders>
              <w:bottom w:val="single" w:sz="8" w:color="D8EEF4"/>
            </w:tcBorders>
            <w:shd w:val="clear" w:color="auto" w:fill="D8EEF4"/>
          </w:tcPr>
          <w:p>
            <w:pPr>
              <w:spacing w:after="0"/>
              <w:rPr>
                <w:sz w:val="18"/>
                <w:szCs w:val="18"/>
                <w:color w:val="auto"/>
              </w:rPr>
            </w:pPr>
          </w:p>
        </w:tc>
        <w:tc>
          <w:tcPr>
            <w:tcW w:w="1900" w:type="dxa"/>
            <w:vAlign w:val="bottom"/>
            <w:tcBorders>
              <w:bottom w:val="single" w:sz="8" w:color="D8EEF4"/>
            </w:tcBorders>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9/2028)</w:t>
            </w:r>
          </w:p>
        </w:tc>
        <w:tc>
          <w:tcPr>
            <w:tcW w:w="800" w:type="dxa"/>
            <w:vAlign w:val="bottom"/>
            <w:tcBorders>
              <w:bottom w:val="single" w:sz="8" w:color="D8EEF4"/>
            </w:tcBorders>
            <w:shd w:val="clear" w:color="auto" w:fill="D8EEF4"/>
          </w:tcPr>
          <w:p>
            <w:pPr>
              <w:spacing w:after="0"/>
              <w:rPr>
                <w:sz w:val="18"/>
                <w:szCs w:val="18"/>
                <w:color w:val="auto"/>
              </w:rPr>
            </w:pPr>
          </w:p>
        </w:tc>
        <w:tc>
          <w:tcPr>
            <w:tcW w:w="1240" w:type="dxa"/>
            <w:vAlign w:val="bottom"/>
            <w:tcBorders>
              <w:bottom w:val="single" w:sz="8" w:color="D8EEF4"/>
            </w:tcBorders>
            <w:shd w:val="clear" w:color="auto" w:fill="D8EEF4"/>
          </w:tcPr>
          <w:p>
            <w:pPr>
              <w:spacing w:after="0"/>
              <w:rPr>
                <w:sz w:val="18"/>
                <w:szCs w:val="18"/>
                <w:color w:val="auto"/>
              </w:rPr>
            </w:pPr>
          </w:p>
        </w:tc>
        <w:tc>
          <w:tcPr>
            <w:tcW w:w="180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4C4C4E"/>
            </w:tcBorders>
            <w:shd w:val="clear" w:color="auto" w:fill="D8EEF4"/>
          </w:tcPr>
          <w:p>
            <w:pPr>
              <w:spacing w:after="0"/>
              <w:rPr>
                <w:sz w:val="18"/>
                <w:szCs w:val="18"/>
                <w:color w:val="auto"/>
              </w:rPr>
            </w:pPr>
          </w:p>
        </w:tc>
        <w:tc>
          <w:tcPr>
            <w:tcW w:w="72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104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r>
      <w:tr>
        <w:trPr>
          <w:trHeight w:val="161"/>
        </w:trPr>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99,005</w:t>
            </w:r>
          </w:p>
        </w:tc>
        <w:tc>
          <w:tcPr>
            <w:tcW w:w="4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99,720</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6.2%</w:t>
            </w:r>
          </w:p>
        </w:tc>
      </w:tr>
      <w:tr>
        <w:trPr>
          <w:trHeight w:val="181"/>
        </w:trPr>
        <w:tc>
          <w:tcPr>
            <w:tcW w:w="22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Healthcare</w:t>
            </w:r>
          </w:p>
        </w:tc>
        <w:tc>
          <w:tcPr>
            <w:tcW w:w="190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D8EEF4"/>
            </w:tcBorders>
            <w:shd w:val="clear" w:color="auto" w:fill="D8EEF4"/>
          </w:tcPr>
          <w:p>
            <w:pPr>
              <w:spacing w:after="0"/>
              <w:rPr>
                <w:sz w:val="15"/>
                <w:szCs w:val="15"/>
                <w:color w:val="auto"/>
              </w:rPr>
            </w:pPr>
          </w:p>
        </w:tc>
        <w:tc>
          <w:tcPr>
            <w:tcW w:w="1240" w:type="dxa"/>
            <w:vAlign w:val="bottom"/>
            <w:tcBorders>
              <w:top w:val="single" w:sz="8" w:color="D8EEF4"/>
            </w:tcBorders>
            <w:shd w:val="clear" w:color="auto" w:fill="D8EEF4"/>
          </w:tcPr>
          <w:p>
            <w:pPr>
              <w:spacing w:after="0"/>
              <w:rPr>
                <w:sz w:val="15"/>
                <w:szCs w:val="15"/>
                <w:color w:val="auto"/>
              </w:rPr>
            </w:pPr>
          </w:p>
        </w:tc>
        <w:tc>
          <w:tcPr>
            <w:tcW w:w="180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4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Aledade, Inc. </w:t>
            </w:r>
            <w:r>
              <w:rPr>
                <w:rFonts w:ascii="Times New Roman" w:cs="Times New Roman" w:eastAsia="Times New Roman" w:hAnsi="Times New Roman"/>
                <w:sz w:val="19"/>
                <w:szCs w:val="19"/>
                <w:color w:val="4C4C4E"/>
                <w:vertAlign w:val="superscript"/>
              </w:rPr>
              <w:t>(3)</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11/21/2025</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9.54%</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10,527</w:t>
            </w:r>
          </w:p>
        </w:tc>
        <w:tc>
          <w:tcPr>
            <w:tcW w:w="4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10,513</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0.7%</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($10,864 par, due 11/2028)</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BCTO Ace Purchaser, Inc. </w:t>
            </w:r>
            <w:r>
              <w:rPr>
                <w:rFonts w:ascii="Times New Roman" w:cs="Times New Roman" w:eastAsia="Times New Roman" w:hAnsi="Times New Roman"/>
                <w:sz w:val="19"/>
                <w:szCs w:val="19"/>
                <w:color w:val="4C4C4E"/>
                <w:vertAlign w:val="superscript"/>
              </w:rPr>
              <w:t>(3)</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($69,942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11/23/2020</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10.32%</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69,504</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70,818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4.5%</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11/2029)</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rPr>
                <w:sz w:val="14"/>
                <w:szCs w:val="14"/>
                <w:color w:val="auto"/>
              </w:rPr>
            </w:pP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Second-lien loan ($7,665</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1/23/2023</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+ 10.70%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15.02% PIK</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7,577</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7,856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0.5%</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par, due 1/2030)</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Eventus Buyer, LLC </w:t>
            </w:r>
            <w:r>
              <w:rPr>
                <w:rFonts w:ascii="Times New Roman" w:cs="Times New Roman" w:eastAsia="Times New Roman" w:hAnsi="Times New Roman"/>
                <w:sz w:val="19"/>
                <w:szCs w:val="19"/>
                <w:color w:val="4C4C4E"/>
                <w:vertAlign w:val="superscript"/>
              </w:rPr>
              <w:t>(3)</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($25,706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11/1/2024</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9.17%</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25,358</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25,542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11/2030)</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rPr>
                <w:sz w:val="14"/>
                <w:szCs w:val="14"/>
                <w:color w:val="auto"/>
              </w:rPr>
            </w:pP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11/1/2024</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9.17%</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1,824</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1,849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($1,867 par, due 11/2030)</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HMP Omnimedia, LLC </w:t>
            </w:r>
            <w:r>
              <w:rPr>
                <w:rFonts w:ascii="Times New Roman" w:cs="Times New Roman" w:eastAsia="Times New Roman" w:hAnsi="Times New Roman"/>
                <w:sz w:val="19"/>
                <w:szCs w:val="19"/>
                <w:color w:val="4C4C4E"/>
                <w:vertAlign w:val="superscript"/>
              </w:rPr>
              <w:t>(3)</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($19,723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7/31/2025</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8.97%</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19,368</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19,537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7/2032)</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rPr>
                <w:sz w:val="14"/>
                <w:szCs w:val="14"/>
                <w:color w:val="auto"/>
              </w:rPr>
            </w:pP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7/31/2025</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P + 4.25%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11.00%</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339</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($409 par, due 7/2030)</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Ingenovis Health Finance, LLC </w:t>
            </w:r>
            <w:r>
              <w:rPr>
                <w:rFonts w:ascii="Times New Roman" w:cs="Times New Roman" w:eastAsia="Times New Roman" w:hAnsi="Times New Roman"/>
                <w:sz w:val="19"/>
                <w:szCs w:val="19"/>
                <w:color w:val="4C4C4E"/>
                <w:vertAlign w:val="superscript"/>
              </w:rPr>
              <w:t>(3)</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5/13/2025</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9.82%</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31,366</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32,013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($32,500 par, due 5/2030)</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LIHA Holdco B.V. </w:t>
            </w:r>
            <w:r>
              <w:rPr>
                <w:rFonts w:ascii="Times New Roman" w:cs="Times New Roman" w:eastAsia="Times New Roman" w:hAnsi="Times New Roman"/>
                <w:sz w:val="19"/>
                <w:szCs w:val="19"/>
                <w:color w:val="4C4C4E"/>
                <w:vertAlign w:val="superscript"/>
              </w:rPr>
              <w:t>(3)(4)(5)</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(EUR 5,903</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2/24/2023</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+ 6.50%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8.52%</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6,219</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6,989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par, due 2/2029)</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5,951)</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rPr>
                <w:sz w:val="14"/>
                <w:szCs w:val="14"/>
                <w:color w:val="auto"/>
              </w:rPr>
            </w:pP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2/24/2023</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+ 6.50%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8.52%</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363</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(EUR 318 par, due 2/2029)</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321)</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Raptor US Buyer II Corp. </w:t>
            </w:r>
            <w:r>
              <w:rPr>
                <w:rFonts w:ascii="Times New Roman" w:cs="Times New Roman" w:eastAsia="Times New Roman" w:hAnsi="Times New Roman"/>
                <w:sz w:val="19"/>
                <w:szCs w:val="19"/>
                <w:color w:val="4C4C4E"/>
                <w:vertAlign w:val="superscript"/>
              </w:rPr>
              <w:t>(3)(5)</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($17,949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3/24/2023</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+ 6.25%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9.97%</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17,622</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18,083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due 3/2029)</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rPr>
                <w:sz w:val="14"/>
                <w:szCs w:val="14"/>
                <w:color w:val="auto"/>
              </w:rPr>
            </w:pP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3/24/2023</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9.97%</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76</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($82 par, due 3/2029)</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Symplr Software Inc. </w:t>
            </w:r>
            <w:r>
              <w:rPr>
                <w:rFonts w:ascii="Times New Roman" w:cs="Times New Roman" w:eastAsia="Times New Roman" w:hAnsi="Times New Roman"/>
                <w:sz w:val="19"/>
                <w:szCs w:val="19"/>
                <w:color w:val="4C4C4E"/>
                <w:vertAlign w:val="superscript"/>
              </w:rPr>
              <w:t>(3)(9)</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($635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4/4/2025</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+ 4.60%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8.44%</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551</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due 12/2027)</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Velocity Clinical Research, Inc. </w:t>
            </w:r>
            <w:r>
              <w:rPr>
                <w:rFonts w:ascii="Times New Roman" w:cs="Times New Roman" w:eastAsia="Times New Roman" w:hAnsi="Times New Roman"/>
                <w:sz w:val="19"/>
                <w:szCs w:val="19"/>
                <w:color w:val="4C4C4E"/>
                <w:vertAlign w:val="superscript"/>
              </w:rPr>
              <w:t>(3)</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($62,899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9/9/2025</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+ 7.50%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11.17%</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61,865</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62,585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9/2031)</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rPr>
                <w:sz w:val="14"/>
                <w:szCs w:val="14"/>
                <w:color w:val="auto"/>
              </w:rPr>
            </w:pP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9/9/2025</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+ 7.50%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11.17%</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468</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513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220" w:type="dxa"/>
            <w:vAlign w:val="bottom"/>
            <w:tcBorders>
              <w:bottom w:val="single" w:sz="8" w:color="D8EEF4"/>
            </w:tcBorders>
          </w:tcPr>
          <w:p>
            <w:pPr>
              <w:spacing w:after="0"/>
              <w:rPr>
                <w:sz w:val="16"/>
                <w:szCs w:val="16"/>
                <w:color w:val="auto"/>
              </w:rPr>
            </w:pPr>
          </w:p>
        </w:tc>
        <w:tc>
          <w:tcPr>
            <w:tcW w:w="1900" w:type="dxa"/>
            <w:vAlign w:val="bottom"/>
            <w:tcBorders>
              <w:bottom w:val="single" w:sz="8" w:color="D8EEF4"/>
            </w:tcBorders>
          </w:tcPr>
          <w:p>
            <w:pPr>
              <w:ind w:left="160"/>
              <w:spacing w:after="0"/>
              <w:rPr>
                <w:sz w:val="20"/>
                <w:szCs w:val="20"/>
                <w:color w:val="auto"/>
              </w:rPr>
            </w:pPr>
            <w:r>
              <w:rPr>
                <w:rFonts w:ascii="Times New Roman" w:cs="Times New Roman" w:eastAsia="Times New Roman" w:hAnsi="Times New Roman"/>
                <w:sz w:val="15"/>
                <w:szCs w:val="15"/>
                <w:color w:val="4C4C4E"/>
              </w:rPr>
              <w:t>($528 par, due 9/2031)</w:t>
            </w:r>
          </w:p>
        </w:tc>
        <w:tc>
          <w:tcPr>
            <w:tcW w:w="800" w:type="dxa"/>
            <w:vAlign w:val="bottom"/>
            <w:tcBorders>
              <w:bottom w:val="single" w:sz="8" w:color="D8EEF4"/>
            </w:tcBorders>
          </w:tcPr>
          <w:p>
            <w:pPr>
              <w:spacing w:after="0"/>
              <w:rPr>
                <w:sz w:val="16"/>
                <w:szCs w:val="16"/>
                <w:color w:val="auto"/>
              </w:rPr>
            </w:pPr>
          </w:p>
        </w:tc>
        <w:tc>
          <w:tcPr>
            <w:tcW w:w="124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7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4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181"/>
        </w:trPr>
        <w:tc>
          <w:tcPr>
            <w:tcW w:w="2220" w:type="dxa"/>
            <w:vAlign w:val="bottom"/>
            <w:shd w:val="clear" w:color="auto" w:fill="D8EEF4"/>
          </w:tcPr>
          <w:p>
            <w:pPr>
              <w:spacing w:after="0"/>
              <w:rPr>
                <w:sz w:val="15"/>
                <w:szCs w:val="15"/>
                <w:color w:val="auto"/>
              </w:rPr>
            </w:pPr>
          </w:p>
        </w:tc>
        <w:tc>
          <w:tcPr>
            <w:tcW w:w="1900" w:type="dxa"/>
            <w:vAlign w:val="bottom"/>
            <w:shd w:val="clear" w:color="auto" w:fill="D8EEF4"/>
          </w:tcPr>
          <w:p>
            <w:pPr>
              <w:spacing w:after="0"/>
              <w:rPr>
                <w:sz w:val="15"/>
                <w:szCs w:val="15"/>
                <w:color w:val="auto"/>
              </w:rPr>
            </w:pPr>
          </w:p>
        </w:tc>
        <w:tc>
          <w:tcPr>
            <w:tcW w:w="800" w:type="dxa"/>
            <w:vAlign w:val="bottom"/>
            <w:shd w:val="clear" w:color="auto" w:fill="D8EEF4"/>
          </w:tcPr>
          <w:p>
            <w:pPr>
              <w:spacing w:after="0"/>
              <w:rPr>
                <w:sz w:val="15"/>
                <w:szCs w:val="15"/>
                <w:color w:val="auto"/>
              </w:rPr>
            </w:pPr>
          </w:p>
        </w:tc>
        <w:tc>
          <w:tcPr>
            <w:tcW w:w="1240" w:type="dxa"/>
            <w:vAlign w:val="bottom"/>
            <w:shd w:val="clear" w:color="auto" w:fill="D8EEF4"/>
          </w:tcPr>
          <w:p>
            <w:pPr>
              <w:spacing w:after="0"/>
              <w:rPr>
                <w:sz w:val="15"/>
                <w:szCs w:val="15"/>
                <w:color w:val="auto"/>
              </w:rPr>
            </w:pPr>
          </w:p>
        </w:tc>
        <w:tc>
          <w:tcPr>
            <w:tcW w:w="1800" w:type="dxa"/>
            <w:vAlign w:val="bottom"/>
            <w:shd w:val="clear" w:color="auto" w:fill="D8EEF4"/>
          </w:tcPr>
          <w:p>
            <w:pPr>
              <w:spacing w:after="0"/>
              <w:rPr>
                <w:sz w:val="15"/>
                <w:szCs w:val="15"/>
                <w:color w:val="auto"/>
              </w:rPr>
            </w:pPr>
          </w:p>
        </w:tc>
        <w:tc>
          <w:tcPr>
            <w:tcW w:w="80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253,027</w:t>
            </w:r>
          </w:p>
        </w:tc>
        <w:tc>
          <w:tcPr>
            <w:tcW w:w="40" w:type="dxa"/>
            <w:vAlign w:val="bottom"/>
            <w:shd w:val="clear" w:color="auto" w:fill="D8EEF4"/>
          </w:tcPr>
          <w:p>
            <w:pPr>
              <w:spacing w:after="0"/>
              <w:rPr>
                <w:sz w:val="15"/>
                <w:szCs w:val="15"/>
                <w:color w:val="auto"/>
              </w:rPr>
            </w:pPr>
          </w:p>
        </w:tc>
        <w:tc>
          <w:tcPr>
            <w:tcW w:w="10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257,670</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16.0</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81"/>
        </w:trPr>
        <w:tc>
          <w:tcPr>
            <w:tcW w:w="222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Hotel, Gaming and Leisure</w:t>
            </w:r>
          </w:p>
        </w:tc>
        <w:tc>
          <w:tcPr>
            <w:tcW w:w="1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ASG II, LLC </w:t>
            </w:r>
            <w:r>
              <w:rPr>
                <w:rFonts w:ascii="Times New Roman" w:cs="Times New Roman" w:eastAsia="Times New Roman" w:hAnsi="Times New Roman"/>
                <w:sz w:val="19"/>
                <w:szCs w:val="19"/>
                <w:color w:val="4C4C4E"/>
                <w:vertAlign w:val="superscript"/>
              </w:rPr>
              <w:t>(3)(5)</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($65,000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5/25/2022</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+ 6.40%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10.24%</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64,254</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64,025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5/2028)</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AVSC Holding Corp. </w:t>
            </w:r>
            <w:r>
              <w:rPr>
                <w:rFonts w:ascii="Times New Roman" w:cs="Times New Roman" w:eastAsia="Times New Roman" w:hAnsi="Times New Roman"/>
                <w:sz w:val="19"/>
                <w:szCs w:val="19"/>
                <w:color w:val="4C4C4E"/>
                <w:vertAlign w:val="superscript"/>
              </w:rPr>
              <w:t>(3)</w:t>
            </w: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($44,828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12/5/2024</w:t>
            </w:r>
          </w:p>
        </w:tc>
        <w:tc>
          <w:tcPr>
            <w:tcW w:w="12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8.72%</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43,960</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44,704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due 12/2031)</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Equinox Holdings, Inc.</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($51,697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3/8/2024</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+ 8.25%</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11.92% (incl. 4.13% PIK)</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51,126</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53,377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line="188" w:lineRule="exact"/>
              <w:rPr>
                <w:sz w:val="20"/>
                <w:szCs w:val="20"/>
                <w:color w:val="auto"/>
              </w:rPr>
            </w:pPr>
            <w:r>
              <w:rPr>
                <w:rFonts w:ascii="Times New Roman" w:cs="Times New Roman" w:eastAsia="Times New Roman" w:hAnsi="Times New Roman"/>
                <w:sz w:val="15"/>
                <w:szCs w:val="15"/>
                <w:color w:val="4C4C4E"/>
              </w:rPr>
              <w:t xml:space="preserve">due 3/2029) </w:t>
            </w:r>
            <w:r>
              <w:rPr>
                <w:rFonts w:ascii="Times New Roman" w:cs="Times New Roman" w:eastAsia="Times New Roman" w:hAnsi="Times New Roman"/>
                <w:sz w:val="20"/>
                <w:szCs w:val="20"/>
                <w:color w:val="4C4C4E"/>
                <w:vertAlign w:val="superscript"/>
              </w:rPr>
              <w:t>(3)</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220" w:type="dxa"/>
            <w:vAlign w:val="bottom"/>
          </w:tcPr>
          <w:p>
            <w:pPr>
              <w:spacing w:after="0"/>
              <w:rPr>
                <w:sz w:val="14"/>
                <w:szCs w:val="14"/>
                <w:color w:val="auto"/>
              </w:rPr>
            </w:pPr>
          </w:p>
        </w:tc>
        <w:tc>
          <w:tcPr>
            <w:tcW w:w="19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4C4C4E"/>
              </w:rPr>
              <w:t>Second-lien loan ($2,746</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3/13/2024</w:t>
            </w:r>
          </w:p>
        </w:tc>
        <w:tc>
          <w:tcPr>
            <w:tcW w:w="12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16.00%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16.00% PIK</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2,713</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3,240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r>
      <w:tr>
        <w:trPr>
          <w:trHeight w:val="188"/>
        </w:trPr>
        <w:tc>
          <w:tcPr>
            <w:tcW w:w="2220" w:type="dxa"/>
            <w:vAlign w:val="bottom"/>
          </w:tcPr>
          <w:p>
            <w:pPr>
              <w:spacing w:after="0"/>
              <w:rPr>
                <w:sz w:val="16"/>
                <w:szCs w:val="16"/>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5"/>
                <w:szCs w:val="15"/>
                <w:color w:val="4C4C4E"/>
              </w:rPr>
              <w:t>par, due 6/2027)</w:t>
            </w: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2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IRGSE Holding Corp. </w:t>
            </w:r>
            <w:r>
              <w:rPr>
                <w:rFonts w:ascii="Times New Roman" w:cs="Times New Roman" w:eastAsia="Times New Roman" w:hAnsi="Times New Roman"/>
                <w:sz w:val="19"/>
                <w:szCs w:val="19"/>
                <w:color w:val="4C4C4E"/>
                <w:vertAlign w:val="superscript"/>
              </w:rPr>
              <w:t>(3)(6)</w:t>
            </w:r>
          </w:p>
        </w:tc>
        <w:tc>
          <w:tcPr>
            <w:tcW w:w="1900" w:type="dxa"/>
            <w:vAlign w:val="bottom"/>
            <w:shd w:val="clear" w:color="auto" w:fill="D8EEF4"/>
          </w:tcPr>
          <w:p>
            <w:pPr>
              <w:ind w:left="160"/>
              <w:spacing w:after="0" w:line="171" w:lineRule="exact"/>
              <w:rPr>
                <w:sz w:val="20"/>
                <w:szCs w:val="20"/>
                <w:color w:val="auto"/>
              </w:rPr>
            </w:pPr>
            <w:r>
              <w:rPr>
                <w:rFonts w:ascii="Times New Roman" w:cs="Times New Roman" w:eastAsia="Times New Roman" w:hAnsi="Times New Roman"/>
                <w:sz w:val="15"/>
                <w:szCs w:val="15"/>
                <w:color w:val="4C4C4E"/>
              </w:rPr>
              <w:t>First-lien loan ($30,261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12/21/2018</w:t>
            </w:r>
          </w:p>
        </w:tc>
        <w:tc>
          <w:tcPr>
            <w:tcW w:w="124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+ 9.65%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13.32%</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28,594</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30,261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w:t>
            </w:r>
          </w:p>
        </w:tc>
      </w:tr>
      <w:tr>
        <w:trPr>
          <w:trHeight w:val="188"/>
        </w:trPr>
        <w:tc>
          <w:tcPr>
            <w:tcW w:w="2220" w:type="dxa"/>
            <w:vAlign w:val="bottom"/>
            <w:shd w:val="clear" w:color="auto" w:fill="D8EEF4"/>
          </w:tcPr>
          <w:p>
            <w:pPr>
              <w:spacing w:after="0"/>
              <w:rPr>
                <w:sz w:val="16"/>
                <w:szCs w:val="16"/>
                <w:color w:val="auto"/>
              </w:rPr>
            </w:pPr>
          </w:p>
        </w:tc>
        <w:tc>
          <w:tcPr>
            <w:tcW w:w="1900" w:type="dxa"/>
            <w:vAlign w:val="bottom"/>
            <w:shd w:val="clear" w:color="auto" w:fill="D8EEF4"/>
          </w:tcPr>
          <w:p>
            <w:pPr>
              <w:ind w:left="160"/>
              <w:spacing w:after="0"/>
              <w:rPr>
                <w:sz w:val="20"/>
                <w:szCs w:val="20"/>
                <w:color w:val="auto"/>
              </w:rPr>
            </w:pPr>
            <w:r>
              <w:rPr>
                <w:rFonts w:ascii="Times New Roman" w:cs="Times New Roman" w:eastAsia="Times New Roman" w:hAnsi="Times New Roman"/>
                <w:sz w:val="15"/>
                <w:szCs w:val="15"/>
                <w:color w:val="4C4C4E"/>
              </w:rPr>
              <w:t>due 6/2026)</w:t>
            </w:r>
          </w:p>
        </w:tc>
        <w:tc>
          <w:tcPr>
            <w:tcW w:w="800" w:type="dxa"/>
            <w:vAlign w:val="bottom"/>
            <w:shd w:val="clear" w:color="auto" w:fill="D8EEF4"/>
          </w:tcPr>
          <w:p>
            <w:pPr>
              <w:spacing w:after="0"/>
              <w:rPr>
                <w:sz w:val="16"/>
                <w:szCs w:val="16"/>
                <w:color w:val="auto"/>
              </w:rPr>
            </w:pPr>
          </w:p>
        </w:tc>
        <w:tc>
          <w:tcPr>
            <w:tcW w:w="124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bl>
    <w:p>
      <w:pPr>
        <w:spacing w:after="0" w:line="200" w:lineRule="exact"/>
        <w:rPr>
          <w:sz w:val="20"/>
          <w:szCs w:val="20"/>
          <w:color w:val="auto"/>
        </w:rPr>
      </w:pPr>
    </w:p>
    <w:p>
      <w:pPr>
        <w:sectPr>
          <w:pgSz w:w="11880" w:h="15480" w:orient="portrait"/>
          <w:cols w:equalWidth="0" w:num="1">
            <w:col w:w="10880"/>
          </w:cols>
          <w:pgMar w:left="500" w:top="710" w:right="500" w:bottom="0"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F-8</w:t>
      </w:r>
    </w:p>
    <w:p>
      <w:pPr>
        <w:sectPr>
          <w:pgSz w:w="11880" w:h="15480" w:orient="portrait"/>
          <w:cols w:equalWidth="0" w:num="1">
            <w:col w:w="10880"/>
          </w:cols>
          <w:pgMar w:left="500" w:top="710" w:right="50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72"/>
        </w:trPr>
        <w:tc>
          <w:tcPr>
            <w:tcW w:w="230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First-lien revolving loan</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4C4C4E"/>
              </w:rPr>
              <w:t>12/21/2018</w:t>
            </w: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4C4C4E"/>
              </w:rPr>
              <w:t>SOFR + 9.65%</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13.44%</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27,943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27,943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1.7%</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($27,943 par, due 6/2026)</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Sport Alliance GmbH </w:t>
            </w:r>
            <w:r>
              <w:rPr>
                <w:rFonts w:ascii="Times New Roman" w:cs="Times New Roman" w:eastAsia="Times New Roman" w:hAnsi="Times New Roman"/>
                <w:sz w:val="19"/>
                <w:szCs w:val="19"/>
                <w:color w:val="4C4C4E"/>
                <w:vertAlign w:val="superscript"/>
              </w:rPr>
              <w:t>(3)(4)</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(EUR 37,133</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4/10/2024</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+ 7.75%</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9.77% (incl. 4.13% PIK)</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42,004</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43,502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par, due 4/2030)</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37,041)</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4/10/2024</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+ 7.25%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9.27%</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212</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00" w:type="dxa"/>
            <w:vAlign w:val="bottom"/>
            <w:tcBorders>
              <w:bottom w:val="single" w:sz="8" w:color="D8EEF4"/>
            </w:tcBorders>
          </w:tcPr>
          <w:p>
            <w:pPr>
              <w:spacing w:after="0"/>
              <w:rPr>
                <w:sz w:val="16"/>
                <w:szCs w:val="16"/>
                <w:color w:val="auto"/>
              </w:rPr>
            </w:pPr>
          </w:p>
        </w:tc>
        <w:tc>
          <w:tcPr>
            <w:tcW w:w="1820" w:type="dxa"/>
            <w:vAlign w:val="bottom"/>
            <w:tcBorders>
              <w:bottom w:val="single" w:sz="8" w:color="D8EEF4"/>
            </w:tcBorders>
          </w:tcPr>
          <w:p>
            <w:pPr>
              <w:ind w:left="80"/>
              <w:spacing w:after="0"/>
              <w:rPr>
                <w:sz w:val="20"/>
                <w:szCs w:val="20"/>
                <w:color w:val="auto"/>
              </w:rPr>
            </w:pPr>
            <w:r>
              <w:rPr>
                <w:rFonts w:ascii="Times New Roman" w:cs="Times New Roman" w:eastAsia="Times New Roman" w:hAnsi="Times New Roman"/>
                <w:sz w:val="15"/>
                <w:szCs w:val="15"/>
                <w:color w:val="4C4C4E"/>
              </w:rPr>
              <w:t>(EUR 208 par, due 4/2030)</w:t>
            </w:r>
          </w:p>
        </w:tc>
        <w:tc>
          <w:tcPr>
            <w:tcW w:w="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80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4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5"/>
                <w:szCs w:val="15"/>
                <w:color w:val="4C4C4E"/>
              </w:rPr>
              <w:t>(EUR 218)</w:t>
            </w: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00" w:type="dxa"/>
            <w:vAlign w:val="bottom"/>
            <w:shd w:val="clear" w:color="auto" w:fill="D8EEF4"/>
          </w:tcPr>
          <w:p>
            <w:pPr>
              <w:spacing w:after="0"/>
              <w:rPr>
                <w:sz w:val="15"/>
                <w:szCs w:val="15"/>
                <w:color w:val="auto"/>
              </w:rPr>
            </w:pPr>
          </w:p>
        </w:tc>
        <w:tc>
          <w:tcPr>
            <w:tcW w:w="1820" w:type="dxa"/>
            <w:vAlign w:val="bottom"/>
            <w:shd w:val="clear" w:color="auto" w:fill="D8EEF4"/>
          </w:tcPr>
          <w:p>
            <w:pPr>
              <w:spacing w:after="0"/>
              <w:rPr>
                <w:sz w:val="15"/>
                <w:szCs w:val="15"/>
                <w:color w:val="auto"/>
              </w:rPr>
            </w:pPr>
          </w:p>
        </w:tc>
        <w:tc>
          <w:tcPr>
            <w:tcW w:w="840" w:type="dxa"/>
            <w:vAlign w:val="bottom"/>
            <w:shd w:val="clear" w:color="auto" w:fill="D8EEF4"/>
          </w:tcPr>
          <w:p>
            <w:pPr>
              <w:spacing w:after="0"/>
              <w:rPr>
                <w:sz w:val="15"/>
                <w:szCs w:val="15"/>
                <w:color w:val="auto"/>
              </w:rPr>
            </w:pPr>
          </w:p>
        </w:tc>
        <w:tc>
          <w:tcPr>
            <w:tcW w:w="1200" w:type="dxa"/>
            <w:vAlign w:val="bottom"/>
            <w:shd w:val="clear" w:color="auto" w:fill="D8EEF4"/>
          </w:tcPr>
          <w:p>
            <w:pPr>
              <w:spacing w:after="0"/>
              <w:rPr>
                <w:sz w:val="15"/>
                <w:szCs w:val="15"/>
                <w:color w:val="auto"/>
              </w:rPr>
            </w:pPr>
          </w:p>
        </w:tc>
        <w:tc>
          <w:tcPr>
            <w:tcW w:w="1800" w:type="dxa"/>
            <w:vAlign w:val="bottom"/>
            <w:shd w:val="clear" w:color="auto" w:fill="D8EEF4"/>
          </w:tcPr>
          <w:p>
            <w:pPr>
              <w:spacing w:after="0"/>
              <w:rPr>
                <w:sz w:val="15"/>
                <w:szCs w:val="15"/>
                <w:color w:val="auto"/>
              </w:rPr>
            </w:pPr>
          </w:p>
        </w:tc>
        <w:tc>
          <w:tcPr>
            <w:tcW w:w="8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260,806</w:t>
            </w:r>
          </w:p>
        </w:tc>
        <w:tc>
          <w:tcPr>
            <w:tcW w:w="40" w:type="dxa"/>
            <w:vAlign w:val="bottom"/>
            <w:shd w:val="clear" w:color="auto" w:fill="D8EEF4"/>
          </w:tcPr>
          <w:p>
            <w:pPr>
              <w:spacing w:after="0"/>
              <w:rPr>
                <w:sz w:val="15"/>
                <w:szCs w:val="15"/>
                <w:color w:val="auto"/>
              </w:rPr>
            </w:pPr>
          </w:p>
        </w:tc>
        <w:tc>
          <w:tcPr>
            <w:tcW w:w="10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267,308</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16.6</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81"/>
        </w:trPr>
        <w:tc>
          <w:tcPr>
            <w:tcW w:w="23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Human Resource Support Services</w:t>
            </w:r>
          </w:p>
        </w:tc>
        <w:tc>
          <w:tcPr>
            <w:tcW w:w="1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Axonify, Inc. </w:t>
            </w:r>
            <w:r>
              <w:rPr>
                <w:rFonts w:ascii="Times New Roman" w:cs="Times New Roman" w:eastAsia="Times New Roman" w:hAnsi="Times New Roman"/>
                <w:sz w:val="19"/>
                <w:szCs w:val="19"/>
                <w:color w:val="4C4C4E"/>
                <w:vertAlign w:val="superscript"/>
              </w:rPr>
              <w:t>(3)(4)(5)</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($45,113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5/5/2021</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+ 6.65%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10.55%</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44,851</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45,113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5/2027)</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bswift, LLC </w:t>
            </w:r>
            <w:r>
              <w:rPr>
                <w:rFonts w:ascii="Times New Roman" w:cs="Times New Roman" w:eastAsia="Times New Roman" w:hAnsi="Times New Roman"/>
                <w:sz w:val="19"/>
                <w:szCs w:val="19"/>
                <w:color w:val="4C4C4E"/>
                <w:vertAlign w:val="superscript"/>
              </w:rPr>
              <w:t>(3)(5)</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($54,630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11/7/2022</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+ 4.75%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8.64%</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53,925</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54,766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11/2028)</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Elysian Finco Ltd. </w:t>
            </w:r>
            <w:r>
              <w:rPr>
                <w:rFonts w:ascii="Times New Roman" w:cs="Times New Roman" w:eastAsia="Times New Roman" w:hAnsi="Times New Roman"/>
                <w:sz w:val="19"/>
                <w:szCs w:val="19"/>
                <w:color w:val="4C4C4E"/>
                <w:vertAlign w:val="superscript"/>
              </w:rPr>
              <w:t>(3)(4)(5)</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($21,745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1/31/2021</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+ 5.15%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8.82%</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21,548</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21,691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1/2028)</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1/31/2021</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 + 4.00%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7.73%</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1,352</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1,381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(GBP 1,055 par, due</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(GBP 1,027)</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1/2028)</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HireVue, Inc. </w:t>
            </w:r>
            <w:r>
              <w:rPr>
                <w:rFonts w:ascii="Times New Roman" w:cs="Times New Roman" w:eastAsia="Times New Roman" w:hAnsi="Times New Roman"/>
                <w:sz w:val="19"/>
                <w:szCs w:val="19"/>
                <w:color w:val="4C4C4E"/>
                <w:vertAlign w:val="superscript"/>
              </w:rPr>
              <w:t>(3)</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($53,031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5/3/2023</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10.59%</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52,041</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50,909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5/2029)</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5/3/2023</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10.57%</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6,775</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6,612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($6,887 par, due 5/2029)</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Madcap Software, Inc. </w:t>
            </w:r>
            <w:r>
              <w:rPr>
                <w:rFonts w:ascii="Times New Roman" w:cs="Times New Roman" w:eastAsia="Times New Roman" w:hAnsi="Times New Roman"/>
                <w:sz w:val="19"/>
                <w:szCs w:val="19"/>
                <w:color w:val="4C4C4E"/>
                <w:vertAlign w:val="superscript"/>
              </w:rPr>
              <w:t>(3)(5)</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($31,850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12/15/2023</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+ 6.10%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9.77%</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31,582</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31,850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12/2026)</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PayScale Holdings, Inc. </w:t>
            </w:r>
            <w:r>
              <w:rPr>
                <w:rFonts w:ascii="Times New Roman" w:cs="Times New Roman" w:eastAsia="Times New Roman" w:hAnsi="Times New Roman"/>
                <w:sz w:val="19"/>
                <w:szCs w:val="19"/>
                <w:color w:val="4C4C4E"/>
                <w:vertAlign w:val="superscript"/>
              </w:rPr>
              <w:t>(3)(5)</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($74,916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5/3/2019</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8.92%</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74,721</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74,879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4.7%</w:t>
            </w:r>
          </w:p>
        </w:tc>
        <w:tc>
          <w:tcPr>
            <w:tcW w:w="0" w:type="dxa"/>
            <w:vAlign w:val="bottom"/>
          </w:tcPr>
          <w:p>
            <w:pPr>
              <w:spacing w:after="0"/>
              <w:rPr>
                <w:sz w:val="1"/>
                <w:szCs w:val="1"/>
                <w:color w:val="auto"/>
              </w:rPr>
            </w:pPr>
          </w:p>
        </w:tc>
      </w:tr>
      <w:tr>
        <w:trPr>
          <w:trHeight w:val="188"/>
        </w:trPr>
        <w:tc>
          <w:tcPr>
            <w:tcW w:w="2300" w:type="dxa"/>
            <w:vAlign w:val="bottom"/>
            <w:tcBorders>
              <w:bottom w:val="single" w:sz="8" w:color="D8EEF4"/>
            </w:tcBorders>
          </w:tcPr>
          <w:p>
            <w:pPr>
              <w:spacing w:after="0"/>
              <w:rPr>
                <w:sz w:val="16"/>
                <w:szCs w:val="16"/>
                <w:color w:val="auto"/>
              </w:rPr>
            </w:pPr>
          </w:p>
        </w:tc>
        <w:tc>
          <w:tcPr>
            <w:tcW w:w="1820" w:type="dxa"/>
            <w:vAlign w:val="bottom"/>
            <w:tcBorders>
              <w:bottom w:val="single" w:sz="8" w:color="D8EEF4"/>
            </w:tcBorders>
          </w:tcPr>
          <w:p>
            <w:pPr>
              <w:ind w:left="80"/>
              <w:spacing w:after="0"/>
              <w:rPr>
                <w:sz w:val="20"/>
                <w:szCs w:val="20"/>
                <w:color w:val="auto"/>
              </w:rPr>
            </w:pPr>
            <w:r>
              <w:rPr>
                <w:rFonts w:ascii="Times New Roman" w:cs="Times New Roman" w:eastAsia="Times New Roman" w:hAnsi="Times New Roman"/>
                <w:sz w:val="15"/>
                <w:szCs w:val="15"/>
                <w:color w:val="4C4C4E"/>
              </w:rPr>
              <w:t>due 10/2029)</w:t>
            </w:r>
          </w:p>
        </w:tc>
        <w:tc>
          <w:tcPr>
            <w:tcW w:w="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80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4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00" w:type="dxa"/>
            <w:vAlign w:val="bottom"/>
            <w:tcBorders>
              <w:bottom w:val="single" w:sz="8" w:color="D8EEF4"/>
            </w:tcBorders>
            <w:shd w:val="clear" w:color="auto" w:fill="D8EEF4"/>
          </w:tcPr>
          <w:p>
            <w:pPr>
              <w:spacing w:after="0"/>
              <w:rPr>
                <w:sz w:val="17"/>
                <w:szCs w:val="17"/>
                <w:color w:val="auto"/>
              </w:rPr>
            </w:pPr>
          </w:p>
        </w:tc>
        <w:tc>
          <w:tcPr>
            <w:tcW w:w="182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D8EEF4"/>
            </w:tcBorders>
            <w:shd w:val="clear" w:color="auto" w:fill="D8EEF4"/>
          </w:tcPr>
          <w:p>
            <w:pPr>
              <w:spacing w:after="0"/>
              <w:rPr>
                <w:sz w:val="17"/>
                <w:szCs w:val="17"/>
                <w:color w:val="auto"/>
              </w:rPr>
            </w:pPr>
          </w:p>
        </w:tc>
        <w:tc>
          <w:tcPr>
            <w:tcW w:w="1200" w:type="dxa"/>
            <w:vAlign w:val="bottom"/>
            <w:tcBorders>
              <w:bottom w:val="single" w:sz="8" w:color="D8EEF4"/>
            </w:tcBorders>
            <w:shd w:val="clear" w:color="auto" w:fill="D8EEF4"/>
          </w:tcPr>
          <w:p>
            <w:pPr>
              <w:spacing w:after="0"/>
              <w:rPr>
                <w:sz w:val="17"/>
                <w:szCs w:val="17"/>
                <w:color w:val="auto"/>
              </w:rPr>
            </w:pPr>
          </w:p>
        </w:tc>
        <w:tc>
          <w:tcPr>
            <w:tcW w:w="1800" w:type="dxa"/>
            <w:vAlign w:val="bottom"/>
            <w:tcBorders>
              <w:bottom w:val="single" w:sz="8" w:color="D8EEF4"/>
            </w:tcBorders>
            <w:shd w:val="clear" w:color="auto" w:fill="D8EEF4"/>
          </w:tcPr>
          <w:p>
            <w:pPr>
              <w:spacing w:after="0"/>
              <w:rPr>
                <w:sz w:val="17"/>
                <w:szCs w:val="17"/>
                <w:color w:val="auto"/>
              </w:rPr>
            </w:pPr>
          </w:p>
        </w:tc>
        <w:tc>
          <w:tcPr>
            <w:tcW w:w="8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286,795</w:t>
            </w:r>
          </w:p>
        </w:tc>
        <w:tc>
          <w:tcPr>
            <w:tcW w:w="40" w:type="dxa"/>
            <w:vAlign w:val="bottom"/>
            <w:tcBorders>
              <w:bottom w:val="single" w:sz="8" w:color="D8EEF4"/>
            </w:tcBorders>
            <w:shd w:val="clear" w:color="auto" w:fill="D8EEF4"/>
          </w:tcPr>
          <w:p>
            <w:pPr>
              <w:spacing w:after="0"/>
              <w:rPr>
                <w:sz w:val="17"/>
                <w:szCs w:val="17"/>
                <w:color w:val="auto"/>
              </w:rPr>
            </w:pPr>
          </w:p>
        </w:tc>
        <w:tc>
          <w:tcPr>
            <w:tcW w:w="10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287,201</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17.9</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61"/>
        </w:trPr>
        <w:tc>
          <w:tcPr>
            <w:tcW w:w="230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Internet Services</w:t>
            </w:r>
          </w:p>
        </w:tc>
        <w:tc>
          <w:tcPr>
            <w:tcW w:w="1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Arrow Buyer, Inc. </w:t>
            </w:r>
            <w:r>
              <w:rPr>
                <w:rFonts w:ascii="Times New Roman" w:cs="Times New Roman" w:eastAsia="Times New Roman" w:hAnsi="Times New Roman"/>
                <w:sz w:val="19"/>
                <w:szCs w:val="19"/>
                <w:color w:val="4C4C4E"/>
                <w:vertAlign w:val="superscript"/>
              </w:rPr>
              <w:t>(3)</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($36,651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6/30/2023</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8.67%</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35,988</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36,834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7/2030)</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Bayshore Intermediate #2, L.P. </w:t>
            </w:r>
            <w:r>
              <w:rPr>
                <w:rFonts w:ascii="Times New Roman" w:cs="Times New Roman" w:eastAsia="Times New Roman" w:hAnsi="Times New Roman"/>
                <w:sz w:val="19"/>
                <w:szCs w:val="19"/>
                <w:color w:val="4C4C4E"/>
                <w:vertAlign w:val="superscript"/>
              </w:rPr>
              <w:t>(3)</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($42,190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10/1/2021</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9.19% (incl. 3.00% PIK)</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41,875</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42,085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10/2028)</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rPr>
                <w:sz w:val="14"/>
                <w:szCs w:val="14"/>
                <w:color w:val="auto"/>
              </w:rPr>
            </w:pP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10/1/2021</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8.69%</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886</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893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($902 par, due 10/2027)</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Big Wombat Holdings, Inc. </w:t>
            </w:r>
            <w:r>
              <w:rPr>
                <w:rFonts w:ascii="Times New Roman" w:cs="Times New Roman" w:eastAsia="Times New Roman" w:hAnsi="Times New Roman"/>
                <w:sz w:val="19"/>
                <w:szCs w:val="19"/>
                <w:color w:val="4C4C4E"/>
                <w:vertAlign w:val="superscript"/>
              </w:rPr>
              <w:t>(3)(5)</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($47,188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10/20/2025</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10.88%</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46,682</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46,598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4/2031)</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Coupa Holdings, LLC </w:t>
            </w:r>
            <w:r>
              <w:rPr>
                <w:rFonts w:ascii="Times New Roman" w:cs="Times New Roman" w:eastAsia="Times New Roman" w:hAnsi="Times New Roman"/>
                <w:sz w:val="19"/>
                <w:szCs w:val="19"/>
                <w:color w:val="4C4C4E"/>
                <w:vertAlign w:val="superscript"/>
              </w:rPr>
              <w:t>(3)</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($42,543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2/27/2023</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9.09%</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41,844</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42,913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2/2030)</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EDB Parent, LLC </w:t>
            </w:r>
            <w:r>
              <w:rPr>
                <w:rFonts w:ascii="Times New Roman" w:cs="Times New Roman" w:eastAsia="Times New Roman" w:hAnsi="Times New Roman"/>
                <w:sz w:val="19"/>
                <w:szCs w:val="19"/>
                <w:color w:val="4C4C4E"/>
                <w:vertAlign w:val="superscript"/>
              </w:rPr>
              <w:t>(3)(5)</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($76,729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7/7/2022</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10.84%</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75,879</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76,729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7/2028)</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Flight Intermediate HoldCo, Inc.</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($40,000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10/3/2024</w:t>
            </w:r>
          </w:p>
        </w:tc>
        <w:tc>
          <w:tcPr>
            <w:tcW w:w="12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11.50%</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39,154</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40,300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4/2030)</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Hippo XPA Bidco AB </w:t>
            </w:r>
            <w:r>
              <w:rPr>
                <w:rFonts w:ascii="Times New Roman" w:cs="Times New Roman" w:eastAsia="Times New Roman" w:hAnsi="Times New Roman"/>
                <w:sz w:val="19"/>
                <w:szCs w:val="19"/>
                <w:color w:val="4C4C4E"/>
                <w:vertAlign w:val="superscript"/>
              </w:rPr>
              <w:t>(3)(4)</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(SEK</w:t>
            </w:r>
          </w:p>
        </w:tc>
        <w:tc>
          <w:tcPr>
            <w:tcW w:w="2040" w:type="dxa"/>
            <w:vAlign w:val="bottom"/>
            <w:gridSpan w:val="2"/>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2/20/2024 STIBOR + 6.75%</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8.60% (incl. 3.63% PIK)</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21,310</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23,226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214,115 par, due 2/2031)</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(SEK 214,115)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rPr>
                <w:sz w:val="14"/>
                <w:szCs w:val="14"/>
                <w:color w:val="auto"/>
              </w:rPr>
            </w:pP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(EUR 2,571</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2/20/2024</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+ 6.75%</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8.77% (incl. 3.63% PIK)</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2,756</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3,019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par, due 2/2031)</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2,571)</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2040" w:type="dxa"/>
            <w:vAlign w:val="bottom"/>
            <w:gridSpan w:val="2"/>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2/20/2024 STIBOR + 6.25%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8.00%</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384</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(SEK 3,906 par, due</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(SEK 3,906)</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2/2031)</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Kaseware Intermediate Holding</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($43,251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10/20/2025</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9.23%</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42,339</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42,501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Company </w:t>
            </w:r>
            <w:r>
              <w:rPr>
                <w:rFonts w:ascii="Times New Roman" w:cs="Times New Roman" w:eastAsia="Times New Roman" w:hAnsi="Times New Roman"/>
                <w:sz w:val="20"/>
                <w:szCs w:val="20"/>
                <w:color w:val="4C4C4E"/>
                <w:vertAlign w:val="superscript"/>
              </w:rPr>
              <w:t>(3)(5)</w:t>
            </w: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10/2031)</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Khoros, LLC</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($11,682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5/23/2025</w:t>
            </w:r>
          </w:p>
        </w:tc>
        <w:tc>
          <w:tcPr>
            <w:tcW w:w="12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10.00%</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11,682</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11,711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0.7%</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5/2030)</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Kryptona BidCo US, LLC </w:t>
            </w:r>
            <w:r>
              <w:rPr>
                <w:rFonts w:ascii="Times New Roman" w:cs="Times New Roman" w:eastAsia="Times New Roman" w:hAnsi="Times New Roman"/>
                <w:sz w:val="19"/>
                <w:szCs w:val="19"/>
                <w:color w:val="4C4C4E"/>
                <w:vertAlign w:val="superscript"/>
              </w:rPr>
              <w:t>(3)</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($20,595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12/18/2024</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+ 6.00%</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9.70% (incl. 3.25% PIK)</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20,211</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20,765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12/2031)</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(EUR 4,766</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12/18/2024</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+ 6.00%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8.06% (incl. 3.25% PIK)</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4,924</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5,640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par, due 12/2031)</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4,802)</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LeanTaaS Holdings, Inc. </w:t>
            </w:r>
            <w:r>
              <w:rPr>
                <w:rFonts w:ascii="Times New Roman" w:cs="Times New Roman" w:eastAsia="Times New Roman" w:hAnsi="Times New Roman"/>
                <w:sz w:val="19"/>
                <w:szCs w:val="19"/>
                <w:color w:val="4C4C4E"/>
                <w:vertAlign w:val="superscript"/>
              </w:rPr>
              <w:t>(3)(5)</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($62,984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7/12/2022</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+ 7.75%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11.42%</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62,403</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62,827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7/2028)</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RainFocus, LLC </w:t>
            </w:r>
            <w:r>
              <w:rPr>
                <w:rFonts w:ascii="Times New Roman" w:cs="Times New Roman" w:eastAsia="Times New Roman" w:hAnsi="Times New Roman"/>
                <w:sz w:val="19"/>
                <w:szCs w:val="19"/>
                <w:color w:val="4C4C4E"/>
                <w:vertAlign w:val="superscript"/>
              </w:rPr>
              <w:t>(3)(5)</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($64,232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4/25/2025</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+ 6.38%</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10.24%</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63,701</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64,072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4/2031)</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SMA Technologies Holdings, LLC</w:t>
            </w: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($55,579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10/31/2022</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10.32%</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54,434</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56,710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w:t>
            </w:r>
          </w:p>
        </w:tc>
        <w:tc>
          <w:tcPr>
            <w:tcW w:w="0" w:type="dxa"/>
            <w:vAlign w:val="bottom"/>
          </w:tcPr>
          <w:p>
            <w:pPr>
              <w:spacing w:after="0"/>
              <w:rPr>
                <w:sz w:val="1"/>
                <w:szCs w:val="1"/>
                <w:color w:val="auto"/>
              </w:rPr>
            </w:pPr>
          </w:p>
        </w:tc>
      </w:tr>
      <w:tr>
        <w:trPr>
          <w:trHeight w:val="168"/>
        </w:trPr>
        <w:tc>
          <w:tcPr>
            <w:tcW w:w="230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0"/>
                <w:szCs w:val="10"/>
                <w:color w:val="4C4C4E"/>
              </w:rPr>
              <w:t>(3)(5)</w:t>
            </w:r>
          </w:p>
        </w:tc>
        <w:tc>
          <w:tcPr>
            <w:tcW w:w="1820" w:type="dxa"/>
            <w:vAlign w:val="bottom"/>
            <w:tcBorders>
              <w:bottom w:val="single" w:sz="8" w:color="D8EEF4"/>
            </w:tcBorders>
            <w:shd w:val="clear" w:color="auto" w:fill="D8EEF4"/>
          </w:tcPr>
          <w:p>
            <w:pPr>
              <w:ind w:left="80"/>
              <w:spacing w:after="0" w:line="168" w:lineRule="exact"/>
              <w:rPr>
                <w:sz w:val="20"/>
                <w:szCs w:val="20"/>
                <w:color w:val="auto"/>
              </w:rPr>
            </w:pPr>
            <w:r>
              <w:rPr>
                <w:rFonts w:ascii="Times New Roman" w:cs="Times New Roman" w:eastAsia="Times New Roman" w:hAnsi="Times New Roman"/>
                <w:sz w:val="15"/>
                <w:szCs w:val="15"/>
                <w:color w:val="4C4C4E"/>
              </w:rPr>
              <w:t>due 10/2028)</w:t>
            </w:r>
          </w:p>
        </w:tc>
        <w:tc>
          <w:tcPr>
            <w:tcW w:w="840" w:type="dxa"/>
            <w:vAlign w:val="bottom"/>
            <w:tcBorders>
              <w:bottom w:val="single" w:sz="8" w:color="D8EEF4"/>
            </w:tcBorders>
            <w:shd w:val="clear" w:color="auto" w:fill="D8EEF4"/>
          </w:tcPr>
          <w:p>
            <w:pPr>
              <w:spacing w:after="0"/>
              <w:rPr>
                <w:sz w:val="14"/>
                <w:szCs w:val="14"/>
                <w:color w:val="auto"/>
              </w:rPr>
            </w:pPr>
          </w:p>
        </w:tc>
        <w:tc>
          <w:tcPr>
            <w:tcW w:w="1200" w:type="dxa"/>
            <w:vAlign w:val="bottom"/>
            <w:tcBorders>
              <w:bottom w:val="single" w:sz="8" w:color="D8EEF4"/>
            </w:tcBorders>
            <w:shd w:val="clear" w:color="auto" w:fill="D8EEF4"/>
          </w:tcPr>
          <w:p>
            <w:pPr>
              <w:spacing w:after="0"/>
              <w:rPr>
                <w:sz w:val="14"/>
                <w:szCs w:val="14"/>
                <w:color w:val="auto"/>
              </w:rPr>
            </w:pPr>
          </w:p>
        </w:tc>
        <w:tc>
          <w:tcPr>
            <w:tcW w:w="1800" w:type="dxa"/>
            <w:vAlign w:val="bottom"/>
            <w:tcBorders>
              <w:bottom w:val="single" w:sz="8" w:color="D8EEF4"/>
            </w:tcBorders>
            <w:shd w:val="clear" w:color="auto" w:fill="D8EEF4"/>
          </w:tcPr>
          <w:p>
            <w:pPr>
              <w:spacing w:after="0"/>
              <w:rPr>
                <w:sz w:val="14"/>
                <w:szCs w:val="14"/>
                <w:color w:val="auto"/>
              </w:rPr>
            </w:pPr>
          </w:p>
        </w:tc>
        <w:tc>
          <w:tcPr>
            <w:tcW w:w="800" w:type="dxa"/>
            <w:vAlign w:val="bottom"/>
            <w:tcBorders>
              <w:bottom w:val="single" w:sz="8" w:color="D8EEF4"/>
            </w:tcBorders>
            <w:shd w:val="clear" w:color="auto" w:fill="D8EEF4"/>
          </w:tcPr>
          <w:p>
            <w:pPr>
              <w:spacing w:after="0"/>
              <w:rPr>
                <w:sz w:val="14"/>
                <w:szCs w:val="14"/>
                <w:color w:val="auto"/>
              </w:rPr>
            </w:pPr>
          </w:p>
        </w:tc>
        <w:tc>
          <w:tcPr>
            <w:tcW w:w="40" w:type="dxa"/>
            <w:vAlign w:val="bottom"/>
            <w:tcBorders>
              <w:bottom w:val="single" w:sz="8" w:color="D8EEF4"/>
            </w:tcBorders>
            <w:shd w:val="clear" w:color="auto" w:fill="D8EEF4"/>
          </w:tcPr>
          <w:p>
            <w:pPr>
              <w:spacing w:after="0"/>
              <w:rPr>
                <w:sz w:val="14"/>
                <w:szCs w:val="14"/>
                <w:color w:val="auto"/>
              </w:rPr>
            </w:pPr>
          </w:p>
        </w:tc>
        <w:tc>
          <w:tcPr>
            <w:tcW w:w="1040" w:type="dxa"/>
            <w:vAlign w:val="bottom"/>
            <w:tcBorders>
              <w:bottom w:val="single" w:sz="8" w:color="D8EEF4"/>
            </w:tcBorders>
            <w:shd w:val="clear" w:color="auto" w:fill="D8EEF4"/>
          </w:tcPr>
          <w:p>
            <w:pPr>
              <w:spacing w:after="0"/>
              <w:rPr>
                <w:sz w:val="14"/>
                <w:szCs w:val="14"/>
                <w:color w:val="auto"/>
              </w:rPr>
            </w:pPr>
          </w:p>
        </w:tc>
        <w:tc>
          <w:tcPr>
            <w:tcW w:w="40" w:type="dxa"/>
            <w:vAlign w:val="bottom"/>
            <w:tcBorders>
              <w:bottom w:val="single" w:sz="8" w:color="D8EEF4"/>
            </w:tcBorders>
            <w:shd w:val="clear" w:color="auto" w:fill="D8EEF4"/>
          </w:tcPr>
          <w:p>
            <w:pPr>
              <w:spacing w:after="0"/>
              <w:rPr>
                <w:sz w:val="14"/>
                <w:szCs w:val="14"/>
                <w:color w:val="auto"/>
              </w:rPr>
            </w:pPr>
          </w:p>
        </w:tc>
        <w:tc>
          <w:tcPr>
            <w:tcW w:w="840" w:type="dxa"/>
            <w:vAlign w:val="bottom"/>
            <w:tcBorders>
              <w:bottom w:val="single" w:sz="8" w:color="D8EEF4"/>
            </w:tcBorders>
            <w:shd w:val="clear" w:color="auto" w:fill="D8EEF4"/>
          </w:tcPr>
          <w:p>
            <w:pPr>
              <w:spacing w:after="0"/>
              <w:rPr>
                <w:sz w:val="14"/>
                <w:szCs w:val="14"/>
                <w:color w:val="auto"/>
              </w:rPr>
            </w:pPr>
          </w:p>
        </w:tc>
        <w:tc>
          <w:tcPr>
            <w:tcW w:w="160" w:type="dxa"/>
            <w:vAlign w:val="bottom"/>
            <w:tcBorders>
              <w:bottom w:val="single" w:sz="8" w:color="D8EEF4"/>
            </w:tcBorders>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shd w:val="clear" w:color="auto" w:fill="4C4C4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40" w:type="dxa"/>
            <w:vAlign w:val="bottom"/>
            <w:shd w:val="clear" w:color="auto" w:fill="4C4C4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40" w:type="dxa"/>
            <w:vAlign w:val="bottom"/>
            <w:shd w:val="clear" w:color="auto" w:fill="4C4C4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566,452</w:t>
            </w:r>
          </w:p>
        </w:tc>
        <w:tc>
          <w:tcPr>
            <w:tcW w:w="40" w:type="dxa"/>
            <w:vAlign w:val="bottom"/>
            <w:vMerge w:val="continue"/>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577,247</w:t>
            </w:r>
          </w:p>
        </w:tc>
        <w:tc>
          <w:tcPr>
            <w:tcW w:w="40" w:type="dxa"/>
            <w:vAlign w:val="bottom"/>
            <w:vMerge w:val="continue"/>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35.9%</w:t>
            </w:r>
          </w:p>
        </w:tc>
        <w:tc>
          <w:tcPr>
            <w:tcW w:w="0" w:type="dxa"/>
            <w:vAlign w:val="bottom"/>
          </w:tcPr>
          <w:p>
            <w:pPr>
              <w:spacing w:after="0"/>
              <w:rPr>
                <w:sz w:val="1"/>
                <w:szCs w:val="1"/>
                <w:color w:val="auto"/>
              </w:rPr>
            </w:pPr>
          </w:p>
        </w:tc>
      </w:tr>
      <w:tr>
        <w:trPr>
          <w:trHeight w:val="181"/>
        </w:trPr>
        <w:tc>
          <w:tcPr>
            <w:tcW w:w="23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Manufacturing</w:t>
            </w:r>
          </w:p>
        </w:tc>
        <w:tc>
          <w:tcPr>
            <w:tcW w:w="182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tcBorders>
            <w:shd w:val="clear" w:color="auto" w:fill="D8EEF4"/>
          </w:tcPr>
          <w:p>
            <w:pPr>
              <w:spacing w:after="0"/>
              <w:rPr>
                <w:sz w:val="15"/>
                <w:szCs w:val="15"/>
                <w:color w:val="auto"/>
              </w:rPr>
            </w:pPr>
          </w:p>
        </w:tc>
        <w:tc>
          <w:tcPr>
            <w:tcW w:w="180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4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Arcwood Environmental, Inc. </w:t>
            </w:r>
            <w:r>
              <w:rPr>
                <w:rFonts w:ascii="Times New Roman" w:cs="Times New Roman" w:eastAsia="Times New Roman" w:hAnsi="Times New Roman"/>
                <w:sz w:val="19"/>
                <w:szCs w:val="19"/>
                <w:color w:val="4C4C4E"/>
                <w:vertAlign w:val="superscript"/>
              </w:rPr>
              <w:t>(3)</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($12,160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1/31/2024</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9.09%</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12,110</w:t>
            </w:r>
          </w:p>
        </w:tc>
        <w:tc>
          <w:tcPr>
            <w:tcW w:w="4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12,231</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1/2031)</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rPr>
                <w:sz w:val="14"/>
                <w:szCs w:val="14"/>
                <w:color w:val="auto"/>
              </w:rPr>
            </w:pP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($3,764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9/27/2024</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8.71%</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3,746</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3,764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1/2031)</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ASP Unifrax Holdings, Inc. </w:t>
            </w:r>
            <w:r>
              <w:rPr>
                <w:rFonts w:ascii="Times New Roman" w:cs="Times New Roman" w:eastAsia="Times New Roman" w:hAnsi="Times New Roman"/>
                <w:sz w:val="19"/>
                <w:szCs w:val="19"/>
                <w:color w:val="4C4C4E"/>
                <w:vertAlign w:val="superscript"/>
              </w:rPr>
              <w:t>(9)</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($3,619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9/30/2024</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+ 7.75%</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11.75% (incl. 4.75% PIK)</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3,558</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2,877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820" w:type="dxa"/>
            <w:vAlign w:val="bottom"/>
          </w:tcPr>
          <w:p>
            <w:pPr>
              <w:ind w:left="80"/>
              <w:spacing w:after="0" w:line="188" w:lineRule="exact"/>
              <w:rPr>
                <w:sz w:val="20"/>
                <w:szCs w:val="20"/>
                <w:color w:val="auto"/>
              </w:rPr>
            </w:pPr>
            <w:r>
              <w:rPr>
                <w:rFonts w:ascii="Times New Roman" w:cs="Times New Roman" w:eastAsia="Times New Roman" w:hAnsi="Times New Roman"/>
                <w:sz w:val="15"/>
                <w:szCs w:val="15"/>
                <w:color w:val="4C4C4E"/>
              </w:rPr>
              <w:t xml:space="preserve">due 9/2029) </w:t>
            </w:r>
            <w:r>
              <w:rPr>
                <w:rFonts w:ascii="Times New Roman" w:cs="Times New Roman" w:eastAsia="Times New Roman" w:hAnsi="Times New Roman"/>
                <w:sz w:val="20"/>
                <w:szCs w:val="20"/>
                <w:color w:val="4C4C4E"/>
                <w:vertAlign w:val="superscript"/>
              </w:rPr>
              <w:t>(3)</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D8EEF4"/>
          </w:tcPr>
          <w:p>
            <w:pPr>
              <w:spacing w:after="0"/>
              <w:rPr>
                <w:sz w:val="14"/>
                <w:szCs w:val="14"/>
                <w:color w:val="auto"/>
              </w:rPr>
            </w:pPr>
          </w:p>
        </w:tc>
        <w:tc>
          <w:tcPr>
            <w:tcW w:w="18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Second-lien note ($2,024</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8/31/2023</w:t>
            </w:r>
          </w:p>
        </w:tc>
        <w:tc>
          <w:tcPr>
            <w:tcW w:w="12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7.10%</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7.10% (incl. 1.25% PIK)</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1,559</w:t>
            </w:r>
          </w:p>
        </w:tc>
        <w:tc>
          <w:tcPr>
            <w:tcW w:w="108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00" w:type="dxa"/>
            <w:vAlign w:val="bottom"/>
            <w:shd w:val="clear" w:color="auto" w:fill="D8EEF4"/>
          </w:tcPr>
          <w:p>
            <w:pPr>
              <w:spacing w:after="0"/>
              <w:rPr>
                <w:sz w:val="16"/>
                <w:szCs w:val="16"/>
                <w:color w:val="auto"/>
              </w:rPr>
            </w:pPr>
          </w:p>
        </w:tc>
        <w:tc>
          <w:tcPr>
            <w:tcW w:w="1820" w:type="dxa"/>
            <w:vAlign w:val="bottom"/>
            <w:shd w:val="clear" w:color="auto" w:fill="D8EEF4"/>
          </w:tcPr>
          <w:p>
            <w:pPr>
              <w:ind w:left="80"/>
              <w:spacing w:after="0" w:line="188" w:lineRule="exact"/>
              <w:rPr>
                <w:sz w:val="20"/>
                <w:szCs w:val="20"/>
                <w:color w:val="auto"/>
              </w:rPr>
            </w:pPr>
            <w:r>
              <w:rPr>
                <w:rFonts w:ascii="Times New Roman" w:cs="Times New Roman" w:eastAsia="Times New Roman" w:hAnsi="Times New Roman"/>
                <w:sz w:val="15"/>
                <w:szCs w:val="15"/>
                <w:color w:val="4C4C4E"/>
              </w:rPr>
              <w:t xml:space="preserve">par, due 9/2029) </w:t>
            </w:r>
            <w:r>
              <w:rPr>
                <w:rFonts w:ascii="Times New Roman" w:cs="Times New Roman" w:eastAsia="Times New Roman" w:hAnsi="Times New Roman"/>
                <w:sz w:val="20"/>
                <w:szCs w:val="20"/>
                <w:color w:val="4C4C4E"/>
                <w:vertAlign w:val="superscript"/>
              </w:rPr>
              <w:t>(14)</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Varinem German BidCo GMBH </w:t>
            </w:r>
            <w:r>
              <w:rPr>
                <w:rFonts w:ascii="Times New Roman" w:cs="Times New Roman" w:eastAsia="Times New Roman" w:hAnsi="Times New Roman"/>
                <w:sz w:val="19"/>
                <w:szCs w:val="19"/>
                <w:color w:val="4C4C4E"/>
                <w:vertAlign w:val="superscript"/>
              </w:rPr>
              <w:t>(3)(4)</w:t>
            </w:r>
          </w:p>
        </w:tc>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(EUR 12,696</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7/11/2024</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+ 5.50%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7.57%</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13,699</w:t>
            </w:r>
          </w:p>
        </w:tc>
        <w:tc>
          <w:tcPr>
            <w:tcW w:w="10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15,097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0.9%</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par, due 7/2031)</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12,855)</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80"/>
          </w:cols>
          <w:pgMar w:left="500" w:top="768" w:right="500" w:bottom="0"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F-9</w:t>
      </w:r>
    </w:p>
    <w:p>
      <w:pPr>
        <w:sectPr>
          <w:pgSz w:w="11880" w:h="15480" w:orient="portrait"/>
          <w:cols w:equalWidth="0" w:num="1">
            <w:col w:w="10880"/>
          </w:cols>
          <w:pgMar w:left="500" w:top="768" w:right="50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72"/>
        </w:trPr>
        <w:tc>
          <w:tcPr>
            <w:tcW w:w="2320" w:type="dxa"/>
            <w:vAlign w:val="bottom"/>
            <w:shd w:val="clear" w:color="auto" w:fill="D8EEF4"/>
          </w:tcPr>
          <w:p>
            <w:pPr>
              <w:spacing w:after="0"/>
              <w:rPr>
                <w:sz w:val="15"/>
                <w:szCs w:val="15"/>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First-lien loan (EUR 4,392</w:t>
            </w:r>
          </w:p>
        </w:tc>
        <w:tc>
          <w:tcPr>
            <w:tcW w:w="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7/11/2024</w:t>
            </w:r>
          </w:p>
        </w:tc>
        <w:tc>
          <w:tcPr>
            <w:tcW w:w="1200" w:type="dxa"/>
            <w:vAlign w:val="bottom"/>
            <w:shd w:val="clear" w:color="auto" w:fill="D8EEF4"/>
          </w:tcPr>
          <w:p>
            <w:pPr>
              <w:jc w:val="right"/>
              <w:ind w:right="65"/>
              <w:spacing w:after="0"/>
              <w:rPr>
                <w:sz w:val="20"/>
                <w:szCs w:val="20"/>
                <w:color w:val="auto"/>
              </w:rPr>
            </w:pPr>
            <w:r>
              <w:rPr>
                <w:rFonts w:ascii="Times New Roman" w:cs="Times New Roman" w:eastAsia="Times New Roman" w:hAnsi="Times New Roman"/>
                <w:sz w:val="15"/>
                <w:szCs w:val="15"/>
                <w:color w:val="4C4C4E"/>
              </w:rPr>
              <w:t>E + 4.75%</w:t>
            </w:r>
          </w:p>
        </w:tc>
        <w:tc>
          <w:tcPr>
            <w:tcW w:w="18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6.82%</w:t>
            </w:r>
          </w:p>
        </w:tc>
        <w:tc>
          <w:tcPr>
            <w:tcW w:w="80" w:type="dxa"/>
            <w:vAlign w:val="bottom"/>
            <w:shd w:val="clear" w:color="auto" w:fill="D8EEF4"/>
          </w:tcPr>
          <w:p>
            <w:pPr>
              <w:spacing w:after="0"/>
              <w:rPr>
                <w:sz w:val="15"/>
                <w:szCs w:val="15"/>
                <w:color w:val="auto"/>
              </w:rPr>
            </w:pPr>
          </w:p>
        </w:tc>
        <w:tc>
          <w:tcPr>
            <w:tcW w:w="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4,684</w:t>
            </w:r>
          </w:p>
        </w:tc>
        <w:tc>
          <w:tcPr>
            <w:tcW w:w="108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5,158</w:t>
            </w:r>
          </w:p>
        </w:tc>
        <w:tc>
          <w:tcPr>
            <w:tcW w:w="104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 due 7/2031)</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9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4,392)</w:t>
            </w:r>
          </w:p>
        </w:tc>
        <w:tc>
          <w:tcPr>
            <w:tcW w:w="40" w:type="dxa"/>
            <w:vAlign w:val="bottom"/>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39,356</w:t>
            </w:r>
          </w:p>
        </w:tc>
        <w:tc>
          <w:tcPr>
            <w:tcW w:w="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39,350</w:t>
            </w:r>
          </w:p>
        </w:tc>
        <w:tc>
          <w:tcPr>
            <w:tcW w:w="4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2.4%</w:t>
            </w:r>
          </w:p>
        </w:tc>
        <w:tc>
          <w:tcPr>
            <w:tcW w:w="0" w:type="dxa"/>
            <w:vAlign w:val="bottom"/>
          </w:tcPr>
          <w:p>
            <w:pPr>
              <w:spacing w:after="0"/>
              <w:rPr>
                <w:sz w:val="1"/>
                <w:szCs w:val="1"/>
                <w:color w:val="auto"/>
              </w:rPr>
            </w:pPr>
          </w:p>
        </w:tc>
      </w:tr>
      <w:tr>
        <w:trPr>
          <w:trHeight w:val="181"/>
        </w:trPr>
        <w:tc>
          <w:tcPr>
            <w:tcW w:w="23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Office Products</w:t>
            </w:r>
          </w:p>
        </w:tc>
        <w:tc>
          <w:tcPr>
            <w:tcW w:w="180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USR Parent, Inc. </w:t>
            </w:r>
            <w:r>
              <w:rPr>
                <w:rFonts w:ascii="Times New Roman" w:cs="Times New Roman" w:eastAsia="Times New Roman" w:hAnsi="Times New Roman"/>
                <w:sz w:val="19"/>
                <w:szCs w:val="19"/>
                <w:color w:val="4C4C4E"/>
                <w:vertAlign w:val="superscript"/>
              </w:rPr>
              <w:t>(3)(5)</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ABL FILO term loan</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4/25/2022</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10.37%</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9,723</w:t>
            </w:r>
          </w:p>
        </w:tc>
        <w:tc>
          <w:tcPr>
            <w:tcW w:w="4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9,809</w:t>
            </w:r>
          </w:p>
        </w:tc>
        <w:tc>
          <w:tcPr>
            <w:tcW w:w="40" w:type="dxa"/>
            <w:vAlign w:val="bottom"/>
          </w:tcPr>
          <w:p>
            <w:pPr>
              <w:spacing w:after="0"/>
              <w:rPr>
                <w:sz w:val="14"/>
                <w:szCs w:val="14"/>
                <w:color w:val="auto"/>
              </w:rPr>
            </w:pPr>
          </w:p>
        </w:tc>
        <w:tc>
          <w:tcPr>
            <w:tcW w:w="100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0.6%</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($9,809 par, due 4/2027)</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Oil, Gas and Consumable Fuels</w:t>
            </w: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Laramie Energy, LLC </w:t>
            </w:r>
            <w:r>
              <w:rPr>
                <w:rFonts w:ascii="Times New Roman" w:cs="Times New Roman" w:eastAsia="Times New Roman" w:hAnsi="Times New Roman"/>
                <w:sz w:val="19"/>
                <w:szCs w:val="19"/>
                <w:color w:val="4C4C4E"/>
                <w:vertAlign w:val="superscript"/>
              </w:rPr>
              <w:t>(3)</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($27,317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2/21/2023</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+ 7.10%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10.82%</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27,162</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27,590</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1.7%</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2/2027)</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TRP Assets, LLC </w:t>
            </w:r>
            <w:r>
              <w:rPr>
                <w:rFonts w:ascii="Times New Roman" w:cs="Times New Roman" w:eastAsia="Times New Roman" w:hAnsi="Times New Roman"/>
                <w:sz w:val="19"/>
                <w:szCs w:val="19"/>
                <w:color w:val="4C4C4E"/>
                <w:vertAlign w:val="superscript"/>
              </w:rPr>
              <w:t>(3)</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($54,834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12/20/2024</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10.67%</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53,855</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55,485</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3.5%</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12/2029)</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72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96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81,017</w:t>
            </w:r>
          </w:p>
        </w:tc>
        <w:tc>
          <w:tcPr>
            <w:tcW w:w="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83,075</w:t>
            </w:r>
          </w:p>
        </w:tc>
        <w:tc>
          <w:tcPr>
            <w:tcW w:w="4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5.2%</w:t>
            </w:r>
          </w:p>
        </w:tc>
        <w:tc>
          <w:tcPr>
            <w:tcW w:w="0" w:type="dxa"/>
            <w:vAlign w:val="bottom"/>
          </w:tcPr>
          <w:p>
            <w:pPr>
              <w:spacing w:after="0"/>
              <w:rPr>
                <w:sz w:val="1"/>
                <w:szCs w:val="1"/>
                <w:color w:val="auto"/>
              </w:rPr>
            </w:pPr>
          </w:p>
        </w:tc>
      </w:tr>
      <w:tr>
        <w:trPr>
          <w:trHeight w:val="181"/>
        </w:trPr>
        <w:tc>
          <w:tcPr>
            <w:tcW w:w="23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Other</w:t>
            </w:r>
          </w:p>
        </w:tc>
        <w:tc>
          <w:tcPr>
            <w:tcW w:w="180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Boréal Bidco </w:t>
            </w:r>
            <w:r>
              <w:rPr>
                <w:rFonts w:ascii="Times New Roman" w:cs="Times New Roman" w:eastAsia="Times New Roman" w:hAnsi="Times New Roman"/>
                <w:sz w:val="19"/>
                <w:szCs w:val="19"/>
                <w:color w:val="4C4C4E"/>
                <w:vertAlign w:val="superscript"/>
              </w:rPr>
              <w:t>(3)(4)</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note (EUR 13,605</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3/24/2025</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E + 7.25%</w:t>
            </w:r>
          </w:p>
        </w:tc>
        <w:tc>
          <w:tcPr>
            <w:tcW w:w="184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9.27% (incl. 5.75% PIK)</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14,458</w:t>
            </w:r>
          </w:p>
        </w:tc>
        <w:tc>
          <w:tcPr>
            <w:tcW w:w="4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15,858</w:t>
            </w:r>
          </w:p>
        </w:tc>
        <w:tc>
          <w:tcPr>
            <w:tcW w:w="40" w:type="dxa"/>
            <w:vAlign w:val="bottom"/>
          </w:tcPr>
          <w:p>
            <w:pPr>
              <w:spacing w:after="0"/>
              <w:rPr>
                <w:sz w:val="14"/>
                <w:szCs w:val="14"/>
                <w:color w:val="auto"/>
              </w:rPr>
            </w:pPr>
          </w:p>
        </w:tc>
        <w:tc>
          <w:tcPr>
            <w:tcW w:w="100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par, due 3/2032)</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13,503)</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Kahua, Inc. </w:t>
            </w:r>
            <w:r>
              <w:rPr>
                <w:rFonts w:ascii="Times New Roman" w:cs="Times New Roman" w:eastAsia="Times New Roman" w:hAnsi="Times New Roman"/>
                <w:sz w:val="19"/>
                <w:szCs w:val="19"/>
                <w:color w:val="4C4C4E"/>
                <w:vertAlign w:val="superscript"/>
              </w:rPr>
              <w:t>(3)</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($25,000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8/22/2025</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+ 6.00%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9.72%</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24,671</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24,700</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1.5%</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8/2030)</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Omnigo Software, LLC </w:t>
            </w:r>
            <w:r>
              <w:rPr>
                <w:rFonts w:ascii="Times New Roman" w:cs="Times New Roman" w:eastAsia="Times New Roman" w:hAnsi="Times New Roman"/>
                <w:sz w:val="19"/>
                <w:szCs w:val="19"/>
                <w:color w:val="4C4C4E"/>
                <w:vertAlign w:val="superscript"/>
              </w:rPr>
              <w:t>(3)</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($13,125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12/19/2025</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8.70%</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13,053</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13,049</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12/2030)</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Scorpio Bidco </w:t>
            </w:r>
            <w:r>
              <w:rPr>
                <w:rFonts w:ascii="Times New Roman" w:cs="Times New Roman" w:eastAsia="Times New Roman" w:hAnsi="Times New Roman"/>
                <w:sz w:val="19"/>
                <w:szCs w:val="19"/>
                <w:color w:val="4C4C4E"/>
                <w:vertAlign w:val="superscript"/>
              </w:rPr>
              <w:t>(3)(4)</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2,511</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4/4/2024</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E + 5.75%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7.77%</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2,682</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2,967</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 due 4/2031)</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2,526)</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Sediver S.p.A. </w:t>
            </w:r>
            <w:r>
              <w:rPr>
                <w:rFonts w:ascii="Times New Roman" w:cs="Times New Roman" w:eastAsia="Times New Roman" w:hAnsi="Times New Roman"/>
                <w:sz w:val="19"/>
                <w:szCs w:val="19"/>
                <w:color w:val="4C4C4E"/>
                <w:vertAlign w:val="superscript"/>
              </w:rPr>
              <w:t>(3)(4)</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note (EUR 6,368</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10/29/2024</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E + 5.00%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7.02%</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6,721</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7,479</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0.5%</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par, due 10/2031)</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6,368)</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rPr>
                <w:sz w:val="14"/>
                <w:szCs w:val="14"/>
                <w:color w:val="auto"/>
              </w:rPr>
            </w:pP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note ($14,085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10/29/2024</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8.67%</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13,856</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14,085</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0.9%</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D8EEF4"/>
            </w:tcBorders>
            <w:shd w:val="clear" w:color="auto" w:fill="D8EEF4"/>
          </w:tcPr>
          <w:p>
            <w:pPr>
              <w:spacing w:after="0"/>
              <w:rPr>
                <w:sz w:val="18"/>
                <w:szCs w:val="18"/>
                <w:color w:val="auto"/>
              </w:rPr>
            </w:pPr>
          </w:p>
        </w:tc>
        <w:tc>
          <w:tcPr>
            <w:tcW w:w="1800" w:type="dxa"/>
            <w:vAlign w:val="bottom"/>
            <w:tcBorders>
              <w:bottom w:val="single" w:sz="8" w:color="D8EEF4"/>
            </w:tcBorders>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10/2031)</w:t>
            </w:r>
          </w:p>
        </w:tc>
        <w:tc>
          <w:tcPr>
            <w:tcW w:w="800" w:type="dxa"/>
            <w:vAlign w:val="bottom"/>
            <w:tcBorders>
              <w:bottom w:val="single" w:sz="8" w:color="D8EEF4"/>
            </w:tcBorders>
            <w:shd w:val="clear" w:color="auto" w:fill="D8EEF4"/>
          </w:tcPr>
          <w:p>
            <w:pPr>
              <w:spacing w:after="0"/>
              <w:rPr>
                <w:sz w:val="18"/>
                <w:szCs w:val="18"/>
                <w:color w:val="auto"/>
              </w:rPr>
            </w:pPr>
          </w:p>
        </w:tc>
        <w:tc>
          <w:tcPr>
            <w:tcW w:w="1200" w:type="dxa"/>
            <w:vAlign w:val="bottom"/>
            <w:tcBorders>
              <w:bottom w:val="single" w:sz="8" w:color="D8EEF4"/>
            </w:tcBorders>
            <w:shd w:val="clear" w:color="auto" w:fill="D8EEF4"/>
          </w:tcPr>
          <w:p>
            <w:pPr>
              <w:spacing w:after="0"/>
              <w:rPr>
                <w:sz w:val="18"/>
                <w:szCs w:val="18"/>
                <w:color w:val="auto"/>
              </w:rPr>
            </w:pPr>
          </w:p>
        </w:tc>
        <w:tc>
          <w:tcPr>
            <w:tcW w:w="184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D8EEF4"/>
            </w:tcBorders>
            <w:shd w:val="clear" w:color="auto" w:fill="D8EEF4"/>
          </w:tcPr>
          <w:p>
            <w:pPr>
              <w:spacing w:after="0"/>
              <w:rPr>
                <w:sz w:val="18"/>
                <w:szCs w:val="18"/>
                <w:color w:val="auto"/>
              </w:rPr>
            </w:pPr>
          </w:p>
        </w:tc>
        <w:tc>
          <w:tcPr>
            <w:tcW w:w="72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4C4C4E"/>
            </w:tcBorders>
            <w:shd w:val="clear" w:color="auto" w:fill="D8EEF4"/>
          </w:tcPr>
          <w:p>
            <w:pPr>
              <w:spacing w:after="0"/>
              <w:rPr>
                <w:sz w:val="18"/>
                <w:szCs w:val="18"/>
                <w:color w:val="auto"/>
              </w:rPr>
            </w:pPr>
          </w:p>
        </w:tc>
        <w:tc>
          <w:tcPr>
            <w:tcW w:w="96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75,441</w:t>
            </w:r>
          </w:p>
        </w:tc>
        <w:tc>
          <w:tcPr>
            <w:tcW w:w="40" w:type="dxa"/>
            <w:vAlign w:val="bottom"/>
          </w:tcPr>
          <w:p>
            <w:pPr>
              <w:spacing w:after="0"/>
              <w:rPr>
                <w:sz w:val="14"/>
                <w:szCs w:val="14"/>
                <w:color w:val="auto"/>
              </w:rPr>
            </w:pPr>
          </w:p>
        </w:tc>
        <w:tc>
          <w:tcPr>
            <w:tcW w:w="10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78,138</w:t>
            </w:r>
          </w:p>
        </w:tc>
        <w:tc>
          <w:tcPr>
            <w:tcW w:w="40" w:type="dxa"/>
            <w:vAlign w:val="bottom"/>
          </w:tcPr>
          <w:p>
            <w:pPr>
              <w:spacing w:after="0"/>
              <w:rPr>
                <w:sz w:val="14"/>
                <w:szCs w:val="14"/>
                <w:color w:val="auto"/>
              </w:rPr>
            </w:pPr>
          </w:p>
        </w:tc>
        <w:tc>
          <w:tcPr>
            <w:tcW w:w="100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5"/>
                <w:szCs w:val="15"/>
                <w:color w:val="4C4C4E"/>
              </w:rPr>
              <w:t>4.9%</w:t>
            </w:r>
          </w:p>
        </w:tc>
        <w:tc>
          <w:tcPr>
            <w:tcW w:w="0" w:type="dxa"/>
            <w:vAlign w:val="bottom"/>
          </w:tcPr>
          <w:p>
            <w:pPr>
              <w:spacing w:after="0"/>
              <w:rPr>
                <w:sz w:val="1"/>
                <w:szCs w:val="1"/>
                <w:color w:val="auto"/>
              </w:rPr>
            </w:pPr>
          </w:p>
        </w:tc>
      </w:tr>
      <w:tr>
        <w:trPr>
          <w:trHeight w:val="181"/>
        </w:trPr>
        <w:tc>
          <w:tcPr>
            <w:tcW w:w="23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Pharmaceuticals</w:t>
            </w:r>
          </w:p>
        </w:tc>
        <w:tc>
          <w:tcPr>
            <w:tcW w:w="180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Apellis Pharmaceuticals, Inc. </w:t>
            </w:r>
            <w:r>
              <w:rPr>
                <w:rFonts w:ascii="Times New Roman" w:cs="Times New Roman" w:eastAsia="Times New Roman" w:hAnsi="Times New Roman"/>
                <w:sz w:val="19"/>
                <w:szCs w:val="19"/>
                <w:color w:val="4C4C4E"/>
                <w:vertAlign w:val="superscript"/>
              </w:rPr>
              <w:t>(3)(4)</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($19,737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5/13/2024</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9.42%</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19,737</w:t>
            </w:r>
          </w:p>
        </w:tc>
        <w:tc>
          <w:tcPr>
            <w:tcW w:w="4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19,786</w:t>
            </w:r>
          </w:p>
        </w:tc>
        <w:tc>
          <w:tcPr>
            <w:tcW w:w="40" w:type="dxa"/>
            <w:vAlign w:val="bottom"/>
          </w:tcPr>
          <w:p>
            <w:pPr>
              <w:spacing w:after="0"/>
              <w:rPr>
                <w:sz w:val="14"/>
                <w:szCs w:val="14"/>
                <w:color w:val="auto"/>
              </w:rPr>
            </w:pPr>
          </w:p>
        </w:tc>
        <w:tc>
          <w:tcPr>
            <w:tcW w:w="100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1.2%</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5/2030)</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Arrowhead Pharmaceuticals, Inc. </w:t>
            </w:r>
            <w:r>
              <w:rPr>
                <w:rFonts w:ascii="Times New Roman" w:cs="Times New Roman" w:eastAsia="Times New Roman" w:hAnsi="Times New Roman"/>
                <w:sz w:val="19"/>
                <w:szCs w:val="19"/>
                <w:color w:val="4C4C4E"/>
                <w:vertAlign w:val="superscript"/>
              </w:rPr>
              <w:t>(4)</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($26,873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8/7/2024</w:t>
            </w:r>
          </w:p>
        </w:tc>
        <w:tc>
          <w:tcPr>
            <w:tcW w:w="12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15.00%</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26,686</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30,098</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1.9%</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8/2031)</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Elysium BidCo Limited </w:t>
            </w:r>
            <w:r>
              <w:rPr>
                <w:rFonts w:ascii="Times New Roman" w:cs="Times New Roman" w:eastAsia="Times New Roman" w:hAnsi="Times New Roman"/>
                <w:sz w:val="19"/>
                <w:szCs w:val="19"/>
                <w:color w:val="4C4C4E"/>
                <w:vertAlign w:val="superscript"/>
              </w:rPr>
              <w:t>(3)(4)</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17,985</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12/11/2024</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E + 7.25%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9.27%</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18,463</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20,911</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1.3%</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par, due 12/2030)</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17,805)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rPr>
                <w:sz w:val="14"/>
                <w:szCs w:val="14"/>
                <w:color w:val="auto"/>
              </w:rPr>
            </w:pP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(GBP 9,953</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12/11/2024</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 + 7.25%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10.98%</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12,407</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13,287</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D8EEF4"/>
            </w:tcBorders>
            <w:shd w:val="clear" w:color="auto" w:fill="D8EEF4"/>
          </w:tcPr>
          <w:p>
            <w:pPr>
              <w:spacing w:after="0"/>
              <w:rPr>
                <w:sz w:val="18"/>
                <w:szCs w:val="18"/>
                <w:color w:val="auto"/>
              </w:rPr>
            </w:pPr>
          </w:p>
        </w:tc>
        <w:tc>
          <w:tcPr>
            <w:tcW w:w="1800" w:type="dxa"/>
            <w:vAlign w:val="bottom"/>
            <w:tcBorders>
              <w:bottom w:val="single" w:sz="8" w:color="D8EEF4"/>
            </w:tcBorders>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 due 12/2030)</w:t>
            </w:r>
          </w:p>
        </w:tc>
        <w:tc>
          <w:tcPr>
            <w:tcW w:w="800" w:type="dxa"/>
            <w:vAlign w:val="bottom"/>
            <w:tcBorders>
              <w:bottom w:val="single" w:sz="8" w:color="D8EEF4"/>
            </w:tcBorders>
            <w:shd w:val="clear" w:color="auto" w:fill="D8EEF4"/>
          </w:tcPr>
          <w:p>
            <w:pPr>
              <w:spacing w:after="0"/>
              <w:rPr>
                <w:sz w:val="18"/>
                <w:szCs w:val="18"/>
                <w:color w:val="auto"/>
              </w:rPr>
            </w:pPr>
          </w:p>
        </w:tc>
        <w:tc>
          <w:tcPr>
            <w:tcW w:w="1200" w:type="dxa"/>
            <w:vAlign w:val="bottom"/>
            <w:tcBorders>
              <w:bottom w:val="single" w:sz="8" w:color="D8EEF4"/>
            </w:tcBorders>
            <w:shd w:val="clear" w:color="auto" w:fill="D8EEF4"/>
          </w:tcPr>
          <w:p>
            <w:pPr>
              <w:spacing w:after="0"/>
              <w:rPr>
                <w:sz w:val="18"/>
                <w:szCs w:val="18"/>
                <w:color w:val="auto"/>
              </w:rPr>
            </w:pPr>
          </w:p>
        </w:tc>
        <w:tc>
          <w:tcPr>
            <w:tcW w:w="184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D8EEF4"/>
            </w:tcBorders>
            <w:shd w:val="clear" w:color="auto" w:fill="D8EEF4"/>
          </w:tcPr>
          <w:p>
            <w:pPr>
              <w:spacing w:after="0"/>
              <w:rPr>
                <w:sz w:val="18"/>
                <w:szCs w:val="18"/>
                <w:color w:val="auto"/>
              </w:rPr>
            </w:pPr>
          </w:p>
        </w:tc>
        <w:tc>
          <w:tcPr>
            <w:tcW w:w="72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D8EEF4"/>
            </w:tcBorders>
            <w:shd w:val="clear" w:color="auto" w:fill="D8EEF4"/>
          </w:tcPr>
          <w:p>
            <w:pPr>
              <w:spacing w:after="0"/>
              <w:rPr>
                <w:sz w:val="18"/>
                <w:szCs w:val="18"/>
                <w:color w:val="auto"/>
              </w:rPr>
            </w:pPr>
          </w:p>
        </w:tc>
        <w:tc>
          <w:tcPr>
            <w:tcW w:w="9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(GBP 9,878)</w:t>
            </w: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77,293</w:t>
            </w:r>
          </w:p>
        </w:tc>
        <w:tc>
          <w:tcPr>
            <w:tcW w:w="120" w:type="dxa"/>
            <w:vAlign w:val="bottom"/>
            <w:gridSpan w:val="2"/>
          </w:tcPr>
          <w:p>
            <w:pPr>
              <w:spacing w:after="0"/>
              <w:rPr>
                <w:sz w:val="14"/>
                <w:szCs w:val="14"/>
                <w:color w:val="auto"/>
              </w:rPr>
            </w:pPr>
          </w:p>
        </w:tc>
        <w:tc>
          <w:tcPr>
            <w:tcW w:w="9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84,082</w:t>
            </w:r>
          </w:p>
        </w:tc>
        <w:tc>
          <w:tcPr>
            <w:tcW w:w="40" w:type="dxa"/>
            <w:vAlign w:val="bottom"/>
          </w:tcPr>
          <w:p>
            <w:pPr>
              <w:spacing w:after="0"/>
              <w:rPr>
                <w:sz w:val="14"/>
                <w:szCs w:val="14"/>
                <w:color w:val="auto"/>
              </w:rPr>
            </w:pPr>
          </w:p>
        </w:tc>
        <w:tc>
          <w:tcPr>
            <w:tcW w:w="100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5"/>
                <w:szCs w:val="15"/>
                <w:color w:val="4C4C4E"/>
              </w:rPr>
              <w:t>5.2%</w:t>
            </w:r>
          </w:p>
        </w:tc>
        <w:tc>
          <w:tcPr>
            <w:tcW w:w="0" w:type="dxa"/>
            <w:vAlign w:val="bottom"/>
          </w:tcPr>
          <w:p>
            <w:pPr>
              <w:spacing w:after="0"/>
              <w:rPr>
                <w:sz w:val="1"/>
                <w:szCs w:val="1"/>
                <w:color w:val="auto"/>
              </w:rPr>
            </w:pPr>
          </w:p>
        </w:tc>
      </w:tr>
      <w:tr>
        <w:trPr>
          <w:trHeight w:val="181"/>
        </w:trPr>
        <w:tc>
          <w:tcPr>
            <w:tcW w:w="23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Real Estate</w:t>
            </w:r>
          </w:p>
        </w:tc>
        <w:tc>
          <w:tcPr>
            <w:tcW w:w="180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Cirrus (BidCo) Limited </w:t>
            </w:r>
            <w:r>
              <w:rPr>
                <w:rFonts w:ascii="Times New Roman" w:cs="Times New Roman" w:eastAsia="Times New Roman" w:hAnsi="Times New Roman"/>
                <w:sz w:val="19"/>
                <w:szCs w:val="19"/>
                <w:color w:val="4C4C4E"/>
                <w:vertAlign w:val="superscript"/>
              </w:rPr>
              <w:t>(3)(4)(5)</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(GBP 698</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8/9/2024</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 + 5.25%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8.98%</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871</w:t>
            </w:r>
          </w:p>
        </w:tc>
        <w:tc>
          <w:tcPr>
            <w:tcW w:w="120" w:type="dxa"/>
            <w:vAlign w:val="bottom"/>
            <w:gridSpan w:val="2"/>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939</w:t>
            </w:r>
          </w:p>
        </w:tc>
        <w:tc>
          <w:tcPr>
            <w:tcW w:w="40" w:type="dxa"/>
            <w:vAlign w:val="bottom"/>
          </w:tcPr>
          <w:p>
            <w:pPr>
              <w:spacing w:after="0"/>
              <w:rPr>
                <w:sz w:val="14"/>
                <w:szCs w:val="14"/>
                <w:color w:val="auto"/>
              </w:rPr>
            </w:pPr>
          </w:p>
        </w:tc>
        <w:tc>
          <w:tcPr>
            <w:tcW w:w="100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par, due 8/2030)</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(GBP 698)</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2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Retail and Consumer Products</w:t>
            </w:r>
          </w:p>
        </w:tc>
        <w:tc>
          <w:tcPr>
            <w:tcW w:w="1800" w:type="dxa"/>
            <w:vAlign w:val="bottom"/>
            <w:shd w:val="clear" w:color="auto" w:fill="D8EEF4"/>
          </w:tcPr>
          <w:p>
            <w:pPr>
              <w:spacing w:after="0"/>
              <w:rPr>
                <w:sz w:val="16"/>
                <w:szCs w:val="16"/>
                <w:color w:val="auto"/>
              </w:rPr>
            </w:pP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Acosta </w:t>
            </w:r>
            <w:r>
              <w:rPr>
                <w:rFonts w:ascii="Times New Roman" w:cs="Times New Roman" w:eastAsia="Times New Roman" w:hAnsi="Times New Roman"/>
                <w:sz w:val="19"/>
                <w:szCs w:val="19"/>
                <w:color w:val="4C4C4E"/>
                <w:vertAlign w:val="superscript"/>
              </w:rPr>
              <w:t>(3)(9)</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($13,890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8/20/2024</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+ 5.60%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9.22%</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13,632</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13,566</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8/2031)</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American Achievement, Corp. </w:t>
            </w:r>
            <w:r>
              <w:rPr>
                <w:rFonts w:ascii="Times New Roman" w:cs="Times New Roman" w:eastAsia="Times New Roman" w:hAnsi="Times New Roman"/>
                <w:sz w:val="19"/>
                <w:szCs w:val="19"/>
                <w:color w:val="4C4C4E"/>
                <w:vertAlign w:val="superscript"/>
              </w:rPr>
              <w:t>(3)(14)</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($26,664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9/30/2015</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+ 7.35%</w:t>
            </w:r>
          </w:p>
        </w:tc>
        <w:tc>
          <w:tcPr>
            <w:tcW w:w="1920" w:type="dxa"/>
            <w:vAlign w:val="bottom"/>
            <w:gridSpan w:val="2"/>
            <w:shd w:val="clear" w:color="auto" w:fill="D8EEF4"/>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w w:val="99"/>
              </w:rPr>
              <w:t>11.22% (incl. 10.72% PIK)</w:t>
            </w: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25,848</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19,665</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1.2%</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9/2026)</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($1,327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6/10/2021</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+ 15.10%</w:t>
            </w:r>
          </w:p>
        </w:tc>
        <w:tc>
          <w:tcPr>
            <w:tcW w:w="1920" w:type="dxa"/>
            <w:vAlign w:val="bottom"/>
            <w:gridSpan w:val="2"/>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w w:val="99"/>
              </w:rPr>
              <w:t>18.97% (incl. 18.47% PIK)</w:t>
            </w: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1,327</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9/2026)</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rPr>
                <w:sz w:val="14"/>
                <w:szCs w:val="14"/>
                <w:color w:val="auto"/>
              </w:rPr>
            </w:pP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Subordinated note ($4,740</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3/16/2021</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+ 1.15%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5.14%</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545</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59</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 due 9/2026)</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Bed Bath and Beyond Inc. </w:t>
            </w:r>
            <w:r>
              <w:rPr>
                <w:rFonts w:ascii="Times New Roman" w:cs="Times New Roman" w:eastAsia="Times New Roman" w:hAnsi="Times New Roman"/>
                <w:sz w:val="19"/>
                <w:szCs w:val="19"/>
                <w:color w:val="4C4C4E"/>
                <w:vertAlign w:val="superscript"/>
              </w:rPr>
              <w:t>(3)(15)</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ABL FILO term loan</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9/2/2022</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+ 9.90%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13.62%</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5,851</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4,758</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($5,910 par, due 8/2027)</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rPr>
                <w:sz w:val="14"/>
                <w:szCs w:val="14"/>
                <w:color w:val="auto"/>
              </w:rPr>
            </w:pP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Roll Up DIP term loan</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4/24/2023</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+ 7.90%</w:t>
            </w:r>
          </w:p>
        </w:tc>
        <w:tc>
          <w:tcPr>
            <w:tcW w:w="1920" w:type="dxa"/>
            <w:vAlign w:val="bottom"/>
            <w:gridSpan w:val="2"/>
            <w:shd w:val="clear" w:color="auto" w:fill="D8EEF4"/>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rPr>
              <w:t>11.62% PIK</w:t>
            </w: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25,255</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20,331</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1.3%</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($25,255 par)</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Super-Priority DIP term</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4/24/2023</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+ 7.90%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11.62%</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3,575</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2,878</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loan ($3,575 par)</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Belk, Inc. </w:t>
            </w:r>
            <w:r>
              <w:rPr>
                <w:rFonts w:ascii="Times New Roman" w:cs="Times New Roman" w:eastAsia="Times New Roman" w:hAnsi="Times New Roman"/>
                <w:sz w:val="19"/>
                <w:szCs w:val="19"/>
                <w:color w:val="4C4C4E"/>
                <w:vertAlign w:val="superscript"/>
              </w:rPr>
              <w:t>(3)</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($46,875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7/22/2024</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10.82%</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46,252</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46,992</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2.9%</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7/2029)</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Blazing Star Parent, LLC </w:t>
            </w:r>
            <w:r>
              <w:rPr>
                <w:rFonts w:ascii="Times New Roman" w:cs="Times New Roman" w:eastAsia="Times New Roman" w:hAnsi="Times New Roman"/>
                <w:sz w:val="19"/>
                <w:szCs w:val="19"/>
                <w:color w:val="4C4C4E"/>
                <w:vertAlign w:val="superscript"/>
              </w:rPr>
              <w:t>(3)</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($69,563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8/28/2025</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10.82%</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68,574</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68,693</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4.2%</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8/2030)</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Cordance Operations, LLC </w:t>
            </w:r>
            <w:r>
              <w:rPr>
                <w:rFonts w:ascii="Times New Roman" w:cs="Times New Roman" w:eastAsia="Times New Roman" w:hAnsi="Times New Roman"/>
                <w:sz w:val="19"/>
                <w:szCs w:val="19"/>
                <w:color w:val="4C4C4E"/>
                <w:vertAlign w:val="superscript"/>
              </w:rPr>
              <w:t>(3)</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($64,906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7/25/2022</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+ 8.65%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12.53%</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64,160</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65,748</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4.1%</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7/2028)</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Neuintel, LLC </w:t>
            </w:r>
            <w:r>
              <w:rPr>
                <w:rFonts w:ascii="Times New Roman" w:cs="Times New Roman" w:eastAsia="Times New Roman" w:hAnsi="Times New Roman"/>
                <w:sz w:val="19"/>
                <w:szCs w:val="19"/>
                <w:color w:val="4C4C4E"/>
                <w:vertAlign w:val="superscript"/>
              </w:rPr>
              <w:t>(3)(5)</w:t>
            </w: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($53,926 par,</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12/20/2021</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+ 6.85%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10.57%</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53,666</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53,522</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3.3%</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12/2026)</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PDI TA Holdings, Inc. </w:t>
            </w:r>
            <w:r>
              <w:rPr>
                <w:rFonts w:ascii="Times New Roman" w:cs="Times New Roman" w:eastAsia="Times New Roman" w:hAnsi="Times New Roman"/>
                <w:sz w:val="19"/>
                <w:szCs w:val="19"/>
                <w:color w:val="4C4C4E"/>
                <w:vertAlign w:val="superscript"/>
              </w:rPr>
              <w:t>(3)</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($20,284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2/1/2024</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9.34%</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20,054</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20,334</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1.3%</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rPr>
                <w:sz w:val="16"/>
                <w:szCs w:val="16"/>
                <w:color w:val="auto"/>
              </w:rPr>
            </w:pP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2/2031)</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2/1/2024</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9.34%</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1,185</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1,207</w:t>
            </w:r>
          </w:p>
        </w:tc>
        <w:tc>
          <w:tcPr>
            <w:tcW w:w="104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($1,203 par, due 2/2031)</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Rapid Data GmbH</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7,546</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7/11/2023</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E + 6.50%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8.51%</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8,127</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8,862</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0.6%</w:t>
            </w:r>
          </w:p>
        </w:tc>
        <w:tc>
          <w:tcPr>
            <w:tcW w:w="0" w:type="dxa"/>
            <w:vAlign w:val="bottom"/>
          </w:tcPr>
          <w:p>
            <w:pPr>
              <w:spacing w:after="0"/>
              <w:rPr>
                <w:sz w:val="1"/>
                <w:szCs w:val="1"/>
                <w:color w:val="auto"/>
              </w:rPr>
            </w:pPr>
          </w:p>
        </w:tc>
      </w:tr>
      <w:tr>
        <w:trPr>
          <w:trHeight w:val="188"/>
        </w:trPr>
        <w:tc>
          <w:tcPr>
            <w:tcW w:w="232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Unternehmensberatung </w:t>
            </w:r>
            <w:r>
              <w:rPr>
                <w:rFonts w:ascii="Times New Roman" w:cs="Times New Roman" w:eastAsia="Times New Roman" w:hAnsi="Times New Roman"/>
                <w:sz w:val="20"/>
                <w:szCs w:val="20"/>
                <w:color w:val="4C4C4E"/>
                <w:vertAlign w:val="superscript"/>
              </w:rPr>
              <w:t>(3)(4)</w:t>
            </w:r>
          </w:p>
        </w:tc>
        <w:tc>
          <w:tcPr>
            <w:tcW w:w="180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 due 7/2029)</w:t>
            </w:r>
          </w:p>
        </w:tc>
        <w:tc>
          <w:tcPr>
            <w:tcW w:w="80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7,546)</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80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7/11/2023</w:t>
            </w:r>
          </w:p>
        </w:tc>
        <w:tc>
          <w:tcPr>
            <w:tcW w:w="12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E + 6.50%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8.43%</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374</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385</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(EUR 328 par, due 6/2029)</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328)</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Tango Management Consulting, LLC</w:t>
            </w:r>
          </w:p>
        </w:tc>
        <w:tc>
          <w:tcPr>
            <w:tcW w:w="180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($49,169 par,</w:t>
            </w:r>
          </w:p>
        </w:tc>
        <w:tc>
          <w:tcPr>
            <w:tcW w:w="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6/25/2025</w:t>
            </w:r>
          </w:p>
        </w:tc>
        <w:tc>
          <w:tcPr>
            <w:tcW w:w="1200" w:type="dxa"/>
            <w:vAlign w:val="bottom"/>
            <w:shd w:val="clear" w:color="auto" w:fill="D8EEF4"/>
          </w:tcPr>
          <w:p>
            <w:pPr>
              <w:jc w:val="right"/>
              <w:ind w:right="65"/>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10.50%</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48,120</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48,312</w:t>
            </w:r>
          </w:p>
        </w:tc>
        <w:tc>
          <w:tcPr>
            <w:tcW w:w="104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3.0%</w:t>
            </w:r>
          </w:p>
        </w:tc>
        <w:tc>
          <w:tcPr>
            <w:tcW w:w="0" w:type="dxa"/>
            <w:vAlign w:val="bottom"/>
          </w:tcPr>
          <w:p>
            <w:pPr>
              <w:spacing w:after="0"/>
              <w:rPr>
                <w:sz w:val="1"/>
                <w:szCs w:val="1"/>
                <w:color w:val="auto"/>
              </w:rPr>
            </w:pPr>
          </w:p>
        </w:tc>
      </w:tr>
      <w:tr>
        <w:trPr>
          <w:trHeight w:val="168"/>
        </w:trPr>
        <w:tc>
          <w:tcPr>
            <w:tcW w:w="232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0"/>
                <w:szCs w:val="10"/>
                <w:color w:val="4C4C4E"/>
              </w:rPr>
              <w:t>(3)(5)</w:t>
            </w:r>
          </w:p>
        </w:tc>
        <w:tc>
          <w:tcPr>
            <w:tcW w:w="1800" w:type="dxa"/>
            <w:vAlign w:val="bottom"/>
            <w:tcBorders>
              <w:bottom w:val="single" w:sz="8" w:color="D8EEF4"/>
            </w:tcBorders>
            <w:shd w:val="clear" w:color="auto" w:fill="D8EEF4"/>
          </w:tcPr>
          <w:p>
            <w:pPr>
              <w:ind w:left="60"/>
              <w:spacing w:after="0" w:line="168" w:lineRule="exact"/>
              <w:rPr>
                <w:sz w:val="20"/>
                <w:szCs w:val="20"/>
                <w:color w:val="auto"/>
              </w:rPr>
            </w:pPr>
            <w:r>
              <w:rPr>
                <w:rFonts w:ascii="Times New Roman" w:cs="Times New Roman" w:eastAsia="Times New Roman" w:hAnsi="Times New Roman"/>
                <w:sz w:val="15"/>
                <w:szCs w:val="15"/>
                <w:color w:val="4C4C4E"/>
              </w:rPr>
              <w:t>due 6/2031)</w:t>
            </w:r>
          </w:p>
        </w:tc>
        <w:tc>
          <w:tcPr>
            <w:tcW w:w="800" w:type="dxa"/>
            <w:vAlign w:val="bottom"/>
            <w:tcBorders>
              <w:bottom w:val="single" w:sz="8" w:color="D8EEF4"/>
            </w:tcBorders>
            <w:shd w:val="clear" w:color="auto" w:fill="D8EEF4"/>
          </w:tcPr>
          <w:p>
            <w:pPr>
              <w:spacing w:after="0"/>
              <w:rPr>
                <w:sz w:val="14"/>
                <w:szCs w:val="14"/>
                <w:color w:val="auto"/>
              </w:rPr>
            </w:pPr>
          </w:p>
        </w:tc>
        <w:tc>
          <w:tcPr>
            <w:tcW w:w="1200" w:type="dxa"/>
            <w:vAlign w:val="bottom"/>
            <w:tcBorders>
              <w:bottom w:val="single" w:sz="8" w:color="D8EEF4"/>
            </w:tcBorders>
            <w:shd w:val="clear" w:color="auto" w:fill="D8EEF4"/>
          </w:tcPr>
          <w:p>
            <w:pPr>
              <w:spacing w:after="0"/>
              <w:rPr>
                <w:sz w:val="14"/>
                <w:szCs w:val="14"/>
                <w:color w:val="auto"/>
              </w:rPr>
            </w:pPr>
          </w:p>
        </w:tc>
        <w:tc>
          <w:tcPr>
            <w:tcW w:w="1840" w:type="dxa"/>
            <w:vAlign w:val="bottom"/>
            <w:tcBorders>
              <w:bottom w:val="single" w:sz="8" w:color="D8EEF4"/>
            </w:tcBorders>
            <w:shd w:val="clear" w:color="auto" w:fill="D8EEF4"/>
          </w:tcPr>
          <w:p>
            <w:pPr>
              <w:spacing w:after="0"/>
              <w:rPr>
                <w:sz w:val="14"/>
                <w:szCs w:val="14"/>
                <w:color w:val="auto"/>
              </w:rPr>
            </w:pPr>
          </w:p>
        </w:tc>
        <w:tc>
          <w:tcPr>
            <w:tcW w:w="80" w:type="dxa"/>
            <w:vAlign w:val="bottom"/>
            <w:tcBorders>
              <w:bottom w:val="single" w:sz="8" w:color="D8EEF4"/>
            </w:tcBorders>
            <w:shd w:val="clear" w:color="auto" w:fill="D8EEF4"/>
          </w:tcPr>
          <w:p>
            <w:pPr>
              <w:spacing w:after="0"/>
              <w:rPr>
                <w:sz w:val="14"/>
                <w:szCs w:val="14"/>
                <w:color w:val="auto"/>
              </w:rPr>
            </w:pPr>
          </w:p>
        </w:tc>
        <w:tc>
          <w:tcPr>
            <w:tcW w:w="720" w:type="dxa"/>
            <w:vAlign w:val="bottom"/>
            <w:tcBorders>
              <w:bottom w:val="single" w:sz="8" w:color="D8EEF4"/>
            </w:tcBorders>
            <w:shd w:val="clear" w:color="auto" w:fill="D8EEF4"/>
          </w:tcPr>
          <w:p>
            <w:pPr>
              <w:spacing w:after="0"/>
              <w:rPr>
                <w:sz w:val="14"/>
                <w:szCs w:val="14"/>
                <w:color w:val="auto"/>
              </w:rPr>
            </w:pPr>
          </w:p>
        </w:tc>
        <w:tc>
          <w:tcPr>
            <w:tcW w:w="40" w:type="dxa"/>
            <w:vAlign w:val="bottom"/>
            <w:tcBorders>
              <w:bottom w:val="single" w:sz="8" w:color="D8EEF4"/>
            </w:tcBorders>
            <w:shd w:val="clear" w:color="auto" w:fill="D8EEF4"/>
          </w:tcPr>
          <w:p>
            <w:pPr>
              <w:spacing w:after="0"/>
              <w:rPr>
                <w:sz w:val="14"/>
                <w:szCs w:val="14"/>
                <w:color w:val="auto"/>
              </w:rPr>
            </w:pPr>
          </w:p>
        </w:tc>
        <w:tc>
          <w:tcPr>
            <w:tcW w:w="80" w:type="dxa"/>
            <w:vAlign w:val="bottom"/>
            <w:tcBorders>
              <w:bottom w:val="single" w:sz="8" w:color="D8EEF4"/>
            </w:tcBorders>
            <w:shd w:val="clear" w:color="auto" w:fill="D8EEF4"/>
          </w:tcPr>
          <w:p>
            <w:pPr>
              <w:spacing w:after="0"/>
              <w:rPr>
                <w:sz w:val="14"/>
                <w:szCs w:val="14"/>
                <w:color w:val="auto"/>
              </w:rPr>
            </w:pPr>
          </w:p>
        </w:tc>
        <w:tc>
          <w:tcPr>
            <w:tcW w:w="960" w:type="dxa"/>
            <w:vAlign w:val="bottom"/>
            <w:tcBorders>
              <w:bottom w:val="single" w:sz="8" w:color="D8EEF4"/>
            </w:tcBorders>
            <w:shd w:val="clear" w:color="auto" w:fill="D8EEF4"/>
          </w:tcPr>
          <w:p>
            <w:pPr>
              <w:spacing w:after="0"/>
              <w:rPr>
                <w:sz w:val="14"/>
                <w:szCs w:val="14"/>
                <w:color w:val="auto"/>
              </w:rPr>
            </w:pPr>
          </w:p>
        </w:tc>
        <w:tc>
          <w:tcPr>
            <w:tcW w:w="40" w:type="dxa"/>
            <w:vAlign w:val="bottom"/>
            <w:tcBorders>
              <w:bottom w:val="single" w:sz="8" w:color="D8EEF4"/>
            </w:tcBorders>
            <w:shd w:val="clear" w:color="auto" w:fill="D8EEF4"/>
          </w:tcPr>
          <w:p>
            <w:pPr>
              <w:spacing w:after="0"/>
              <w:rPr>
                <w:sz w:val="14"/>
                <w:szCs w:val="14"/>
                <w:color w:val="auto"/>
              </w:rPr>
            </w:pPr>
          </w:p>
        </w:tc>
        <w:tc>
          <w:tcPr>
            <w:tcW w:w="840" w:type="dxa"/>
            <w:vAlign w:val="bottom"/>
            <w:tcBorders>
              <w:bottom w:val="single" w:sz="8" w:color="D8EEF4"/>
            </w:tcBorders>
            <w:shd w:val="clear" w:color="auto" w:fill="D8EEF4"/>
          </w:tcPr>
          <w:p>
            <w:pPr>
              <w:spacing w:after="0"/>
              <w:rPr>
                <w:sz w:val="14"/>
                <w:szCs w:val="14"/>
                <w:color w:val="auto"/>
              </w:rPr>
            </w:pPr>
          </w:p>
        </w:tc>
        <w:tc>
          <w:tcPr>
            <w:tcW w:w="160" w:type="dxa"/>
            <w:vAlign w:val="bottom"/>
            <w:tcBorders>
              <w:bottom w:val="single" w:sz="8" w:color="D8EEF4"/>
            </w:tcBorders>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4C4C4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960" w:type="dxa"/>
            <w:vAlign w:val="bottom"/>
            <w:shd w:val="clear" w:color="auto" w:fill="4C4C4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40" w:type="dxa"/>
            <w:vAlign w:val="bottom"/>
            <w:shd w:val="clear" w:color="auto" w:fill="4C4C4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386,545</w:t>
            </w:r>
          </w:p>
        </w:tc>
        <w:tc>
          <w:tcPr>
            <w:tcW w:w="120" w:type="dxa"/>
            <w:vAlign w:val="bottom"/>
            <w:gridSpan w:val="2"/>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375,412</w:t>
            </w:r>
          </w:p>
        </w:tc>
        <w:tc>
          <w:tcPr>
            <w:tcW w:w="40" w:type="dxa"/>
            <w:vAlign w:val="bottom"/>
            <w:vMerge w:val="continue"/>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23.3%</w:t>
            </w:r>
          </w:p>
        </w:tc>
        <w:tc>
          <w:tcPr>
            <w:tcW w:w="0" w:type="dxa"/>
            <w:vAlign w:val="bottom"/>
          </w:tcPr>
          <w:p>
            <w:pPr>
              <w:spacing w:after="0"/>
              <w:rPr>
                <w:sz w:val="1"/>
                <w:szCs w:val="1"/>
                <w:color w:val="auto"/>
              </w:rPr>
            </w:pPr>
          </w:p>
        </w:tc>
      </w:tr>
      <w:tr>
        <w:trPr>
          <w:trHeight w:val="181"/>
        </w:trPr>
        <w:tc>
          <w:tcPr>
            <w:tcW w:w="23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Transportation</w:t>
            </w:r>
          </w:p>
        </w:tc>
        <w:tc>
          <w:tcPr>
            <w:tcW w:w="1800" w:type="dxa"/>
            <w:vAlign w:val="bottom"/>
            <w:tcBorders>
              <w:top w:val="single" w:sz="8" w:color="D8EEF4"/>
            </w:tcBorders>
            <w:shd w:val="clear" w:color="auto" w:fill="D8EEF4"/>
          </w:tcPr>
          <w:p>
            <w:pPr>
              <w:spacing w:after="0"/>
              <w:rPr>
                <w:sz w:val="15"/>
                <w:szCs w:val="15"/>
                <w:color w:val="auto"/>
              </w:rPr>
            </w:pPr>
          </w:p>
        </w:tc>
        <w:tc>
          <w:tcPr>
            <w:tcW w:w="80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80"/>
          </w:cols>
          <w:pgMar w:left="500" w:top="768" w:right="500" w:bottom="6"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F-10</w:t>
      </w:r>
    </w:p>
    <w:p>
      <w:pPr>
        <w:sectPr>
          <w:pgSz w:w="11880" w:h="15480" w:orient="portrait"/>
          <w:cols w:equalWidth="0" w:num="1">
            <w:col w:w="10880"/>
          </w:cols>
          <w:pgMar w:left="500" w:top="768" w:right="500" w:bottom="6"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4C4C4E"/>
              </w:rPr>
              <w:t xml:space="preserve">Ben Nevis Midco Limited </w:t>
            </w:r>
            <w:r>
              <w:rPr>
                <w:rFonts w:ascii="Times New Roman" w:cs="Times New Roman" w:eastAsia="Times New Roman" w:hAnsi="Times New Roman"/>
                <w:sz w:val="20"/>
                <w:szCs w:val="20"/>
                <w:color w:val="4C4C4E"/>
                <w:vertAlign w:val="superscript"/>
              </w:rPr>
              <w:t>(3)(4)</w:t>
            </w: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First-lien loan ($5,000 par,</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4C4C4E"/>
              </w:rPr>
              <w:t>3/26/2024</w:t>
            </w: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4C4C4E"/>
              </w:rPr>
              <w:t>SOFR + 5.50%</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9.33%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4,963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5,038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0.3%</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due 3/2028)</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Marcura Equities LTD </w:t>
            </w:r>
            <w:r>
              <w:rPr>
                <w:rFonts w:ascii="Times New Roman" w:cs="Times New Roman" w:eastAsia="Times New Roman" w:hAnsi="Times New Roman"/>
                <w:sz w:val="19"/>
                <w:szCs w:val="19"/>
                <w:color w:val="4C4C4E"/>
                <w:vertAlign w:val="superscript"/>
              </w:rPr>
              <w:t>(3)(4)</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First-lien loan ($41,520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8/11/2023</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+ 8.25%</w:t>
            </w:r>
          </w:p>
        </w:tc>
        <w:tc>
          <w:tcPr>
            <w:tcW w:w="1880" w:type="dxa"/>
            <w:vAlign w:val="bottom"/>
            <w:gridSpan w:val="2"/>
            <w:shd w:val="clear" w:color="auto" w:fill="D8EEF4"/>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rPr>
              <w:t>11.92% (incl. 4.25% PIK)</w:t>
            </w: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40,856</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41,832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due 8/2029)</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rPr>
                <w:sz w:val="14"/>
                <w:szCs w:val="14"/>
                <w:color w:val="auto"/>
              </w:rPr>
            </w:pP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First-lien loan (GBP 1,107</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8/11/2023</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 + 8.25%</w:t>
            </w:r>
          </w:p>
        </w:tc>
        <w:tc>
          <w:tcPr>
            <w:tcW w:w="1880" w:type="dxa"/>
            <w:vAlign w:val="bottom"/>
            <w:gridSpan w:val="2"/>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rPr>
              <w:t>11.98% (incl. 4.25% PIK)</w:t>
            </w: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1,378</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8/2029)</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(GBP 1,115)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rPr>
                <w:sz w:val="14"/>
                <w:szCs w:val="14"/>
                <w:color w:val="auto"/>
              </w:rPr>
            </w:pP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8/11/2023</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+ 7.50%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11.17%</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1,617</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1,692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($1,667 par, due 8/2029)</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Project44, Inc. </w:t>
            </w:r>
            <w:r>
              <w:rPr>
                <w:rFonts w:ascii="Times New Roman" w:cs="Times New Roman" w:eastAsia="Times New Roman" w:hAnsi="Times New Roman"/>
                <w:sz w:val="19"/>
                <w:szCs w:val="19"/>
                <w:color w:val="4C4C4E"/>
                <w:vertAlign w:val="superscript"/>
              </w:rPr>
              <w:t>(3)(5)</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First-lien loan ($54,549 par,</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11/12/2021</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+ 6.35%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10.07%</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53,982</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54,140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due 11/2027)</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Rail Acquisitions LLC</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First-lien loan ($25,217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1/27/2025</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+ 6.00%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9.86%</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24,742</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24,946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line="188" w:lineRule="exact"/>
              <w:rPr>
                <w:sz w:val="20"/>
                <w:szCs w:val="20"/>
                <w:color w:val="auto"/>
              </w:rPr>
            </w:pPr>
            <w:r>
              <w:rPr>
                <w:rFonts w:ascii="Times New Roman" w:cs="Times New Roman" w:eastAsia="Times New Roman" w:hAnsi="Times New Roman"/>
                <w:sz w:val="15"/>
                <w:szCs w:val="15"/>
                <w:color w:val="4C4C4E"/>
              </w:rPr>
              <w:t xml:space="preserve">due 1/2030) </w:t>
            </w:r>
            <w:r>
              <w:rPr>
                <w:rFonts w:ascii="Times New Roman" w:cs="Times New Roman" w:eastAsia="Times New Roman" w:hAnsi="Times New Roman"/>
                <w:sz w:val="20"/>
                <w:szCs w:val="20"/>
                <w:color w:val="4C4C4E"/>
                <w:vertAlign w:val="superscript"/>
              </w:rPr>
              <w:t>(3)</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rPr>
                <w:sz w:val="14"/>
                <w:szCs w:val="14"/>
                <w:color w:val="auto"/>
              </w:rPr>
            </w:pP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Second-lien note ($21,423</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1/27/2025</w:t>
            </w:r>
          </w:p>
        </w:tc>
        <w:tc>
          <w:tcPr>
            <w:tcW w:w="12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13.75%</w:t>
            </w:r>
          </w:p>
        </w:tc>
        <w:tc>
          <w:tcPr>
            <w:tcW w:w="1880" w:type="dxa"/>
            <w:vAlign w:val="bottom"/>
            <w:gridSpan w:val="2"/>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rPr>
              <w:t>13.75% PIK</w:t>
            </w: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18,292</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19,360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1/2031)</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Ranger Intermediate II, LLC </w:t>
            </w:r>
            <w:r>
              <w:rPr>
                <w:rFonts w:ascii="Times New Roman" w:cs="Times New Roman" w:eastAsia="Times New Roman" w:hAnsi="Times New Roman"/>
                <w:sz w:val="19"/>
                <w:szCs w:val="19"/>
                <w:color w:val="4C4C4E"/>
                <w:vertAlign w:val="superscript"/>
              </w:rPr>
              <w:t>(3)</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First-lien loan ($69,361 par,</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10/28/2025</w:t>
            </w:r>
          </w:p>
        </w:tc>
        <w:tc>
          <w:tcPr>
            <w:tcW w:w="12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9.36%</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68,341</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68,667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due 10/2031)</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Shiftmove GMBH </w:t>
            </w:r>
            <w:r>
              <w:rPr>
                <w:rFonts w:ascii="Times New Roman" w:cs="Times New Roman" w:eastAsia="Times New Roman" w:hAnsi="Times New Roman"/>
                <w:sz w:val="19"/>
                <w:szCs w:val="19"/>
                <w:color w:val="4C4C4E"/>
                <w:vertAlign w:val="superscript"/>
              </w:rPr>
              <w:t>(3)(4)(5)</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First-lien loan (EUR 36,338</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9/30/2024</w:t>
            </w:r>
          </w:p>
        </w:tc>
        <w:tc>
          <w:tcPr>
            <w:tcW w:w="12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E + 6.00%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8.03%</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39,967</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42,809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w:t>
            </w:r>
          </w:p>
        </w:tc>
      </w:tr>
      <w:tr>
        <w:trPr>
          <w:trHeight w:val="188"/>
        </w:trPr>
        <w:tc>
          <w:tcPr>
            <w:tcW w:w="2340" w:type="dxa"/>
            <w:vAlign w:val="bottom"/>
            <w:tcBorders>
              <w:bottom w:val="single" w:sz="8" w:color="D8EEF4"/>
            </w:tcBorders>
          </w:tcPr>
          <w:p>
            <w:pPr>
              <w:spacing w:after="0"/>
              <w:rPr>
                <w:sz w:val="16"/>
                <w:szCs w:val="16"/>
                <w:color w:val="auto"/>
              </w:rPr>
            </w:pPr>
          </w:p>
        </w:tc>
        <w:tc>
          <w:tcPr>
            <w:tcW w:w="1780" w:type="dxa"/>
            <w:vAlign w:val="bottom"/>
            <w:tcBorders>
              <w:bottom w:val="single" w:sz="8" w:color="D8EEF4"/>
            </w:tcBorders>
          </w:tcPr>
          <w:p>
            <w:pPr>
              <w:ind w:left="40"/>
              <w:spacing w:after="0"/>
              <w:rPr>
                <w:sz w:val="20"/>
                <w:szCs w:val="20"/>
                <w:color w:val="auto"/>
              </w:rPr>
            </w:pPr>
            <w:r>
              <w:rPr>
                <w:rFonts w:ascii="Times New Roman" w:cs="Times New Roman" w:eastAsia="Times New Roman" w:hAnsi="Times New Roman"/>
                <w:sz w:val="15"/>
                <w:szCs w:val="15"/>
                <w:color w:val="4C4C4E"/>
              </w:rPr>
              <w:t>par, due 9/2030)</w:t>
            </w:r>
          </w:p>
        </w:tc>
        <w:tc>
          <w:tcPr>
            <w:tcW w:w="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80" w:type="dxa"/>
            <w:vAlign w:val="bottom"/>
            <w:tcBorders>
              <w:bottom w:val="single" w:sz="8" w:color="D8EEF4"/>
            </w:tcBorders>
          </w:tcPr>
          <w:p>
            <w:pPr>
              <w:spacing w:after="0"/>
              <w:rPr>
                <w:sz w:val="16"/>
                <w:szCs w:val="16"/>
                <w:color w:val="auto"/>
              </w:rPr>
            </w:pPr>
          </w:p>
        </w:tc>
        <w:tc>
          <w:tcPr>
            <w:tcW w:w="7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0" w:type="dxa"/>
            <w:vAlign w:val="bottom"/>
            <w:tcBorders>
              <w:bottom w:val="single" w:sz="8" w:color="D8EEF4"/>
            </w:tcBorders>
          </w:tcPr>
          <w:p>
            <w:pPr>
              <w:spacing w:after="0"/>
              <w:rPr>
                <w:sz w:val="16"/>
                <w:szCs w:val="16"/>
                <w:color w:val="auto"/>
              </w:rPr>
            </w:pPr>
          </w:p>
        </w:tc>
        <w:tc>
          <w:tcPr>
            <w:tcW w:w="9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5"/>
                <w:szCs w:val="15"/>
                <w:color w:val="4C4C4E"/>
              </w:rPr>
              <w:t>(EUR 36,450)</w:t>
            </w: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181"/>
        </w:trPr>
        <w:tc>
          <w:tcPr>
            <w:tcW w:w="2340" w:type="dxa"/>
            <w:vAlign w:val="bottom"/>
            <w:shd w:val="clear" w:color="auto" w:fill="D8EEF4"/>
          </w:tcPr>
          <w:p>
            <w:pPr>
              <w:spacing w:after="0"/>
              <w:rPr>
                <w:sz w:val="15"/>
                <w:szCs w:val="15"/>
                <w:color w:val="auto"/>
              </w:rPr>
            </w:pPr>
          </w:p>
        </w:tc>
        <w:tc>
          <w:tcPr>
            <w:tcW w:w="1780" w:type="dxa"/>
            <w:vAlign w:val="bottom"/>
            <w:shd w:val="clear" w:color="auto" w:fill="D8EEF4"/>
          </w:tcPr>
          <w:p>
            <w:pPr>
              <w:spacing w:after="0"/>
              <w:rPr>
                <w:sz w:val="15"/>
                <w:szCs w:val="15"/>
                <w:color w:val="auto"/>
              </w:rPr>
            </w:pPr>
          </w:p>
        </w:tc>
        <w:tc>
          <w:tcPr>
            <w:tcW w:w="840" w:type="dxa"/>
            <w:vAlign w:val="bottom"/>
            <w:shd w:val="clear" w:color="auto" w:fill="D8EEF4"/>
          </w:tcPr>
          <w:p>
            <w:pPr>
              <w:spacing w:after="0"/>
              <w:rPr>
                <w:sz w:val="15"/>
                <w:szCs w:val="15"/>
                <w:color w:val="auto"/>
              </w:rPr>
            </w:pPr>
          </w:p>
        </w:tc>
        <w:tc>
          <w:tcPr>
            <w:tcW w:w="1200" w:type="dxa"/>
            <w:vAlign w:val="bottom"/>
            <w:shd w:val="clear" w:color="auto" w:fill="D8EEF4"/>
          </w:tcPr>
          <w:p>
            <w:pPr>
              <w:spacing w:after="0"/>
              <w:rPr>
                <w:sz w:val="15"/>
                <w:szCs w:val="15"/>
                <w:color w:val="auto"/>
              </w:rPr>
            </w:pPr>
          </w:p>
        </w:tc>
        <w:tc>
          <w:tcPr>
            <w:tcW w:w="1800" w:type="dxa"/>
            <w:vAlign w:val="bottom"/>
            <w:shd w:val="clear" w:color="auto" w:fill="D8EEF4"/>
          </w:tcPr>
          <w:p>
            <w:pPr>
              <w:spacing w:after="0"/>
              <w:rPr>
                <w:sz w:val="15"/>
                <w:szCs w:val="15"/>
                <w:color w:val="auto"/>
              </w:rPr>
            </w:pPr>
          </w:p>
        </w:tc>
        <w:tc>
          <w:tcPr>
            <w:tcW w:w="80" w:type="dxa"/>
            <w:vAlign w:val="bottom"/>
            <w:tcBorders>
              <w:bottom w:val="single" w:sz="8" w:color="4C4C4E"/>
            </w:tcBorders>
            <w:shd w:val="clear" w:color="auto" w:fill="D8EEF4"/>
          </w:tcPr>
          <w:p>
            <w:pPr>
              <w:spacing w:after="0"/>
              <w:rPr>
                <w:sz w:val="15"/>
                <w:szCs w:val="15"/>
                <w:color w:val="auto"/>
              </w:rPr>
            </w:pPr>
          </w:p>
        </w:tc>
        <w:tc>
          <w:tcPr>
            <w:tcW w:w="7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254,138</w:t>
            </w:r>
          </w:p>
        </w:tc>
        <w:tc>
          <w:tcPr>
            <w:tcW w:w="40" w:type="dxa"/>
            <w:vAlign w:val="bottom"/>
            <w:shd w:val="clear" w:color="auto" w:fill="D8EEF4"/>
          </w:tcPr>
          <w:p>
            <w:pPr>
              <w:spacing w:after="0"/>
              <w:rPr>
                <w:sz w:val="15"/>
                <w:szCs w:val="15"/>
                <w:color w:val="auto"/>
              </w:rPr>
            </w:pPr>
          </w:p>
        </w:tc>
        <w:tc>
          <w:tcPr>
            <w:tcW w:w="80" w:type="dxa"/>
            <w:vAlign w:val="bottom"/>
            <w:tcBorders>
              <w:bottom w:val="single" w:sz="8" w:color="4C4C4E"/>
            </w:tcBorders>
            <w:shd w:val="clear" w:color="auto" w:fill="D8EEF4"/>
          </w:tcPr>
          <w:p>
            <w:pPr>
              <w:spacing w:after="0"/>
              <w:rPr>
                <w:sz w:val="15"/>
                <w:szCs w:val="15"/>
                <w:color w:val="auto"/>
              </w:rPr>
            </w:pPr>
          </w:p>
        </w:tc>
        <w:tc>
          <w:tcPr>
            <w:tcW w:w="9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259,984</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16.3</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81"/>
        </w:trPr>
        <w:tc>
          <w:tcPr>
            <w:tcW w:w="234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Total Debt Investments</w:t>
            </w:r>
          </w:p>
        </w:tc>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3,064,943</w:t>
            </w:r>
          </w:p>
        </w:tc>
        <w:tc>
          <w:tcPr>
            <w:tcW w:w="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3,076,863</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191.4%</w:t>
            </w:r>
          </w:p>
        </w:tc>
      </w:tr>
      <w:tr>
        <w:trPr>
          <w:trHeight w:val="181"/>
        </w:trPr>
        <w:tc>
          <w:tcPr>
            <w:tcW w:w="2340" w:type="dxa"/>
            <w:vAlign w:val="bottom"/>
            <w:tcBorders>
              <w:top w:val="single" w:sz="8" w:color="D8EEF4"/>
            </w:tcBorders>
            <w:shd w:val="clear" w:color="auto" w:fill="D8EEF4"/>
          </w:tcPr>
          <w:p>
            <w:pPr>
              <w:spacing w:after="0"/>
              <w:rPr>
                <w:sz w:val="15"/>
                <w:szCs w:val="15"/>
                <w:color w:val="auto"/>
              </w:rPr>
            </w:pPr>
          </w:p>
        </w:tc>
        <w:tc>
          <w:tcPr>
            <w:tcW w:w="178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tcBorders>
            <w:shd w:val="clear" w:color="auto" w:fill="D8EEF4"/>
          </w:tcPr>
          <w:p>
            <w:pPr>
              <w:spacing w:after="0"/>
              <w:rPr>
                <w:sz w:val="15"/>
                <w:szCs w:val="15"/>
                <w:color w:val="auto"/>
              </w:rPr>
            </w:pPr>
          </w:p>
        </w:tc>
        <w:tc>
          <w:tcPr>
            <w:tcW w:w="180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r>
      <w:tr>
        <w:trPr>
          <w:trHeight w:val="186"/>
        </w:trPr>
        <w:tc>
          <w:tcPr>
            <w:tcW w:w="234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Equity and Other Investments</w:t>
            </w:r>
          </w:p>
        </w:tc>
        <w:tc>
          <w:tcPr>
            <w:tcW w:w="1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6"/>
        </w:trPr>
        <w:tc>
          <w:tcPr>
            <w:tcW w:w="234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Business Services</w:t>
            </w:r>
          </w:p>
        </w:tc>
        <w:tc>
          <w:tcPr>
            <w:tcW w:w="17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Artisan Topco LP </w:t>
            </w:r>
            <w:r>
              <w:rPr>
                <w:rFonts w:ascii="Times New Roman" w:cs="Times New Roman" w:eastAsia="Times New Roman" w:hAnsi="Times New Roman"/>
                <w:sz w:val="19"/>
                <w:szCs w:val="19"/>
                <w:color w:val="4C4C4E"/>
                <w:vertAlign w:val="superscript"/>
              </w:rPr>
              <w:t>(11)</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 Preferred Units</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11/7/2023</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2,117</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1,800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(2,117,264 units)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Dye &amp; Durham, Ltd. </w:t>
            </w:r>
            <w:r>
              <w:rPr>
                <w:rFonts w:ascii="Times New Roman" w:cs="Times New Roman" w:eastAsia="Times New Roman" w:hAnsi="Times New Roman"/>
                <w:sz w:val="19"/>
                <w:szCs w:val="19"/>
                <w:color w:val="4C4C4E"/>
                <w:vertAlign w:val="superscript"/>
              </w:rPr>
              <w:t>(4)</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Common Shares (126,968</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12/3/2021</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3,909</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shares)</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(CAD 386)</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Insight Hideaway Aggregator, L.P. </w:t>
            </w:r>
            <w:r>
              <w:rPr>
                <w:rFonts w:ascii="Times New Roman" w:cs="Times New Roman" w:eastAsia="Times New Roman" w:hAnsi="Times New Roman"/>
                <w:sz w:val="19"/>
                <w:szCs w:val="19"/>
                <w:color w:val="4C4C4E"/>
                <w:vertAlign w:val="superscript"/>
              </w:rPr>
              <w:t>(11)</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Partnership Interest</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3/19/2024</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3,299</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3,835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(329,861 units)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Mitnick TA Aggregator, L.P. </w:t>
            </w:r>
            <w:r>
              <w:rPr>
                <w:rFonts w:ascii="Times New Roman" w:cs="Times New Roman" w:eastAsia="Times New Roman" w:hAnsi="Times New Roman"/>
                <w:sz w:val="19"/>
                <w:szCs w:val="19"/>
                <w:color w:val="4C4C4E"/>
                <w:vertAlign w:val="superscript"/>
              </w:rPr>
              <w:t>(11)</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Membership Interest</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5/2/2022</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5,249</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3,176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(0.43% ownership)</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Newark FP Co-Invest, L.P. </w:t>
            </w:r>
            <w:r>
              <w:rPr>
                <w:rFonts w:ascii="Times New Roman" w:cs="Times New Roman" w:eastAsia="Times New Roman" w:hAnsi="Times New Roman"/>
                <w:sz w:val="19"/>
                <w:szCs w:val="19"/>
                <w:color w:val="4C4C4E"/>
                <w:vertAlign w:val="superscript"/>
              </w:rPr>
              <w:t>(11)</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Partnership (2,527,719</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11/8/2023</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2,532</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2,399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Sprinklr, Inc. </w:t>
            </w:r>
            <w:r>
              <w:rPr>
                <w:rFonts w:ascii="Times New Roman" w:cs="Times New Roman" w:eastAsia="Times New Roman" w:hAnsi="Times New Roman"/>
                <w:sz w:val="19"/>
                <w:szCs w:val="19"/>
                <w:color w:val="4C4C4E"/>
                <w:vertAlign w:val="superscript"/>
              </w:rPr>
              <w:t>(10)(11)</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Common Shares (283,499</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6/24/2021</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2,445</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2,205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shares)</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Warrior TopCo LP </w:t>
            </w:r>
            <w:r>
              <w:rPr>
                <w:rFonts w:ascii="Times New Roman" w:cs="Times New Roman" w:eastAsia="Times New Roman" w:hAnsi="Times New Roman"/>
                <w:sz w:val="19"/>
                <w:szCs w:val="19"/>
                <w:color w:val="4C4C4E"/>
                <w:vertAlign w:val="superscript"/>
              </w:rPr>
              <w:t>(11)</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 Units (423,729</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7/7/2023</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424</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661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40" w:type="dxa"/>
            <w:vAlign w:val="bottom"/>
            <w:tcBorders>
              <w:bottom w:val="single" w:sz="8" w:color="D8EEF4"/>
            </w:tcBorders>
          </w:tcPr>
          <w:p>
            <w:pPr>
              <w:spacing w:after="0"/>
              <w:rPr>
                <w:sz w:val="16"/>
                <w:szCs w:val="16"/>
                <w:color w:val="auto"/>
              </w:rPr>
            </w:pPr>
          </w:p>
        </w:tc>
        <w:tc>
          <w:tcPr>
            <w:tcW w:w="1780" w:type="dxa"/>
            <w:vAlign w:val="bottom"/>
            <w:tcBorders>
              <w:bottom w:val="single" w:sz="8" w:color="D8EEF4"/>
            </w:tcBorders>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7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96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201"/>
        </w:trPr>
        <w:tc>
          <w:tcPr>
            <w:tcW w:w="2340" w:type="dxa"/>
            <w:vAlign w:val="bottom"/>
            <w:tcBorders>
              <w:bottom w:val="single" w:sz="8" w:color="D8EEF4"/>
            </w:tcBorders>
            <w:shd w:val="clear" w:color="auto" w:fill="D8EEF4"/>
          </w:tcPr>
          <w:p>
            <w:pPr>
              <w:spacing w:after="0"/>
              <w:rPr>
                <w:sz w:val="17"/>
                <w:szCs w:val="17"/>
                <w:color w:val="auto"/>
              </w:rPr>
            </w:pPr>
          </w:p>
        </w:tc>
        <w:tc>
          <w:tcPr>
            <w:tcW w:w="178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D8EEF4"/>
            </w:tcBorders>
            <w:shd w:val="clear" w:color="auto" w:fill="D8EEF4"/>
          </w:tcPr>
          <w:p>
            <w:pPr>
              <w:spacing w:after="0"/>
              <w:rPr>
                <w:sz w:val="17"/>
                <w:szCs w:val="17"/>
                <w:color w:val="auto"/>
              </w:rPr>
            </w:pPr>
          </w:p>
        </w:tc>
        <w:tc>
          <w:tcPr>
            <w:tcW w:w="1200" w:type="dxa"/>
            <w:vAlign w:val="bottom"/>
            <w:tcBorders>
              <w:bottom w:val="single" w:sz="8" w:color="D8EEF4"/>
            </w:tcBorders>
            <w:shd w:val="clear" w:color="auto" w:fill="D8EEF4"/>
          </w:tcPr>
          <w:p>
            <w:pPr>
              <w:spacing w:after="0"/>
              <w:rPr>
                <w:sz w:val="17"/>
                <w:szCs w:val="17"/>
                <w:color w:val="auto"/>
              </w:rPr>
            </w:pPr>
          </w:p>
        </w:tc>
        <w:tc>
          <w:tcPr>
            <w:tcW w:w="1800" w:type="dxa"/>
            <w:vAlign w:val="bottom"/>
            <w:tcBorders>
              <w:bottom w:val="single" w:sz="8" w:color="D8EEF4"/>
            </w:tcBorders>
            <w:shd w:val="clear" w:color="auto" w:fill="D8EEF4"/>
          </w:tcPr>
          <w:p>
            <w:pPr>
              <w:spacing w:after="0"/>
              <w:rPr>
                <w:sz w:val="17"/>
                <w:szCs w:val="17"/>
                <w:color w:val="auto"/>
              </w:rPr>
            </w:pPr>
          </w:p>
        </w:tc>
        <w:tc>
          <w:tcPr>
            <w:tcW w:w="80" w:type="dxa"/>
            <w:vAlign w:val="bottom"/>
            <w:tcBorders>
              <w:bottom w:val="single" w:sz="8" w:color="4C4C4E"/>
            </w:tcBorders>
            <w:shd w:val="clear" w:color="auto" w:fill="D8EEF4"/>
          </w:tcPr>
          <w:p>
            <w:pPr>
              <w:spacing w:after="0"/>
              <w:rPr>
                <w:sz w:val="17"/>
                <w:szCs w:val="17"/>
                <w:color w:val="auto"/>
              </w:rPr>
            </w:pPr>
          </w:p>
        </w:tc>
        <w:tc>
          <w:tcPr>
            <w:tcW w:w="7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19,975</w:t>
            </w:r>
          </w:p>
        </w:tc>
        <w:tc>
          <w:tcPr>
            <w:tcW w:w="40" w:type="dxa"/>
            <w:vAlign w:val="bottom"/>
            <w:tcBorders>
              <w:bottom w:val="single" w:sz="8" w:color="D8EEF4"/>
            </w:tcBorders>
            <w:shd w:val="clear" w:color="auto" w:fill="D8EEF4"/>
          </w:tcPr>
          <w:p>
            <w:pPr>
              <w:spacing w:after="0"/>
              <w:rPr>
                <w:sz w:val="17"/>
                <w:szCs w:val="17"/>
                <w:color w:val="auto"/>
              </w:rPr>
            </w:pPr>
          </w:p>
        </w:tc>
        <w:tc>
          <w:tcPr>
            <w:tcW w:w="104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14,358</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0.9</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61"/>
        </w:trPr>
        <w:tc>
          <w:tcPr>
            <w:tcW w:w="23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Communications</w:t>
            </w: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Celtra Technologies, Inc. </w:t>
            </w:r>
            <w:r>
              <w:rPr>
                <w:rFonts w:ascii="Times New Roman" w:cs="Times New Roman" w:eastAsia="Times New Roman" w:hAnsi="Times New Roman"/>
                <w:sz w:val="19"/>
                <w:szCs w:val="19"/>
                <w:color w:val="4C4C4E"/>
                <w:vertAlign w:val="superscript"/>
              </w:rPr>
              <w:t>(11)</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 Units (1,250,000</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11/19/2021</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1,250</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1,578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IntelePeer Holdings, Inc. </w:t>
            </w:r>
            <w:r>
              <w:rPr>
                <w:rFonts w:ascii="Times New Roman" w:cs="Times New Roman" w:eastAsia="Times New Roman" w:hAnsi="Times New Roman"/>
                <w:sz w:val="19"/>
                <w:szCs w:val="19"/>
                <w:color w:val="4C4C4E"/>
                <w:vertAlign w:val="superscript"/>
              </w:rPr>
              <w:t>(11)</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Series C Preferred Shares</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4/8/2021</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1,816</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(1,816,295 shares)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rPr>
                <w:sz w:val="14"/>
                <w:szCs w:val="14"/>
                <w:color w:val="auto"/>
              </w:rPr>
            </w:pP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Series D Preferred Shares</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4/8/2021</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2,925</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(1,598,874 shares)</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rPr>
                <w:sz w:val="14"/>
                <w:szCs w:val="14"/>
                <w:color w:val="auto"/>
              </w:rPr>
            </w:pP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Series D Warrants (106,592</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4/8/2021</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40" w:type="dxa"/>
            <w:vAlign w:val="bottom"/>
            <w:tcBorders>
              <w:bottom w:val="single" w:sz="8" w:color="D8EEF4"/>
            </w:tcBorders>
          </w:tcPr>
          <w:p>
            <w:pPr>
              <w:spacing w:after="0"/>
              <w:rPr>
                <w:sz w:val="16"/>
                <w:szCs w:val="16"/>
                <w:color w:val="auto"/>
              </w:rPr>
            </w:pPr>
          </w:p>
        </w:tc>
        <w:tc>
          <w:tcPr>
            <w:tcW w:w="1780" w:type="dxa"/>
            <w:vAlign w:val="bottom"/>
            <w:tcBorders>
              <w:bottom w:val="single" w:sz="8" w:color="D8EEF4"/>
            </w:tcBorders>
          </w:tcPr>
          <w:p>
            <w:pPr>
              <w:ind w:left="40"/>
              <w:spacing w:after="0"/>
              <w:rPr>
                <w:sz w:val="20"/>
                <w:szCs w:val="20"/>
                <w:color w:val="auto"/>
              </w:rPr>
            </w:pPr>
            <w:r>
              <w:rPr>
                <w:rFonts w:ascii="Times New Roman" w:cs="Times New Roman" w:eastAsia="Times New Roman" w:hAnsi="Times New Roman"/>
                <w:sz w:val="15"/>
                <w:szCs w:val="15"/>
                <w:color w:val="4C4C4E"/>
              </w:rPr>
              <w:t>warrants)</w:t>
            </w:r>
          </w:p>
        </w:tc>
        <w:tc>
          <w:tcPr>
            <w:tcW w:w="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7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96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201"/>
        </w:trPr>
        <w:tc>
          <w:tcPr>
            <w:tcW w:w="2340" w:type="dxa"/>
            <w:vAlign w:val="bottom"/>
            <w:tcBorders>
              <w:bottom w:val="single" w:sz="8" w:color="D8EEF4"/>
            </w:tcBorders>
            <w:shd w:val="clear" w:color="auto" w:fill="D8EEF4"/>
          </w:tcPr>
          <w:p>
            <w:pPr>
              <w:spacing w:after="0"/>
              <w:rPr>
                <w:sz w:val="17"/>
                <w:szCs w:val="17"/>
                <w:color w:val="auto"/>
              </w:rPr>
            </w:pPr>
          </w:p>
        </w:tc>
        <w:tc>
          <w:tcPr>
            <w:tcW w:w="178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D8EEF4"/>
            </w:tcBorders>
            <w:shd w:val="clear" w:color="auto" w:fill="D8EEF4"/>
          </w:tcPr>
          <w:p>
            <w:pPr>
              <w:spacing w:after="0"/>
              <w:rPr>
                <w:sz w:val="17"/>
                <w:szCs w:val="17"/>
                <w:color w:val="auto"/>
              </w:rPr>
            </w:pPr>
          </w:p>
        </w:tc>
        <w:tc>
          <w:tcPr>
            <w:tcW w:w="1200" w:type="dxa"/>
            <w:vAlign w:val="bottom"/>
            <w:tcBorders>
              <w:bottom w:val="single" w:sz="8" w:color="D8EEF4"/>
            </w:tcBorders>
            <w:shd w:val="clear" w:color="auto" w:fill="D8EEF4"/>
          </w:tcPr>
          <w:p>
            <w:pPr>
              <w:spacing w:after="0"/>
              <w:rPr>
                <w:sz w:val="17"/>
                <w:szCs w:val="17"/>
                <w:color w:val="auto"/>
              </w:rPr>
            </w:pPr>
          </w:p>
        </w:tc>
        <w:tc>
          <w:tcPr>
            <w:tcW w:w="1800" w:type="dxa"/>
            <w:vAlign w:val="bottom"/>
            <w:tcBorders>
              <w:bottom w:val="single" w:sz="8" w:color="D8EEF4"/>
            </w:tcBorders>
            <w:shd w:val="clear" w:color="auto" w:fill="D8EEF4"/>
          </w:tcPr>
          <w:p>
            <w:pPr>
              <w:spacing w:after="0"/>
              <w:rPr>
                <w:sz w:val="17"/>
                <w:szCs w:val="17"/>
                <w:color w:val="auto"/>
              </w:rPr>
            </w:pPr>
          </w:p>
        </w:tc>
        <w:tc>
          <w:tcPr>
            <w:tcW w:w="80" w:type="dxa"/>
            <w:vAlign w:val="bottom"/>
            <w:tcBorders>
              <w:bottom w:val="single" w:sz="8" w:color="4C4C4E"/>
            </w:tcBorders>
            <w:shd w:val="clear" w:color="auto" w:fill="D8EEF4"/>
          </w:tcPr>
          <w:p>
            <w:pPr>
              <w:spacing w:after="0"/>
              <w:rPr>
                <w:sz w:val="17"/>
                <w:szCs w:val="17"/>
                <w:color w:val="auto"/>
              </w:rPr>
            </w:pPr>
          </w:p>
        </w:tc>
        <w:tc>
          <w:tcPr>
            <w:tcW w:w="7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5,991</w:t>
            </w:r>
          </w:p>
        </w:tc>
        <w:tc>
          <w:tcPr>
            <w:tcW w:w="40" w:type="dxa"/>
            <w:vAlign w:val="bottom"/>
            <w:tcBorders>
              <w:bottom w:val="single" w:sz="8" w:color="D8EEF4"/>
            </w:tcBorders>
            <w:shd w:val="clear" w:color="auto" w:fill="D8EEF4"/>
          </w:tcPr>
          <w:p>
            <w:pPr>
              <w:spacing w:after="0"/>
              <w:rPr>
                <w:sz w:val="17"/>
                <w:szCs w:val="17"/>
                <w:color w:val="auto"/>
              </w:rPr>
            </w:pPr>
          </w:p>
        </w:tc>
        <w:tc>
          <w:tcPr>
            <w:tcW w:w="104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2,216</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61"/>
        </w:trPr>
        <w:tc>
          <w:tcPr>
            <w:tcW w:w="23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Education</w:t>
            </w: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Astra 2L Holdings II LLC </w:t>
            </w:r>
            <w:r>
              <w:rPr>
                <w:rFonts w:ascii="Times New Roman" w:cs="Times New Roman" w:eastAsia="Times New Roman" w:hAnsi="Times New Roman"/>
                <w:sz w:val="19"/>
                <w:szCs w:val="19"/>
                <w:color w:val="4C4C4E"/>
                <w:vertAlign w:val="superscript"/>
              </w:rPr>
              <w:t>(11)</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Membership Interest</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1/13/2022</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3,255</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(10.17% ownership)</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EMS Linq, Inc. </w:t>
            </w:r>
            <w:r>
              <w:rPr>
                <w:rFonts w:ascii="Times New Roman" w:cs="Times New Roman" w:eastAsia="Times New Roman" w:hAnsi="Times New Roman"/>
                <w:sz w:val="19"/>
                <w:szCs w:val="19"/>
                <w:color w:val="4C4C4E"/>
                <w:vertAlign w:val="superscript"/>
              </w:rPr>
              <w:t>(11)</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B Units (5,522,526</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12/22/2021</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5,523</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1,602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40" w:type="dxa"/>
            <w:vAlign w:val="bottom"/>
            <w:tcBorders>
              <w:bottom w:val="single" w:sz="8" w:color="D8EEF4"/>
            </w:tcBorders>
          </w:tcPr>
          <w:p>
            <w:pPr>
              <w:spacing w:after="0"/>
              <w:rPr>
                <w:sz w:val="16"/>
                <w:szCs w:val="16"/>
                <w:color w:val="auto"/>
              </w:rPr>
            </w:pPr>
          </w:p>
        </w:tc>
        <w:tc>
          <w:tcPr>
            <w:tcW w:w="1780" w:type="dxa"/>
            <w:vAlign w:val="bottom"/>
            <w:tcBorders>
              <w:bottom w:val="single" w:sz="8" w:color="D8EEF4"/>
            </w:tcBorders>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7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96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201"/>
        </w:trPr>
        <w:tc>
          <w:tcPr>
            <w:tcW w:w="2340" w:type="dxa"/>
            <w:vAlign w:val="bottom"/>
            <w:tcBorders>
              <w:bottom w:val="single" w:sz="8" w:color="D8EEF4"/>
            </w:tcBorders>
            <w:shd w:val="clear" w:color="auto" w:fill="D8EEF4"/>
          </w:tcPr>
          <w:p>
            <w:pPr>
              <w:spacing w:after="0"/>
              <w:rPr>
                <w:sz w:val="17"/>
                <w:szCs w:val="17"/>
                <w:color w:val="auto"/>
              </w:rPr>
            </w:pPr>
          </w:p>
        </w:tc>
        <w:tc>
          <w:tcPr>
            <w:tcW w:w="178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D8EEF4"/>
            </w:tcBorders>
            <w:shd w:val="clear" w:color="auto" w:fill="D8EEF4"/>
          </w:tcPr>
          <w:p>
            <w:pPr>
              <w:spacing w:after="0"/>
              <w:rPr>
                <w:sz w:val="17"/>
                <w:szCs w:val="17"/>
                <w:color w:val="auto"/>
              </w:rPr>
            </w:pPr>
          </w:p>
        </w:tc>
        <w:tc>
          <w:tcPr>
            <w:tcW w:w="1200" w:type="dxa"/>
            <w:vAlign w:val="bottom"/>
            <w:tcBorders>
              <w:bottom w:val="single" w:sz="8" w:color="D8EEF4"/>
            </w:tcBorders>
            <w:shd w:val="clear" w:color="auto" w:fill="D8EEF4"/>
          </w:tcPr>
          <w:p>
            <w:pPr>
              <w:spacing w:after="0"/>
              <w:rPr>
                <w:sz w:val="17"/>
                <w:szCs w:val="17"/>
                <w:color w:val="auto"/>
              </w:rPr>
            </w:pPr>
          </w:p>
        </w:tc>
        <w:tc>
          <w:tcPr>
            <w:tcW w:w="1800" w:type="dxa"/>
            <w:vAlign w:val="bottom"/>
            <w:tcBorders>
              <w:bottom w:val="single" w:sz="8" w:color="D8EEF4"/>
            </w:tcBorders>
            <w:shd w:val="clear" w:color="auto" w:fill="D8EEF4"/>
          </w:tcPr>
          <w:p>
            <w:pPr>
              <w:spacing w:after="0"/>
              <w:rPr>
                <w:sz w:val="17"/>
                <w:szCs w:val="17"/>
                <w:color w:val="auto"/>
              </w:rPr>
            </w:pPr>
          </w:p>
        </w:tc>
        <w:tc>
          <w:tcPr>
            <w:tcW w:w="80" w:type="dxa"/>
            <w:vAlign w:val="bottom"/>
            <w:tcBorders>
              <w:bottom w:val="single" w:sz="8" w:color="4C4C4E"/>
            </w:tcBorders>
            <w:shd w:val="clear" w:color="auto" w:fill="D8EEF4"/>
          </w:tcPr>
          <w:p>
            <w:pPr>
              <w:spacing w:after="0"/>
              <w:rPr>
                <w:sz w:val="17"/>
                <w:szCs w:val="17"/>
                <w:color w:val="auto"/>
              </w:rPr>
            </w:pPr>
          </w:p>
        </w:tc>
        <w:tc>
          <w:tcPr>
            <w:tcW w:w="7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8,778</w:t>
            </w:r>
          </w:p>
        </w:tc>
        <w:tc>
          <w:tcPr>
            <w:tcW w:w="40" w:type="dxa"/>
            <w:vAlign w:val="bottom"/>
            <w:tcBorders>
              <w:bottom w:val="single" w:sz="8" w:color="D8EEF4"/>
            </w:tcBorders>
            <w:shd w:val="clear" w:color="auto" w:fill="D8EEF4"/>
          </w:tcPr>
          <w:p>
            <w:pPr>
              <w:spacing w:after="0"/>
              <w:rPr>
                <w:sz w:val="17"/>
                <w:szCs w:val="17"/>
                <w:color w:val="auto"/>
              </w:rPr>
            </w:pPr>
          </w:p>
        </w:tc>
        <w:tc>
          <w:tcPr>
            <w:tcW w:w="104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1,602</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61"/>
        </w:trPr>
        <w:tc>
          <w:tcPr>
            <w:tcW w:w="23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Financial Services</w:t>
            </w: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AF Eagle Parent, L.P. </w:t>
            </w:r>
            <w:r>
              <w:rPr>
                <w:rFonts w:ascii="Times New Roman" w:cs="Times New Roman" w:eastAsia="Times New Roman" w:hAnsi="Times New Roman"/>
                <w:sz w:val="19"/>
                <w:szCs w:val="19"/>
                <w:color w:val="4C4C4E"/>
                <w:vertAlign w:val="superscript"/>
              </w:rPr>
              <w:t>(11)</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Partnership Units (121,329</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11/27/2023</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4,091</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5,717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Newport Parent Holdings, L.P. </w:t>
            </w:r>
            <w:r>
              <w:rPr>
                <w:rFonts w:ascii="Times New Roman" w:cs="Times New Roman" w:eastAsia="Times New Roman" w:hAnsi="Times New Roman"/>
                <w:sz w:val="19"/>
                <w:szCs w:val="19"/>
                <w:color w:val="4C4C4E"/>
                <w:vertAlign w:val="superscript"/>
              </w:rPr>
              <w:t>(11)</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A-2 Units (131,569</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12/10/2020</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4,177</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9,972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0.6%</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Oxford Square Capital Corp. </w:t>
            </w:r>
            <w:r>
              <w:rPr>
                <w:rFonts w:ascii="Times New Roman" w:cs="Times New Roman" w:eastAsia="Times New Roman" w:hAnsi="Times New Roman"/>
                <w:sz w:val="19"/>
                <w:szCs w:val="19"/>
                <w:color w:val="4C4C4E"/>
                <w:vertAlign w:val="superscript"/>
              </w:rPr>
              <w:t>(4)(10)</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Common Shares (1,620</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8/5/2015</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shares)</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86"/>
        </w:trPr>
        <w:tc>
          <w:tcPr>
            <w:tcW w:w="234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Passport Labs, Inc. </w:t>
            </w:r>
            <w:r>
              <w:rPr>
                <w:rFonts w:ascii="Times New Roman" w:cs="Times New Roman" w:eastAsia="Times New Roman" w:hAnsi="Times New Roman"/>
                <w:sz w:val="20"/>
                <w:szCs w:val="20"/>
                <w:color w:val="4C4C4E"/>
                <w:vertAlign w:val="superscript"/>
              </w:rPr>
              <w:t>(11)</w:t>
            </w: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Warrants (17,534 warrants)</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4C4C4E"/>
              </w:rPr>
              <w:t>4/28/2021</w:t>
            </w: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192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0.0%</w:t>
            </w: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TS Imagine, Inc. </w:t>
            </w:r>
            <w:r>
              <w:rPr>
                <w:rFonts w:ascii="Times New Roman" w:cs="Times New Roman" w:eastAsia="Times New Roman" w:hAnsi="Times New Roman"/>
                <w:sz w:val="19"/>
                <w:szCs w:val="19"/>
                <w:color w:val="4C4C4E"/>
                <w:vertAlign w:val="superscript"/>
              </w:rPr>
              <w:t>(13)</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 Units (600,000</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5/14/2021</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600</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line="188" w:lineRule="exact"/>
              <w:rPr>
                <w:sz w:val="20"/>
                <w:szCs w:val="20"/>
                <w:color w:val="auto"/>
              </w:rPr>
            </w:pPr>
            <w:r>
              <w:rPr>
                <w:rFonts w:ascii="Times New Roman" w:cs="Times New Roman" w:eastAsia="Times New Roman" w:hAnsi="Times New Roman"/>
                <w:sz w:val="15"/>
                <w:szCs w:val="15"/>
                <w:color w:val="4C4C4E"/>
              </w:rPr>
              <w:t xml:space="preserve">units) </w:t>
            </w:r>
            <w:r>
              <w:rPr>
                <w:rFonts w:ascii="Times New Roman" w:cs="Times New Roman" w:eastAsia="Times New Roman" w:hAnsi="Times New Roman"/>
                <w:sz w:val="20"/>
                <w:szCs w:val="20"/>
                <w:color w:val="4C4C4E"/>
                <w:vertAlign w:val="superscript"/>
              </w:rPr>
              <w:t>(11)</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rPr>
                <w:sz w:val="14"/>
                <w:szCs w:val="14"/>
                <w:color w:val="auto"/>
              </w:rPr>
            </w:pP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AA Units (19,093</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11/1/2024</w:t>
            </w:r>
          </w:p>
        </w:tc>
        <w:tc>
          <w:tcPr>
            <w:tcW w:w="12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20.00%</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340" w:type="dxa"/>
            <w:vAlign w:val="bottom"/>
            <w:tcBorders>
              <w:bottom w:val="single" w:sz="8" w:color="D8EEF4"/>
            </w:tcBorders>
          </w:tcPr>
          <w:p>
            <w:pPr>
              <w:spacing w:after="0"/>
              <w:rPr>
                <w:sz w:val="16"/>
                <w:szCs w:val="16"/>
                <w:color w:val="auto"/>
              </w:rPr>
            </w:pPr>
          </w:p>
        </w:tc>
        <w:tc>
          <w:tcPr>
            <w:tcW w:w="1780" w:type="dxa"/>
            <w:vAlign w:val="bottom"/>
            <w:tcBorders>
              <w:bottom w:val="single" w:sz="8" w:color="D8EEF4"/>
            </w:tcBorders>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7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96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201"/>
        </w:trPr>
        <w:tc>
          <w:tcPr>
            <w:tcW w:w="2340" w:type="dxa"/>
            <w:vAlign w:val="bottom"/>
            <w:tcBorders>
              <w:bottom w:val="single" w:sz="8" w:color="D8EEF4"/>
            </w:tcBorders>
            <w:shd w:val="clear" w:color="auto" w:fill="D8EEF4"/>
          </w:tcPr>
          <w:p>
            <w:pPr>
              <w:spacing w:after="0"/>
              <w:rPr>
                <w:sz w:val="17"/>
                <w:szCs w:val="17"/>
                <w:color w:val="auto"/>
              </w:rPr>
            </w:pPr>
          </w:p>
        </w:tc>
        <w:tc>
          <w:tcPr>
            <w:tcW w:w="178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D8EEF4"/>
            </w:tcBorders>
            <w:shd w:val="clear" w:color="auto" w:fill="D8EEF4"/>
          </w:tcPr>
          <w:p>
            <w:pPr>
              <w:spacing w:after="0"/>
              <w:rPr>
                <w:sz w:val="17"/>
                <w:szCs w:val="17"/>
                <w:color w:val="auto"/>
              </w:rPr>
            </w:pPr>
          </w:p>
        </w:tc>
        <w:tc>
          <w:tcPr>
            <w:tcW w:w="1200" w:type="dxa"/>
            <w:vAlign w:val="bottom"/>
            <w:tcBorders>
              <w:bottom w:val="single" w:sz="8" w:color="D8EEF4"/>
            </w:tcBorders>
            <w:shd w:val="clear" w:color="auto" w:fill="D8EEF4"/>
          </w:tcPr>
          <w:p>
            <w:pPr>
              <w:spacing w:after="0"/>
              <w:rPr>
                <w:sz w:val="17"/>
                <w:szCs w:val="17"/>
                <w:color w:val="auto"/>
              </w:rPr>
            </w:pPr>
          </w:p>
        </w:tc>
        <w:tc>
          <w:tcPr>
            <w:tcW w:w="1800" w:type="dxa"/>
            <w:vAlign w:val="bottom"/>
            <w:tcBorders>
              <w:bottom w:val="single" w:sz="8" w:color="D8EEF4"/>
            </w:tcBorders>
            <w:shd w:val="clear" w:color="auto" w:fill="D8EEF4"/>
          </w:tcPr>
          <w:p>
            <w:pPr>
              <w:spacing w:after="0"/>
              <w:rPr>
                <w:sz w:val="17"/>
                <w:szCs w:val="17"/>
                <w:color w:val="auto"/>
              </w:rPr>
            </w:pPr>
          </w:p>
        </w:tc>
        <w:tc>
          <w:tcPr>
            <w:tcW w:w="80" w:type="dxa"/>
            <w:vAlign w:val="bottom"/>
            <w:tcBorders>
              <w:bottom w:val="single" w:sz="8" w:color="4C4C4E"/>
            </w:tcBorders>
            <w:shd w:val="clear" w:color="auto" w:fill="D8EEF4"/>
          </w:tcPr>
          <w:p>
            <w:pPr>
              <w:spacing w:after="0"/>
              <w:rPr>
                <w:sz w:val="17"/>
                <w:szCs w:val="17"/>
                <w:color w:val="auto"/>
              </w:rPr>
            </w:pPr>
          </w:p>
        </w:tc>
        <w:tc>
          <w:tcPr>
            <w:tcW w:w="7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9,112</w:t>
            </w:r>
          </w:p>
        </w:tc>
        <w:tc>
          <w:tcPr>
            <w:tcW w:w="40" w:type="dxa"/>
            <w:vAlign w:val="bottom"/>
            <w:tcBorders>
              <w:bottom w:val="single" w:sz="8" w:color="D8EEF4"/>
            </w:tcBorders>
            <w:shd w:val="clear" w:color="auto" w:fill="D8EEF4"/>
          </w:tcPr>
          <w:p>
            <w:pPr>
              <w:spacing w:after="0"/>
              <w:rPr>
                <w:sz w:val="17"/>
                <w:szCs w:val="17"/>
                <w:color w:val="auto"/>
              </w:rPr>
            </w:pPr>
          </w:p>
        </w:tc>
        <w:tc>
          <w:tcPr>
            <w:tcW w:w="104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16,461</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1.0</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61"/>
        </w:trPr>
        <w:tc>
          <w:tcPr>
            <w:tcW w:w="23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Healthcare</w:t>
            </w: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Caris Life Sciences, Inc. </w:t>
            </w:r>
            <w:r>
              <w:rPr>
                <w:rFonts w:ascii="Times New Roman" w:cs="Times New Roman" w:eastAsia="Times New Roman" w:hAnsi="Times New Roman"/>
                <w:sz w:val="19"/>
                <w:szCs w:val="19"/>
                <w:color w:val="4C4C4E"/>
                <w:vertAlign w:val="superscript"/>
              </w:rPr>
              <w:t>(10)(11)</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Common Shares (962,195</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6/20/2025</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11,122</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25,960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w:t>
            </w:r>
          </w:p>
        </w:tc>
      </w:tr>
      <w:tr>
        <w:trPr>
          <w:trHeight w:val="188"/>
        </w:trPr>
        <w:tc>
          <w:tcPr>
            <w:tcW w:w="2340" w:type="dxa"/>
            <w:vAlign w:val="bottom"/>
            <w:shd w:val="clear" w:color="auto" w:fill="D8EEF4"/>
          </w:tcPr>
          <w:p>
            <w:pPr>
              <w:spacing w:after="0"/>
              <w:rPr>
                <w:sz w:val="16"/>
                <w:szCs w:val="16"/>
                <w:color w:val="auto"/>
              </w:rPr>
            </w:pPr>
          </w:p>
        </w:tc>
        <w:tc>
          <w:tcPr>
            <w:tcW w:w="178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shares)</w:t>
            </w:r>
          </w:p>
        </w:tc>
        <w:tc>
          <w:tcPr>
            <w:tcW w:w="840" w:type="dxa"/>
            <w:vAlign w:val="bottom"/>
            <w:shd w:val="clear" w:color="auto" w:fill="D8EEF4"/>
          </w:tcPr>
          <w:p>
            <w:pPr>
              <w:spacing w:after="0"/>
              <w:rPr>
                <w:sz w:val="16"/>
                <w:szCs w:val="16"/>
                <w:color w:val="auto"/>
              </w:rPr>
            </w:pPr>
          </w:p>
        </w:tc>
        <w:tc>
          <w:tcPr>
            <w:tcW w:w="120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Merative Topco L.P. </w:t>
            </w:r>
            <w:r>
              <w:rPr>
                <w:rFonts w:ascii="Times New Roman" w:cs="Times New Roman" w:eastAsia="Times New Roman" w:hAnsi="Times New Roman"/>
                <w:sz w:val="19"/>
                <w:szCs w:val="19"/>
                <w:color w:val="4C4C4E"/>
                <w:vertAlign w:val="superscript"/>
              </w:rPr>
              <w:t>(11)</w:t>
            </w:r>
          </w:p>
        </w:tc>
        <w:tc>
          <w:tcPr>
            <w:tcW w:w="178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A-1 Units (989,691</w:t>
            </w:r>
          </w:p>
        </w:tc>
        <w:tc>
          <w:tcPr>
            <w:tcW w:w="8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6/30/2022</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9,897</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14,128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0.9%</w:t>
            </w:r>
          </w:p>
        </w:tc>
      </w:tr>
      <w:tr>
        <w:trPr>
          <w:trHeight w:val="188"/>
        </w:trPr>
        <w:tc>
          <w:tcPr>
            <w:tcW w:w="2340" w:type="dxa"/>
            <w:vAlign w:val="bottom"/>
          </w:tcPr>
          <w:p>
            <w:pPr>
              <w:spacing w:after="0"/>
              <w:rPr>
                <w:sz w:val="16"/>
                <w:szCs w:val="16"/>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Raptor US Buyer II Corp. </w:t>
            </w:r>
            <w:r>
              <w:rPr>
                <w:rFonts w:ascii="Times New Roman" w:cs="Times New Roman" w:eastAsia="Times New Roman" w:hAnsi="Times New Roman"/>
                <w:sz w:val="19"/>
                <w:szCs w:val="19"/>
                <w:color w:val="4C4C4E"/>
                <w:vertAlign w:val="superscript"/>
              </w:rPr>
              <w:t>(11)</w:t>
            </w:r>
          </w:p>
        </w:tc>
        <w:tc>
          <w:tcPr>
            <w:tcW w:w="178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Ordinary Shares (13,176</w:t>
            </w:r>
          </w:p>
        </w:tc>
        <w:tc>
          <w:tcPr>
            <w:tcW w:w="84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3/24/2023</w:t>
            </w:r>
          </w:p>
        </w:tc>
        <w:tc>
          <w:tcPr>
            <w:tcW w:w="1200" w:type="dxa"/>
            <w:vAlign w:val="bottom"/>
            <w:shd w:val="clear" w:color="auto" w:fill="D8EEF4"/>
          </w:tcPr>
          <w:p>
            <w:pPr>
              <w:spacing w:after="0"/>
              <w:rPr>
                <w:sz w:val="14"/>
                <w:szCs w:val="14"/>
                <w:color w:val="auto"/>
              </w:rPr>
            </w:pPr>
          </w:p>
        </w:tc>
        <w:tc>
          <w:tcPr>
            <w:tcW w:w="180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2,033</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2,353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340" w:type="dxa"/>
            <w:vAlign w:val="bottom"/>
            <w:tcBorders>
              <w:bottom w:val="single" w:sz="8" w:color="D8EEF4"/>
            </w:tcBorders>
            <w:shd w:val="clear" w:color="auto" w:fill="D8EEF4"/>
          </w:tcPr>
          <w:p>
            <w:pPr>
              <w:spacing w:after="0"/>
              <w:rPr>
                <w:sz w:val="16"/>
                <w:szCs w:val="16"/>
                <w:color w:val="auto"/>
              </w:rPr>
            </w:pPr>
          </w:p>
        </w:tc>
        <w:tc>
          <w:tcPr>
            <w:tcW w:w="1780" w:type="dxa"/>
            <w:vAlign w:val="bottom"/>
            <w:tcBorders>
              <w:bottom w:val="single" w:sz="8" w:color="D8EEF4"/>
            </w:tcBorders>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shares)</w:t>
            </w:r>
          </w:p>
        </w:tc>
        <w:tc>
          <w:tcPr>
            <w:tcW w:w="840" w:type="dxa"/>
            <w:vAlign w:val="bottom"/>
            <w:tcBorders>
              <w:bottom w:val="single" w:sz="8" w:color="D8EEF4"/>
            </w:tcBorders>
            <w:shd w:val="clear" w:color="auto" w:fill="D8EEF4"/>
          </w:tcPr>
          <w:p>
            <w:pPr>
              <w:spacing w:after="0"/>
              <w:rPr>
                <w:sz w:val="16"/>
                <w:szCs w:val="16"/>
                <w:color w:val="auto"/>
              </w:rPr>
            </w:pPr>
          </w:p>
        </w:tc>
        <w:tc>
          <w:tcPr>
            <w:tcW w:w="1200" w:type="dxa"/>
            <w:vAlign w:val="bottom"/>
            <w:tcBorders>
              <w:bottom w:val="single" w:sz="8" w:color="D8EEF4"/>
            </w:tcBorders>
            <w:shd w:val="clear" w:color="auto" w:fill="D8EEF4"/>
          </w:tcPr>
          <w:p>
            <w:pPr>
              <w:spacing w:after="0"/>
              <w:rPr>
                <w:sz w:val="16"/>
                <w:szCs w:val="16"/>
                <w:color w:val="auto"/>
              </w:rPr>
            </w:pPr>
          </w:p>
        </w:tc>
        <w:tc>
          <w:tcPr>
            <w:tcW w:w="1800" w:type="dxa"/>
            <w:vAlign w:val="bottom"/>
            <w:tcBorders>
              <w:bottom w:val="single" w:sz="8" w:color="D8EEF4"/>
            </w:tcBorders>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720" w:type="dxa"/>
            <w:vAlign w:val="bottom"/>
            <w:tcBorders>
              <w:bottom w:val="single" w:sz="8" w:color="4C4C4E"/>
            </w:tcBorders>
            <w:shd w:val="clear" w:color="auto" w:fill="D8EEF4"/>
          </w:tcPr>
          <w:p>
            <w:pPr>
              <w:spacing w:after="0"/>
              <w:rPr>
                <w:sz w:val="16"/>
                <w:szCs w:val="16"/>
                <w:color w:val="auto"/>
              </w:rPr>
            </w:pPr>
          </w:p>
        </w:tc>
        <w:tc>
          <w:tcPr>
            <w:tcW w:w="40" w:type="dxa"/>
            <w:vAlign w:val="bottom"/>
            <w:tcBorders>
              <w:bottom w:val="single" w:sz="8" w:color="D8EEF4"/>
            </w:tcBorders>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960" w:type="dxa"/>
            <w:vAlign w:val="bottom"/>
            <w:tcBorders>
              <w:bottom w:val="single" w:sz="8" w:color="4C4C4E"/>
            </w:tcBorders>
            <w:shd w:val="clear" w:color="auto" w:fill="D8EEF4"/>
          </w:tcPr>
          <w:p>
            <w:pPr>
              <w:spacing w:after="0"/>
              <w:rPr>
                <w:sz w:val="16"/>
                <w:szCs w:val="16"/>
                <w:color w:val="auto"/>
              </w:rPr>
            </w:pPr>
          </w:p>
        </w:tc>
        <w:tc>
          <w:tcPr>
            <w:tcW w:w="40" w:type="dxa"/>
            <w:vAlign w:val="bottom"/>
            <w:tcBorders>
              <w:bottom w:val="single" w:sz="8" w:color="D8EEF4"/>
            </w:tcBorders>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tcBorders>
              <w:bottom w:val="single" w:sz="8" w:color="D8EEF4"/>
            </w:tcBorders>
            <w:shd w:val="clear" w:color="auto" w:fill="D8EEF4"/>
          </w:tcPr>
          <w:p>
            <w:pPr>
              <w:spacing w:after="0"/>
              <w:rPr>
                <w:sz w:val="16"/>
                <w:szCs w:val="16"/>
                <w:color w:val="auto"/>
              </w:rPr>
            </w:pPr>
          </w:p>
        </w:tc>
      </w:tr>
    </w:tbl>
    <w:p>
      <w:pPr>
        <w:spacing w:after="0" w:line="200" w:lineRule="exact"/>
        <w:rPr>
          <w:sz w:val="20"/>
          <w:szCs w:val="20"/>
          <w:color w:val="auto"/>
        </w:rPr>
      </w:pPr>
    </w:p>
    <w:p>
      <w:pPr>
        <w:sectPr>
          <w:pgSz w:w="11880" w:h="15480" w:orient="portrait"/>
          <w:cols w:equalWidth="0" w:num="1">
            <w:col w:w="10880"/>
          </w:cols>
          <w:pgMar w:left="500" w:top="710" w:right="500" w:bottom="6"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F-11</w:t>
      </w:r>
    </w:p>
    <w:p>
      <w:pPr>
        <w:sectPr>
          <w:pgSz w:w="11880" w:h="15480" w:orient="portrait"/>
          <w:cols w:equalWidth="0" w:num="1">
            <w:col w:w="10880"/>
          </w:cols>
          <w:pgMar w:left="500" w:top="710" w:right="500" w:bottom="6"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23,052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42,441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2.7%</w:t>
            </w:r>
          </w:p>
        </w:tc>
        <w:tc>
          <w:tcPr>
            <w:tcW w:w="0" w:type="dxa"/>
            <w:vAlign w:val="bottom"/>
          </w:tcPr>
          <w:p>
            <w:pPr>
              <w:spacing w:after="0"/>
              <w:rPr>
                <w:sz w:val="1"/>
                <w:szCs w:val="1"/>
                <w:color w:val="auto"/>
              </w:rPr>
            </w:pPr>
          </w:p>
        </w:tc>
      </w:tr>
      <w:tr>
        <w:trPr>
          <w:trHeight w:val="181"/>
        </w:trPr>
        <w:tc>
          <w:tcPr>
            <w:tcW w:w="23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Hotel, Gaming and Leisure</w:t>
            </w:r>
          </w:p>
        </w:tc>
        <w:tc>
          <w:tcPr>
            <w:tcW w:w="1760" w:type="dxa"/>
            <w:vAlign w:val="bottom"/>
            <w:tcBorders>
              <w:top w:val="single" w:sz="8" w:color="D8EEF4"/>
            </w:tcBorders>
            <w:shd w:val="clear" w:color="auto" w:fill="D8EEF4"/>
          </w:tcPr>
          <w:p>
            <w:pPr>
              <w:spacing w:after="0"/>
              <w:rPr>
                <w:sz w:val="15"/>
                <w:szCs w:val="15"/>
                <w:color w:val="auto"/>
              </w:rPr>
            </w:pPr>
          </w:p>
        </w:tc>
        <w:tc>
          <w:tcPr>
            <w:tcW w:w="860" w:type="dxa"/>
            <w:vAlign w:val="bottom"/>
            <w:tcBorders>
              <w:top w:val="single" w:sz="8" w:color="D8EEF4"/>
            </w:tcBorders>
            <w:shd w:val="clear" w:color="auto" w:fill="D8EEF4"/>
          </w:tcPr>
          <w:p>
            <w:pPr>
              <w:spacing w:after="0"/>
              <w:rPr>
                <w:sz w:val="15"/>
                <w:szCs w:val="15"/>
                <w:color w:val="auto"/>
              </w:rPr>
            </w:pPr>
          </w:p>
        </w:tc>
        <w:tc>
          <w:tcPr>
            <w:tcW w:w="1620" w:type="dxa"/>
            <w:vAlign w:val="bottom"/>
            <w:tcBorders>
              <w:top w:val="single" w:sz="8" w:color="D8EEF4"/>
            </w:tcBorders>
            <w:shd w:val="clear" w:color="auto" w:fill="D8EEF4"/>
          </w:tcPr>
          <w:p>
            <w:pPr>
              <w:spacing w:after="0"/>
              <w:rPr>
                <w:sz w:val="15"/>
                <w:szCs w:val="15"/>
                <w:color w:val="auto"/>
              </w:rPr>
            </w:pPr>
          </w:p>
        </w:tc>
        <w:tc>
          <w:tcPr>
            <w:tcW w:w="138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IRGSE Holding Corp. </w:t>
            </w:r>
            <w:r>
              <w:rPr>
                <w:rFonts w:ascii="Times New Roman" w:cs="Times New Roman" w:eastAsia="Times New Roman" w:hAnsi="Times New Roman"/>
                <w:sz w:val="19"/>
                <w:szCs w:val="19"/>
                <w:color w:val="4C4C4E"/>
                <w:vertAlign w:val="superscript"/>
              </w:rPr>
              <w:t>(6)(11)</w:t>
            </w: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 Units (50,140,171</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12/21/2018</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21,883</w:t>
            </w:r>
          </w:p>
        </w:tc>
        <w:tc>
          <w:tcPr>
            <w:tcW w:w="4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125</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rPr>
                <w:sz w:val="14"/>
                <w:szCs w:val="14"/>
                <w:color w:val="auto"/>
              </w:rPr>
            </w:pP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C-1 Units (8,800,000</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12/21/2018</w:t>
            </w:r>
          </w:p>
        </w:tc>
        <w:tc>
          <w:tcPr>
            <w:tcW w:w="1620" w:type="dxa"/>
            <w:vAlign w:val="bottom"/>
            <w:shd w:val="clear" w:color="auto" w:fill="D8EEF4"/>
          </w:tcPr>
          <w:p>
            <w:pPr>
              <w:spacing w:after="0"/>
              <w:rPr>
                <w:sz w:val="14"/>
                <w:szCs w:val="14"/>
                <w:color w:val="auto"/>
              </w:rPr>
            </w:pPr>
          </w:p>
        </w:tc>
        <w:tc>
          <w:tcPr>
            <w:tcW w:w="1380" w:type="dxa"/>
            <w:vAlign w:val="bottom"/>
            <w:shd w:val="clear" w:color="auto" w:fill="D8EEF4"/>
          </w:tcPr>
          <w:p>
            <w:pPr>
              <w:spacing w:after="0"/>
              <w:rPr>
                <w:sz w:val="14"/>
                <w:szCs w:val="14"/>
                <w:color w:val="auto"/>
              </w:rPr>
            </w:pP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60" w:type="dxa"/>
            <w:vAlign w:val="bottom"/>
            <w:shd w:val="clear" w:color="auto" w:fill="D8EEF4"/>
          </w:tcPr>
          <w:p>
            <w:pPr>
              <w:spacing w:after="0"/>
              <w:rPr>
                <w:sz w:val="16"/>
                <w:szCs w:val="16"/>
                <w:color w:val="auto"/>
              </w:rPr>
            </w:pP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72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96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21,983</w:t>
            </w:r>
          </w:p>
        </w:tc>
        <w:tc>
          <w:tcPr>
            <w:tcW w:w="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168</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1"/>
        </w:trPr>
        <w:tc>
          <w:tcPr>
            <w:tcW w:w="23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Human Resource Support Services</w:t>
            </w:r>
          </w:p>
        </w:tc>
        <w:tc>
          <w:tcPr>
            <w:tcW w:w="1760" w:type="dxa"/>
            <w:vAlign w:val="bottom"/>
            <w:tcBorders>
              <w:top w:val="single" w:sz="8" w:color="D8EEF4"/>
            </w:tcBorders>
            <w:shd w:val="clear" w:color="auto" w:fill="D8EEF4"/>
          </w:tcPr>
          <w:p>
            <w:pPr>
              <w:spacing w:after="0"/>
              <w:rPr>
                <w:sz w:val="15"/>
                <w:szCs w:val="15"/>
                <w:color w:val="auto"/>
              </w:rPr>
            </w:pPr>
          </w:p>
        </w:tc>
        <w:tc>
          <w:tcPr>
            <w:tcW w:w="860" w:type="dxa"/>
            <w:vAlign w:val="bottom"/>
            <w:tcBorders>
              <w:top w:val="single" w:sz="8" w:color="D8EEF4"/>
            </w:tcBorders>
            <w:shd w:val="clear" w:color="auto" w:fill="D8EEF4"/>
          </w:tcPr>
          <w:p>
            <w:pPr>
              <w:spacing w:after="0"/>
              <w:rPr>
                <w:sz w:val="15"/>
                <w:szCs w:val="15"/>
                <w:color w:val="auto"/>
              </w:rPr>
            </w:pPr>
          </w:p>
        </w:tc>
        <w:tc>
          <w:tcPr>
            <w:tcW w:w="1620" w:type="dxa"/>
            <w:vAlign w:val="bottom"/>
            <w:tcBorders>
              <w:top w:val="single" w:sz="8" w:color="D8EEF4"/>
            </w:tcBorders>
            <w:shd w:val="clear" w:color="auto" w:fill="D8EEF4"/>
          </w:tcPr>
          <w:p>
            <w:pPr>
              <w:spacing w:after="0"/>
              <w:rPr>
                <w:sz w:val="15"/>
                <w:szCs w:val="15"/>
                <w:color w:val="auto"/>
              </w:rPr>
            </w:pPr>
          </w:p>
        </w:tc>
        <w:tc>
          <w:tcPr>
            <w:tcW w:w="138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Axonify, Inc. </w:t>
            </w:r>
            <w:r>
              <w:rPr>
                <w:rFonts w:ascii="Times New Roman" w:cs="Times New Roman" w:eastAsia="Times New Roman" w:hAnsi="Times New Roman"/>
                <w:sz w:val="19"/>
                <w:szCs w:val="19"/>
                <w:color w:val="4C4C4E"/>
                <w:vertAlign w:val="superscript"/>
              </w:rPr>
              <w:t>(4)(11)(13)</w:t>
            </w: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A-1 Units (3,780,000</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5/5/2021</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3,780</w:t>
            </w:r>
          </w:p>
        </w:tc>
        <w:tc>
          <w:tcPr>
            <w:tcW w:w="4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3,497</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bswift, LLC</w:t>
            </w: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A-1 Units (2,393,509</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11/7/2022</w:t>
            </w:r>
          </w:p>
        </w:tc>
        <w:tc>
          <w:tcPr>
            <w:tcW w:w="1620" w:type="dxa"/>
            <w:vAlign w:val="bottom"/>
            <w:shd w:val="clear" w:color="auto" w:fill="D8EEF4"/>
          </w:tcPr>
          <w:p>
            <w:pPr>
              <w:spacing w:after="0"/>
              <w:rPr>
                <w:sz w:val="14"/>
                <w:szCs w:val="14"/>
                <w:color w:val="auto"/>
              </w:rPr>
            </w:pPr>
          </w:p>
        </w:tc>
        <w:tc>
          <w:tcPr>
            <w:tcW w:w="1380" w:type="dxa"/>
            <w:vAlign w:val="bottom"/>
            <w:shd w:val="clear" w:color="auto" w:fill="D8EEF4"/>
          </w:tcPr>
          <w:p>
            <w:pPr>
              <w:spacing w:after="0"/>
              <w:rPr>
                <w:sz w:val="14"/>
                <w:szCs w:val="14"/>
                <w:color w:val="auto"/>
              </w:rPr>
            </w:pP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2,394</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4,727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60" w:type="dxa"/>
            <w:vAlign w:val="bottom"/>
            <w:shd w:val="clear" w:color="auto" w:fill="D8EEF4"/>
          </w:tcPr>
          <w:p>
            <w:pPr>
              <w:spacing w:after="0"/>
              <w:rPr>
                <w:sz w:val="16"/>
                <w:szCs w:val="16"/>
                <w:color w:val="auto"/>
              </w:rPr>
            </w:pP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DaySmart Holdings, LLC </w:t>
            </w:r>
            <w:r>
              <w:rPr>
                <w:rFonts w:ascii="Times New Roman" w:cs="Times New Roman" w:eastAsia="Times New Roman" w:hAnsi="Times New Roman"/>
                <w:sz w:val="19"/>
                <w:szCs w:val="19"/>
                <w:color w:val="4C4C4E"/>
                <w:vertAlign w:val="superscript"/>
              </w:rPr>
              <w:t>(11)</w:t>
            </w: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 Units (166,811</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12/18/2020</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1,347</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2,259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Employment Hero Holdings Pty Ltd.</w:t>
            </w: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Series E Preferred Shares</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3/1/2022</w:t>
            </w:r>
          </w:p>
        </w:tc>
        <w:tc>
          <w:tcPr>
            <w:tcW w:w="1620" w:type="dxa"/>
            <w:vAlign w:val="bottom"/>
            <w:shd w:val="clear" w:color="auto" w:fill="D8EEF4"/>
          </w:tcPr>
          <w:p>
            <w:pPr>
              <w:spacing w:after="0"/>
              <w:rPr>
                <w:sz w:val="14"/>
                <w:szCs w:val="14"/>
                <w:color w:val="auto"/>
              </w:rPr>
            </w:pPr>
          </w:p>
        </w:tc>
        <w:tc>
          <w:tcPr>
            <w:tcW w:w="1380" w:type="dxa"/>
            <w:vAlign w:val="bottom"/>
            <w:shd w:val="clear" w:color="auto" w:fill="D8EEF4"/>
          </w:tcPr>
          <w:p>
            <w:pPr>
              <w:spacing w:after="0"/>
              <w:rPr>
                <w:sz w:val="14"/>
                <w:szCs w:val="14"/>
                <w:color w:val="auto"/>
              </w:rPr>
            </w:pP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2,134</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4,081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0"/>
                <w:szCs w:val="10"/>
                <w:color w:val="4C4C4E"/>
              </w:rPr>
              <w:t>(4)(11)</w:t>
            </w:r>
          </w:p>
        </w:tc>
        <w:tc>
          <w:tcPr>
            <w:tcW w:w="1760" w:type="dxa"/>
            <w:vAlign w:val="bottom"/>
            <w:tcBorders>
              <w:bottom w:val="single" w:sz="8" w:color="D8EEF4"/>
            </w:tcBorders>
            <w:shd w:val="clear" w:color="auto" w:fill="D8EEF4"/>
          </w:tcPr>
          <w:p>
            <w:pPr>
              <w:ind w:left="40"/>
              <w:spacing w:after="0" w:line="168" w:lineRule="exact"/>
              <w:rPr>
                <w:sz w:val="20"/>
                <w:szCs w:val="20"/>
                <w:color w:val="auto"/>
              </w:rPr>
            </w:pPr>
            <w:r>
              <w:rPr>
                <w:rFonts w:ascii="Times New Roman" w:cs="Times New Roman" w:eastAsia="Times New Roman" w:hAnsi="Times New Roman"/>
                <w:sz w:val="15"/>
                <w:szCs w:val="15"/>
                <w:color w:val="4C4C4E"/>
              </w:rPr>
              <w:t>(113,250 shares)</w:t>
            </w:r>
          </w:p>
        </w:tc>
        <w:tc>
          <w:tcPr>
            <w:tcW w:w="860" w:type="dxa"/>
            <w:vAlign w:val="bottom"/>
            <w:tcBorders>
              <w:bottom w:val="single" w:sz="8" w:color="D8EEF4"/>
            </w:tcBorders>
            <w:shd w:val="clear" w:color="auto" w:fill="D8EEF4"/>
          </w:tcPr>
          <w:p>
            <w:pPr>
              <w:spacing w:after="0"/>
              <w:rPr>
                <w:sz w:val="14"/>
                <w:szCs w:val="14"/>
                <w:color w:val="auto"/>
              </w:rPr>
            </w:pPr>
          </w:p>
        </w:tc>
        <w:tc>
          <w:tcPr>
            <w:tcW w:w="1620" w:type="dxa"/>
            <w:vAlign w:val="bottom"/>
            <w:tcBorders>
              <w:bottom w:val="single" w:sz="8" w:color="D8EEF4"/>
            </w:tcBorders>
            <w:shd w:val="clear" w:color="auto" w:fill="D8EEF4"/>
          </w:tcPr>
          <w:p>
            <w:pPr>
              <w:spacing w:after="0"/>
              <w:rPr>
                <w:sz w:val="14"/>
                <w:szCs w:val="14"/>
                <w:color w:val="auto"/>
              </w:rPr>
            </w:pPr>
          </w:p>
        </w:tc>
        <w:tc>
          <w:tcPr>
            <w:tcW w:w="1380" w:type="dxa"/>
            <w:vAlign w:val="bottom"/>
            <w:tcBorders>
              <w:bottom w:val="single" w:sz="8" w:color="D8EEF4"/>
            </w:tcBorders>
            <w:shd w:val="clear" w:color="auto" w:fill="D8EEF4"/>
          </w:tcPr>
          <w:p>
            <w:pPr>
              <w:spacing w:after="0"/>
              <w:rPr>
                <w:sz w:val="14"/>
                <w:szCs w:val="14"/>
                <w:color w:val="auto"/>
              </w:rPr>
            </w:pPr>
          </w:p>
        </w:tc>
        <w:tc>
          <w:tcPr>
            <w:tcW w:w="80" w:type="dxa"/>
            <w:vAlign w:val="bottom"/>
            <w:tcBorders>
              <w:bottom w:val="single" w:sz="8" w:color="D8EEF4"/>
            </w:tcBorders>
            <w:shd w:val="clear" w:color="auto" w:fill="D8EEF4"/>
          </w:tcPr>
          <w:p>
            <w:pPr>
              <w:spacing w:after="0"/>
              <w:rPr>
                <w:sz w:val="14"/>
                <w:szCs w:val="14"/>
                <w:color w:val="auto"/>
              </w:rPr>
            </w:pPr>
          </w:p>
        </w:tc>
        <w:tc>
          <w:tcPr>
            <w:tcW w:w="720" w:type="dxa"/>
            <w:vAlign w:val="bottom"/>
            <w:tcBorders>
              <w:bottom w:val="single" w:sz="8" w:color="D8EEF4"/>
            </w:tcBorders>
            <w:shd w:val="clear" w:color="auto" w:fill="D8EEF4"/>
          </w:tcPr>
          <w:p>
            <w:pPr>
              <w:spacing w:after="0"/>
              <w:rPr>
                <w:sz w:val="14"/>
                <w:szCs w:val="14"/>
                <w:color w:val="auto"/>
              </w:rPr>
            </w:pPr>
          </w:p>
        </w:tc>
        <w:tc>
          <w:tcPr>
            <w:tcW w:w="40" w:type="dxa"/>
            <w:vAlign w:val="bottom"/>
            <w:tcBorders>
              <w:bottom w:val="single" w:sz="8" w:color="D8EEF4"/>
            </w:tcBorders>
            <w:shd w:val="clear" w:color="auto" w:fill="D8EEF4"/>
          </w:tcPr>
          <w:p>
            <w:pPr>
              <w:spacing w:after="0"/>
              <w:rPr>
                <w:sz w:val="14"/>
                <w:szCs w:val="14"/>
                <w:color w:val="auto"/>
              </w:rPr>
            </w:pPr>
          </w:p>
        </w:tc>
        <w:tc>
          <w:tcPr>
            <w:tcW w:w="80" w:type="dxa"/>
            <w:vAlign w:val="bottom"/>
            <w:tcBorders>
              <w:bottom w:val="single" w:sz="8" w:color="D8EEF4"/>
            </w:tcBorders>
            <w:shd w:val="clear" w:color="auto" w:fill="D8EEF4"/>
          </w:tcPr>
          <w:p>
            <w:pPr>
              <w:spacing w:after="0"/>
              <w:rPr>
                <w:sz w:val="14"/>
                <w:szCs w:val="14"/>
                <w:color w:val="auto"/>
              </w:rPr>
            </w:pPr>
          </w:p>
        </w:tc>
        <w:tc>
          <w:tcPr>
            <w:tcW w:w="960" w:type="dxa"/>
            <w:vAlign w:val="bottom"/>
            <w:tcBorders>
              <w:bottom w:val="single" w:sz="8" w:color="D8EEF4"/>
            </w:tcBorders>
            <w:shd w:val="clear" w:color="auto" w:fill="D8EEF4"/>
          </w:tcPr>
          <w:p>
            <w:pPr>
              <w:jc w:val="right"/>
              <w:spacing w:after="0" w:line="168" w:lineRule="exact"/>
              <w:rPr>
                <w:sz w:val="20"/>
                <w:szCs w:val="20"/>
                <w:color w:val="auto"/>
              </w:rPr>
            </w:pPr>
            <w:r>
              <w:rPr>
                <w:rFonts w:ascii="Times New Roman" w:cs="Times New Roman" w:eastAsia="Times New Roman" w:hAnsi="Times New Roman"/>
                <w:sz w:val="15"/>
                <w:szCs w:val="15"/>
                <w:color w:val="4C4C4E"/>
              </w:rPr>
              <w:t>(AUD 6,120)</w:t>
            </w:r>
          </w:p>
        </w:tc>
        <w:tc>
          <w:tcPr>
            <w:tcW w:w="40" w:type="dxa"/>
            <w:vAlign w:val="bottom"/>
            <w:tcBorders>
              <w:bottom w:val="single" w:sz="8" w:color="D8EEF4"/>
            </w:tcBorders>
            <w:shd w:val="clear" w:color="auto" w:fill="D8EEF4"/>
          </w:tcPr>
          <w:p>
            <w:pPr>
              <w:spacing w:after="0"/>
              <w:rPr>
                <w:sz w:val="14"/>
                <w:szCs w:val="14"/>
                <w:color w:val="auto"/>
              </w:rPr>
            </w:pPr>
          </w:p>
        </w:tc>
        <w:tc>
          <w:tcPr>
            <w:tcW w:w="840" w:type="dxa"/>
            <w:vAlign w:val="bottom"/>
            <w:tcBorders>
              <w:bottom w:val="single" w:sz="8" w:color="D8EEF4"/>
            </w:tcBorders>
            <w:shd w:val="clear" w:color="auto" w:fill="D8EEF4"/>
          </w:tcPr>
          <w:p>
            <w:pPr>
              <w:spacing w:after="0"/>
              <w:rPr>
                <w:sz w:val="14"/>
                <w:szCs w:val="14"/>
                <w:color w:val="auto"/>
              </w:rPr>
            </w:pPr>
          </w:p>
        </w:tc>
        <w:tc>
          <w:tcPr>
            <w:tcW w:w="160" w:type="dxa"/>
            <w:vAlign w:val="bottom"/>
            <w:tcBorders>
              <w:bottom w:val="single" w:sz="8" w:color="D8EEF4"/>
            </w:tcBorders>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gridSpan w:val="2"/>
            <w:shd w:val="clear" w:color="auto" w:fill="4C4C4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40" w:type="dxa"/>
            <w:vAlign w:val="bottom"/>
            <w:gridSpan w:val="2"/>
            <w:shd w:val="clear" w:color="auto" w:fill="4C4C4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40" w:type="dxa"/>
            <w:vAlign w:val="bottom"/>
            <w:shd w:val="clear" w:color="auto" w:fill="4C4C4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9,655</w:t>
            </w:r>
          </w:p>
        </w:tc>
        <w:tc>
          <w:tcPr>
            <w:tcW w:w="40" w:type="dxa"/>
            <w:vAlign w:val="bottom"/>
            <w:vMerge w:val="continue"/>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14,564</w:t>
            </w:r>
          </w:p>
        </w:tc>
        <w:tc>
          <w:tcPr>
            <w:tcW w:w="40" w:type="dxa"/>
            <w:vAlign w:val="bottom"/>
            <w:vMerge w:val="continue"/>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0.9%</w:t>
            </w:r>
          </w:p>
        </w:tc>
        <w:tc>
          <w:tcPr>
            <w:tcW w:w="0" w:type="dxa"/>
            <w:vAlign w:val="bottom"/>
          </w:tcPr>
          <w:p>
            <w:pPr>
              <w:spacing w:after="0"/>
              <w:rPr>
                <w:sz w:val="1"/>
                <w:szCs w:val="1"/>
                <w:color w:val="auto"/>
              </w:rPr>
            </w:pPr>
          </w:p>
        </w:tc>
      </w:tr>
      <w:tr>
        <w:trPr>
          <w:trHeight w:val="181"/>
        </w:trPr>
        <w:tc>
          <w:tcPr>
            <w:tcW w:w="23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Internet Services</w:t>
            </w:r>
          </w:p>
        </w:tc>
        <w:tc>
          <w:tcPr>
            <w:tcW w:w="1760" w:type="dxa"/>
            <w:vAlign w:val="bottom"/>
            <w:tcBorders>
              <w:top w:val="single" w:sz="8" w:color="D8EEF4"/>
            </w:tcBorders>
            <w:shd w:val="clear" w:color="auto" w:fill="D8EEF4"/>
          </w:tcPr>
          <w:p>
            <w:pPr>
              <w:spacing w:after="0"/>
              <w:rPr>
                <w:sz w:val="15"/>
                <w:szCs w:val="15"/>
                <w:color w:val="auto"/>
              </w:rPr>
            </w:pPr>
          </w:p>
        </w:tc>
        <w:tc>
          <w:tcPr>
            <w:tcW w:w="860" w:type="dxa"/>
            <w:vAlign w:val="bottom"/>
            <w:tcBorders>
              <w:top w:val="single" w:sz="8" w:color="D8EEF4"/>
            </w:tcBorders>
            <w:shd w:val="clear" w:color="auto" w:fill="D8EEF4"/>
          </w:tcPr>
          <w:p>
            <w:pPr>
              <w:spacing w:after="0"/>
              <w:rPr>
                <w:sz w:val="15"/>
                <w:szCs w:val="15"/>
                <w:color w:val="auto"/>
              </w:rPr>
            </w:pPr>
          </w:p>
        </w:tc>
        <w:tc>
          <w:tcPr>
            <w:tcW w:w="1620" w:type="dxa"/>
            <w:vAlign w:val="bottom"/>
            <w:tcBorders>
              <w:top w:val="single" w:sz="8" w:color="D8EEF4"/>
            </w:tcBorders>
            <w:shd w:val="clear" w:color="auto" w:fill="D8EEF4"/>
          </w:tcPr>
          <w:p>
            <w:pPr>
              <w:spacing w:after="0"/>
              <w:rPr>
                <w:sz w:val="15"/>
                <w:szCs w:val="15"/>
                <w:color w:val="auto"/>
              </w:rPr>
            </w:pPr>
          </w:p>
        </w:tc>
        <w:tc>
          <w:tcPr>
            <w:tcW w:w="138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Bayshore Intermediate #2, L.P. </w:t>
            </w:r>
            <w:r>
              <w:rPr>
                <w:rFonts w:ascii="Times New Roman" w:cs="Times New Roman" w:eastAsia="Times New Roman" w:hAnsi="Times New Roman"/>
                <w:sz w:val="19"/>
                <w:szCs w:val="19"/>
                <w:color w:val="4C4C4E"/>
                <w:vertAlign w:val="superscript"/>
              </w:rPr>
              <w:t>(11)(13)</w:t>
            </w: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Co-Invest Common Units</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10/1/2021</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8,837</w:t>
            </w:r>
          </w:p>
        </w:tc>
        <w:tc>
          <w:tcPr>
            <w:tcW w:w="4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12,880</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0.9%</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(8,837,008 units)</w:t>
            </w: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rPr>
                <w:sz w:val="14"/>
                <w:szCs w:val="14"/>
                <w:color w:val="auto"/>
              </w:rPr>
            </w:pP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Co-Invest 2 Common Units</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10/1/2021</w:t>
            </w:r>
          </w:p>
        </w:tc>
        <w:tc>
          <w:tcPr>
            <w:tcW w:w="1620" w:type="dxa"/>
            <w:vAlign w:val="bottom"/>
            <w:shd w:val="clear" w:color="auto" w:fill="D8EEF4"/>
          </w:tcPr>
          <w:p>
            <w:pPr>
              <w:spacing w:after="0"/>
              <w:rPr>
                <w:sz w:val="14"/>
                <w:szCs w:val="14"/>
                <w:color w:val="auto"/>
              </w:rPr>
            </w:pPr>
          </w:p>
        </w:tc>
        <w:tc>
          <w:tcPr>
            <w:tcW w:w="1380" w:type="dxa"/>
            <w:vAlign w:val="bottom"/>
            <w:shd w:val="clear" w:color="auto" w:fill="D8EEF4"/>
          </w:tcPr>
          <w:p>
            <w:pPr>
              <w:spacing w:after="0"/>
              <w:rPr>
                <w:sz w:val="14"/>
                <w:szCs w:val="14"/>
                <w:color w:val="auto"/>
              </w:rPr>
            </w:pP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3,494</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5,092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(3,493,701 units)</w:t>
            </w:r>
          </w:p>
        </w:tc>
        <w:tc>
          <w:tcPr>
            <w:tcW w:w="860" w:type="dxa"/>
            <w:vAlign w:val="bottom"/>
            <w:shd w:val="clear" w:color="auto" w:fill="D8EEF4"/>
          </w:tcPr>
          <w:p>
            <w:pPr>
              <w:spacing w:after="0"/>
              <w:rPr>
                <w:sz w:val="16"/>
                <w:szCs w:val="16"/>
                <w:color w:val="auto"/>
              </w:rPr>
            </w:pP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Bigtincan Holdings L.P. </w:t>
            </w:r>
            <w:r>
              <w:rPr>
                <w:rFonts w:ascii="Times New Roman" w:cs="Times New Roman" w:eastAsia="Times New Roman" w:hAnsi="Times New Roman"/>
                <w:sz w:val="19"/>
                <w:szCs w:val="19"/>
                <w:color w:val="4C4C4E"/>
                <w:vertAlign w:val="superscript"/>
              </w:rPr>
              <w:t>(11)(12)</w:t>
            </w: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 Units (2,902,890</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4/16/2025</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3,019</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3,020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shd w:val="clear" w:color="auto" w:fill="D8EEF4"/>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Khoros, LLC </w:t>
            </w:r>
            <w:r>
              <w:rPr>
                <w:rFonts w:ascii="Times New Roman" w:cs="Times New Roman" w:eastAsia="Times New Roman" w:hAnsi="Times New Roman"/>
                <w:sz w:val="20"/>
                <w:szCs w:val="20"/>
                <w:color w:val="4C4C4E"/>
                <w:vertAlign w:val="superscript"/>
              </w:rPr>
              <w:t>(12)(13)</w:t>
            </w: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Earnout Interests</w:t>
            </w:r>
          </w:p>
        </w:tc>
        <w:tc>
          <w:tcPr>
            <w:tcW w:w="86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5/23/2025</w:t>
            </w: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7,614</w:t>
            </w:r>
          </w:p>
        </w:tc>
        <w:tc>
          <w:tcPr>
            <w:tcW w:w="108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7,233</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0.4%</w:t>
            </w: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Lucidworks, Inc. </w:t>
            </w:r>
            <w:r>
              <w:rPr>
                <w:rFonts w:ascii="Times New Roman" w:cs="Times New Roman" w:eastAsia="Times New Roman" w:hAnsi="Times New Roman"/>
                <w:sz w:val="19"/>
                <w:szCs w:val="19"/>
                <w:color w:val="4C4C4E"/>
                <w:vertAlign w:val="superscript"/>
              </w:rPr>
              <w:t>(11)</w:t>
            </w: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Series F Preferred Shares</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8/2/2019</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800</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(199,054 shares)</w:t>
            </w: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Piano Software, Inc. </w:t>
            </w:r>
            <w:r>
              <w:rPr>
                <w:rFonts w:ascii="Times New Roman" w:cs="Times New Roman" w:eastAsia="Times New Roman" w:hAnsi="Times New Roman"/>
                <w:sz w:val="19"/>
                <w:szCs w:val="19"/>
                <w:color w:val="4C4C4E"/>
                <w:vertAlign w:val="superscript"/>
              </w:rPr>
              <w:t>(11)</w:t>
            </w: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Series C-1 Preferred Shares</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12/22/2021</w:t>
            </w:r>
          </w:p>
        </w:tc>
        <w:tc>
          <w:tcPr>
            <w:tcW w:w="1620" w:type="dxa"/>
            <w:vAlign w:val="bottom"/>
            <w:shd w:val="clear" w:color="auto" w:fill="D8EEF4"/>
          </w:tcPr>
          <w:p>
            <w:pPr>
              <w:spacing w:after="0"/>
              <w:rPr>
                <w:sz w:val="14"/>
                <w:szCs w:val="14"/>
                <w:color w:val="auto"/>
              </w:rPr>
            </w:pPr>
          </w:p>
        </w:tc>
        <w:tc>
          <w:tcPr>
            <w:tcW w:w="1380" w:type="dxa"/>
            <w:vAlign w:val="bottom"/>
            <w:shd w:val="clear" w:color="auto" w:fill="D8EEF4"/>
          </w:tcPr>
          <w:p>
            <w:pPr>
              <w:spacing w:after="0"/>
              <w:rPr>
                <w:sz w:val="14"/>
                <w:szCs w:val="14"/>
                <w:color w:val="auto"/>
              </w:rPr>
            </w:pP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3,000</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2,400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(418,527 shares)</w:t>
            </w:r>
          </w:p>
        </w:tc>
        <w:tc>
          <w:tcPr>
            <w:tcW w:w="860" w:type="dxa"/>
            <w:vAlign w:val="bottom"/>
            <w:shd w:val="clear" w:color="auto" w:fill="D8EEF4"/>
          </w:tcPr>
          <w:p>
            <w:pPr>
              <w:spacing w:after="0"/>
              <w:rPr>
                <w:sz w:val="16"/>
                <w:szCs w:val="16"/>
                <w:color w:val="auto"/>
              </w:rPr>
            </w:pP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Series C-2 Preferred Shares</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11/18/2022</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198</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(27,588 shares)</w:t>
            </w: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shd w:val="clear" w:color="auto" w:fill="D8EEF4"/>
          </w:tcPr>
          <w:p>
            <w:pPr>
              <w:spacing w:after="0" w:line="186" w:lineRule="exact"/>
              <w:rPr>
                <w:sz w:val="20"/>
                <w:szCs w:val="20"/>
                <w:color w:val="auto"/>
              </w:rPr>
            </w:pPr>
            <w:r>
              <w:rPr>
                <w:rFonts w:ascii="Times New Roman" w:cs="Times New Roman" w:eastAsia="Times New Roman" w:hAnsi="Times New Roman"/>
                <w:sz w:val="15"/>
                <w:szCs w:val="15"/>
                <w:color w:val="4C4C4E"/>
                <w:w w:val="97"/>
              </w:rPr>
              <w:t xml:space="preserve">SMA Technologies Holdings, LLC </w:t>
            </w:r>
            <w:r>
              <w:rPr>
                <w:rFonts w:ascii="Times New Roman" w:cs="Times New Roman" w:eastAsia="Times New Roman" w:hAnsi="Times New Roman"/>
                <w:sz w:val="20"/>
                <w:szCs w:val="20"/>
                <w:color w:val="4C4C4E"/>
                <w:w w:val="97"/>
                <w:vertAlign w:val="superscript"/>
              </w:rPr>
              <w:t>(11)</w:t>
            </w: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Class A Units (1,584 units)</w:t>
            </w:r>
          </w:p>
        </w:tc>
        <w:tc>
          <w:tcPr>
            <w:tcW w:w="86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11/21/2022</w:t>
            </w: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1,584</w:t>
            </w:r>
          </w:p>
        </w:tc>
        <w:tc>
          <w:tcPr>
            <w:tcW w:w="108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2,752</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B Units (1,124,813</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11/21/2022</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40" w:type="dxa"/>
            <w:vAlign w:val="bottom"/>
            <w:tcBorders>
              <w:bottom w:val="single" w:sz="8" w:color="D8EEF4"/>
            </w:tcBorders>
          </w:tcPr>
          <w:p>
            <w:pPr>
              <w:spacing w:after="0"/>
              <w:rPr>
                <w:sz w:val="16"/>
                <w:szCs w:val="16"/>
                <w:color w:val="auto"/>
              </w:rPr>
            </w:pPr>
          </w:p>
        </w:tc>
        <w:tc>
          <w:tcPr>
            <w:tcW w:w="1760" w:type="dxa"/>
            <w:vAlign w:val="bottom"/>
            <w:tcBorders>
              <w:bottom w:val="single" w:sz="8" w:color="D8EEF4"/>
            </w:tcBorders>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60" w:type="dxa"/>
            <w:vAlign w:val="bottom"/>
            <w:tcBorders>
              <w:bottom w:val="single" w:sz="8" w:color="D8EEF4"/>
            </w:tcBorders>
          </w:tcPr>
          <w:p>
            <w:pPr>
              <w:spacing w:after="0"/>
              <w:rPr>
                <w:sz w:val="16"/>
                <w:szCs w:val="16"/>
                <w:color w:val="auto"/>
              </w:rPr>
            </w:pPr>
          </w:p>
        </w:tc>
        <w:tc>
          <w:tcPr>
            <w:tcW w:w="1620" w:type="dxa"/>
            <w:vAlign w:val="bottom"/>
            <w:tcBorders>
              <w:bottom w:val="single" w:sz="8" w:color="D8EEF4"/>
            </w:tcBorders>
          </w:tcPr>
          <w:p>
            <w:pPr>
              <w:spacing w:after="0"/>
              <w:rPr>
                <w:sz w:val="16"/>
                <w:szCs w:val="16"/>
                <w:color w:val="auto"/>
              </w:rPr>
            </w:pPr>
          </w:p>
        </w:tc>
        <w:tc>
          <w:tcPr>
            <w:tcW w:w="138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7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96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40" w:type="dxa"/>
            <w:vAlign w:val="bottom"/>
            <w:tcBorders>
              <w:bottom w:val="single" w:sz="8" w:color="D8EEF4"/>
            </w:tcBorders>
            <w:shd w:val="clear" w:color="auto" w:fill="D8EEF4"/>
          </w:tcPr>
          <w:p>
            <w:pPr>
              <w:spacing w:after="0"/>
              <w:rPr>
                <w:sz w:val="17"/>
                <w:szCs w:val="17"/>
                <w:color w:val="auto"/>
              </w:rPr>
            </w:pPr>
          </w:p>
        </w:tc>
        <w:tc>
          <w:tcPr>
            <w:tcW w:w="1760" w:type="dxa"/>
            <w:vAlign w:val="bottom"/>
            <w:tcBorders>
              <w:bottom w:val="single" w:sz="8" w:color="D8EEF4"/>
            </w:tcBorders>
            <w:shd w:val="clear" w:color="auto" w:fill="D8EEF4"/>
          </w:tcPr>
          <w:p>
            <w:pPr>
              <w:spacing w:after="0"/>
              <w:rPr>
                <w:sz w:val="17"/>
                <w:szCs w:val="17"/>
                <w:color w:val="auto"/>
              </w:rPr>
            </w:pPr>
          </w:p>
        </w:tc>
        <w:tc>
          <w:tcPr>
            <w:tcW w:w="860" w:type="dxa"/>
            <w:vAlign w:val="bottom"/>
            <w:tcBorders>
              <w:bottom w:val="single" w:sz="8" w:color="D8EEF4"/>
            </w:tcBorders>
            <w:shd w:val="clear" w:color="auto" w:fill="D8EEF4"/>
          </w:tcPr>
          <w:p>
            <w:pPr>
              <w:spacing w:after="0"/>
              <w:rPr>
                <w:sz w:val="17"/>
                <w:szCs w:val="17"/>
                <w:color w:val="auto"/>
              </w:rPr>
            </w:pPr>
          </w:p>
        </w:tc>
        <w:tc>
          <w:tcPr>
            <w:tcW w:w="1620" w:type="dxa"/>
            <w:vAlign w:val="bottom"/>
            <w:tcBorders>
              <w:bottom w:val="single" w:sz="8" w:color="D8EEF4"/>
            </w:tcBorders>
            <w:shd w:val="clear" w:color="auto" w:fill="D8EEF4"/>
          </w:tcPr>
          <w:p>
            <w:pPr>
              <w:spacing w:after="0"/>
              <w:rPr>
                <w:sz w:val="17"/>
                <w:szCs w:val="17"/>
                <w:color w:val="auto"/>
              </w:rPr>
            </w:pPr>
          </w:p>
        </w:tc>
        <w:tc>
          <w:tcPr>
            <w:tcW w:w="1380" w:type="dxa"/>
            <w:vAlign w:val="bottom"/>
            <w:tcBorders>
              <w:bottom w:val="single" w:sz="8" w:color="D8EEF4"/>
            </w:tcBorders>
            <w:shd w:val="clear" w:color="auto" w:fill="D8EEF4"/>
          </w:tcPr>
          <w:p>
            <w:pPr>
              <w:spacing w:after="0"/>
              <w:rPr>
                <w:sz w:val="17"/>
                <w:szCs w:val="17"/>
                <w:color w:val="auto"/>
              </w:rPr>
            </w:pPr>
          </w:p>
        </w:tc>
        <w:tc>
          <w:tcPr>
            <w:tcW w:w="80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28,614</w:t>
            </w:r>
          </w:p>
        </w:tc>
        <w:tc>
          <w:tcPr>
            <w:tcW w:w="40" w:type="dxa"/>
            <w:vAlign w:val="bottom"/>
            <w:tcBorders>
              <w:bottom w:val="single" w:sz="8" w:color="D8EEF4"/>
            </w:tcBorders>
            <w:shd w:val="clear" w:color="auto" w:fill="D8EEF4"/>
          </w:tcPr>
          <w:p>
            <w:pPr>
              <w:spacing w:after="0"/>
              <w:rPr>
                <w:sz w:val="17"/>
                <w:szCs w:val="17"/>
                <w:color w:val="auto"/>
              </w:rPr>
            </w:pPr>
          </w:p>
        </w:tc>
        <w:tc>
          <w:tcPr>
            <w:tcW w:w="104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34,342</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2.1</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61"/>
        </w:trPr>
        <w:tc>
          <w:tcPr>
            <w:tcW w:w="23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Marketing Services</w:t>
            </w: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Validity, Inc. </w:t>
            </w:r>
            <w:r>
              <w:rPr>
                <w:rFonts w:ascii="Times New Roman" w:cs="Times New Roman" w:eastAsia="Times New Roman" w:hAnsi="Times New Roman"/>
                <w:sz w:val="19"/>
                <w:szCs w:val="19"/>
                <w:color w:val="4C4C4E"/>
                <w:vertAlign w:val="superscript"/>
              </w:rPr>
              <w:t>(11)</w:t>
            </w: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Series A Preferred Shares</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5/31/2018</w:t>
            </w:r>
          </w:p>
        </w:tc>
        <w:tc>
          <w:tcPr>
            <w:tcW w:w="1620" w:type="dxa"/>
            <w:vAlign w:val="bottom"/>
            <w:shd w:val="clear" w:color="auto" w:fill="D8EEF4"/>
          </w:tcPr>
          <w:p>
            <w:pPr>
              <w:spacing w:after="0"/>
              <w:rPr>
                <w:sz w:val="14"/>
                <w:szCs w:val="14"/>
                <w:color w:val="auto"/>
              </w:rPr>
            </w:pPr>
          </w:p>
        </w:tc>
        <w:tc>
          <w:tcPr>
            <w:tcW w:w="1380" w:type="dxa"/>
            <w:vAlign w:val="bottom"/>
            <w:shd w:val="clear" w:color="auto" w:fill="D8EEF4"/>
          </w:tcPr>
          <w:p>
            <w:pPr>
              <w:spacing w:after="0"/>
              <w:rPr>
                <w:sz w:val="14"/>
                <w:szCs w:val="14"/>
                <w:color w:val="auto"/>
              </w:rPr>
            </w:pP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3,840</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9,600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0.6%</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(3,840,000 shares)</w:t>
            </w:r>
          </w:p>
        </w:tc>
        <w:tc>
          <w:tcPr>
            <w:tcW w:w="860" w:type="dxa"/>
            <w:vAlign w:val="bottom"/>
            <w:shd w:val="clear" w:color="auto" w:fill="D8EEF4"/>
          </w:tcPr>
          <w:p>
            <w:pPr>
              <w:spacing w:after="0"/>
              <w:rPr>
                <w:sz w:val="16"/>
                <w:szCs w:val="16"/>
                <w:color w:val="auto"/>
              </w:rPr>
            </w:pP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Oil, Gas and Consumable Fuels</w:t>
            </w:r>
          </w:p>
        </w:tc>
        <w:tc>
          <w:tcPr>
            <w:tcW w:w="1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Murchison Oil and Gas, LLC </w:t>
            </w:r>
            <w:r>
              <w:rPr>
                <w:rFonts w:ascii="Times New Roman" w:cs="Times New Roman" w:eastAsia="Times New Roman" w:hAnsi="Times New Roman"/>
                <w:sz w:val="19"/>
                <w:szCs w:val="19"/>
                <w:color w:val="4C4C4E"/>
                <w:vertAlign w:val="superscript"/>
              </w:rPr>
              <w:t>(11)(13)</w:t>
            </w: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Preferred Units (13,355</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6/30/2022</w:t>
            </w:r>
          </w:p>
        </w:tc>
        <w:tc>
          <w:tcPr>
            <w:tcW w:w="1620" w:type="dxa"/>
            <w:vAlign w:val="bottom"/>
            <w:shd w:val="clear" w:color="auto" w:fill="D8EEF4"/>
          </w:tcPr>
          <w:p>
            <w:pPr>
              <w:spacing w:after="0"/>
              <w:rPr>
                <w:sz w:val="14"/>
                <w:szCs w:val="14"/>
                <w:color w:val="auto"/>
              </w:rPr>
            </w:pPr>
          </w:p>
        </w:tc>
        <w:tc>
          <w:tcPr>
            <w:tcW w:w="138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60" w:type="dxa"/>
            <w:vAlign w:val="bottom"/>
            <w:shd w:val="clear" w:color="auto" w:fill="D8EEF4"/>
          </w:tcPr>
          <w:p>
            <w:pPr>
              <w:spacing w:after="0"/>
              <w:rPr>
                <w:sz w:val="16"/>
                <w:szCs w:val="16"/>
                <w:color w:val="auto"/>
              </w:rPr>
            </w:pP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TRP Assets, LLC </w:t>
            </w:r>
            <w:r>
              <w:rPr>
                <w:rFonts w:ascii="Times New Roman" w:cs="Times New Roman" w:eastAsia="Times New Roman" w:hAnsi="Times New Roman"/>
                <w:sz w:val="19"/>
                <w:szCs w:val="19"/>
                <w:color w:val="4C4C4E"/>
                <w:vertAlign w:val="superscript"/>
              </w:rPr>
              <w:t>(11)(13)</w:t>
            </w: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Partnership Interest (1.89%</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8/25/2022</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8,917</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9,496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0.6%</w:t>
            </w:r>
          </w:p>
        </w:tc>
        <w:tc>
          <w:tcPr>
            <w:tcW w:w="0" w:type="dxa"/>
            <w:vAlign w:val="bottom"/>
          </w:tcPr>
          <w:p>
            <w:pPr>
              <w:spacing w:after="0"/>
              <w:rPr>
                <w:sz w:val="1"/>
                <w:szCs w:val="1"/>
                <w:color w:val="auto"/>
              </w:rPr>
            </w:pPr>
          </w:p>
        </w:tc>
      </w:tr>
      <w:tr>
        <w:trPr>
          <w:trHeight w:val="188"/>
        </w:trPr>
        <w:tc>
          <w:tcPr>
            <w:tcW w:w="2340" w:type="dxa"/>
            <w:vAlign w:val="bottom"/>
            <w:tcBorders>
              <w:bottom w:val="single" w:sz="8" w:color="D8EEF4"/>
            </w:tcBorders>
          </w:tcPr>
          <w:p>
            <w:pPr>
              <w:spacing w:after="0"/>
              <w:rPr>
                <w:sz w:val="16"/>
                <w:szCs w:val="16"/>
                <w:color w:val="auto"/>
              </w:rPr>
            </w:pPr>
          </w:p>
        </w:tc>
        <w:tc>
          <w:tcPr>
            <w:tcW w:w="1760" w:type="dxa"/>
            <w:vAlign w:val="bottom"/>
            <w:tcBorders>
              <w:bottom w:val="single" w:sz="8" w:color="D8EEF4"/>
            </w:tcBorders>
          </w:tcPr>
          <w:p>
            <w:pPr>
              <w:ind w:left="40"/>
              <w:spacing w:after="0"/>
              <w:rPr>
                <w:sz w:val="20"/>
                <w:szCs w:val="20"/>
                <w:color w:val="auto"/>
              </w:rPr>
            </w:pPr>
            <w:r>
              <w:rPr>
                <w:rFonts w:ascii="Times New Roman" w:cs="Times New Roman" w:eastAsia="Times New Roman" w:hAnsi="Times New Roman"/>
                <w:sz w:val="15"/>
                <w:szCs w:val="15"/>
                <w:color w:val="4C4C4E"/>
              </w:rPr>
              <w:t>ownership)</w:t>
            </w:r>
          </w:p>
        </w:tc>
        <w:tc>
          <w:tcPr>
            <w:tcW w:w="860" w:type="dxa"/>
            <w:vAlign w:val="bottom"/>
            <w:tcBorders>
              <w:bottom w:val="single" w:sz="8" w:color="D8EEF4"/>
            </w:tcBorders>
          </w:tcPr>
          <w:p>
            <w:pPr>
              <w:spacing w:after="0"/>
              <w:rPr>
                <w:sz w:val="16"/>
                <w:szCs w:val="16"/>
                <w:color w:val="auto"/>
              </w:rPr>
            </w:pPr>
          </w:p>
        </w:tc>
        <w:tc>
          <w:tcPr>
            <w:tcW w:w="1620" w:type="dxa"/>
            <w:vAlign w:val="bottom"/>
            <w:tcBorders>
              <w:bottom w:val="single" w:sz="8" w:color="D8EEF4"/>
            </w:tcBorders>
          </w:tcPr>
          <w:p>
            <w:pPr>
              <w:spacing w:after="0"/>
              <w:rPr>
                <w:sz w:val="16"/>
                <w:szCs w:val="16"/>
                <w:color w:val="auto"/>
              </w:rPr>
            </w:pPr>
          </w:p>
        </w:tc>
        <w:tc>
          <w:tcPr>
            <w:tcW w:w="138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7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96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40" w:type="dxa"/>
            <w:vAlign w:val="bottom"/>
            <w:tcBorders>
              <w:bottom w:val="single" w:sz="8" w:color="D8EEF4"/>
            </w:tcBorders>
            <w:shd w:val="clear" w:color="auto" w:fill="D8EEF4"/>
          </w:tcPr>
          <w:p>
            <w:pPr>
              <w:spacing w:after="0"/>
              <w:rPr>
                <w:sz w:val="17"/>
                <w:szCs w:val="17"/>
                <w:color w:val="auto"/>
              </w:rPr>
            </w:pPr>
          </w:p>
        </w:tc>
        <w:tc>
          <w:tcPr>
            <w:tcW w:w="1760" w:type="dxa"/>
            <w:vAlign w:val="bottom"/>
            <w:tcBorders>
              <w:bottom w:val="single" w:sz="8" w:color="D8EEF4"/>
            </w:tcBorders>
            <w:shd w:val="clear" w:color="auto" w:fill="D8EEF4"/>
          </w:tcPr>
          <w:p>
            <w:pPr>
              <w:spacing w:after="0"/>
              <w:rPr>
                <w:sz w:val="17"/>
                <w:szCs w:val="17"/>
                <w:color w:val="auto"/>
              </w:rPr>
            </w:pPr>
          </w:p>
        </w:tc>
        <w:tc>
          <w:tcPr>
            <w:tcW w:w="860" w:type="dxa"/>
            <w:vAlign w:val="bottom"/>
            <w:tcBorders>
              <w:bottom w:val="single" w:sz="8" w:color="D8EEF4"/>
            </w:tcBorders>
            <w:shd w:val="clear" w:color="auto" w:fill="D8EEF4"/>
          </w:tcPr>
          <w:p>
            <w:pPr>
              <w:spacing w:after="0"/>
              <w:rPr>
                <w:sz w:val="17"/>
                <w:szCs w:val="17"/>
                <w:color w:val="auto"/>
              </w:rPr>
            </w:pPr>
          </w:p>
        </w:tc>
        <w:tc>
          <w:tcPr>
            <w:tcW w:w="1620" w:type="dxa"/>
            <w:vAlign w:val="bottom"/>
            <w:tcBorders>
              <w:bottom w:val="single" w:sz="8" w:color="D8EEF4"/>
            </w:tcBorders>
            <w:shd w:val="clear" w:color="auto" w:fill="D8EEF4"/>
          </w:tcPr>
          <w:p>
            <w:pPr>
              <w:spacing w:after="0"/>
              <w:rPr>
                <w:sz w:val="17"/>
                <w:szCs w:val="17"/>
                <w:color w:val="auto"/>
              </w:rPr>
            </w:pPr>
          </w:p>
        </w:tc>
        <w:tc>
          <w:tcPr>
            <w:tcW w:w="1380" w:type="dxa"/>
            <w:vAlign w:val="bottom"/>
            <w:tcBorders>
              <w:bottom w:val="single" w:sz="8" w:color="D8EEF4"/>
            </w:tcBorders>
            <w:shd w:val="clear" w:color="auto" w:fill="D8EEF4"/>
          </w:tcPr>
          <w:p>
            <w:pPr>
              <w:spacing w:after="0"/>
              <w:rPr>
                <w:sz w:val="17"/>
                <w:szCs w:val="17"/>
                <w:color w:val="auto"/>
              </w:rPr>
            </w:pPr>
          </w:p>
        </w:tc>
        <w:tc>
          <w:tcPr>
            <w:tcW w:w="80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8,917</w:t>
            </w:r>
          </w:p>
        </w:tc>
        <w:tc>
          <w:tcPr>
            <w:tcW w:w="40" w:type="dxa"/>
            <w:vAlign w:val="bottom"/>
            <w:tcBorders>
              <w:bottom w:val="single" w:sz="8" w:color="D8EEF4"/>
            </w:tcBorders>
            <w:shd w:val="clear" w:color="auto" w:fill="D8EEF4"/>
          </w:tcPr>
          <w:p>
            <w:pPr>
              <w:spacing w:after="0"/>
              <w:rPr>
                <w:sz w:val="17"/>
                <w:szCs w:val="17"/>
                <w:color w:val="auto"/>
              </w:rPr>
            </w:pPr>
          </w:p>
        </w:tc>
        <w:tc>
          <w:tcPr>
            <w:tcW w:w="104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9,496</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0.6</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61"/>
        </w:trPr>
        <w:tc>
          <w:tcPr>
            <w:tcW w:w="23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Pharmaceuticals</w:t>
            </w: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40" w:type="dxa"/>
            <w:vAlign w:val="bottom"/>
            <w:shd w:val="clear" w:color="auto" w:fill="D8EEF4"/>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TherapeuticsMD, Inc. </w:t>
            </w:r>
            <w:r>
              <w:rPr>
                <w:rFonts w:ascii="Times New Roman" w:cs="Times New Roman" w:eastAsia="Times New Roman" w:hAnsi="Times New Roman"/>
                <w:sz w:val="20"/>
                <w:szCs w:val="20"/>
                <w:color w:val="4C4C4E"/>
                <w:vertAlign w:val="superscript"/>
              </w:rPr>
              <w:t>(4)(11)</w:t>
            </w: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Warrants (14,256 warrants)</w:t>
            </w:r>
          </w:p>
        </w:tc>
        <w:tc>
          <w:tcPr>
            <w:tcW w:w="86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8/5/2020</w:t>
            </w: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1,029</w:t>
            </w: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Elysium BidCo Limited </w:t>
            </w:r>
            <w:r>
              <w:rPr>
                <w:rFonts w:ascii="Times New Roman" w:cs="Times New Roman" w:eastAsia="Times New Roman" w:hAnsi="Times New Roman"/>
                <w:sz w:val="19"/>
                <w:szCs w:val="19"/>
                <w:color w:val="4C4C4E"/>
                <w:vertAlign w:val="superscript"/>
              </w:rPr>
              <w:t>(4)(11)</w:t>
            </w: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Convertible Preference</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12/11/2024</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6,341</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7,581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0.5%</w:t>
            </w:r>
          </w:p>
        </w:tc>
        <w:tc>
          <w:tcPr>
            <w:tcW w:w="0" w:type="dxa"/>
            <w:vAlign w:val="bottom"/>
          </w:tcPr>
          <w:p>
            <w:pPr>
              <w:spacing w:after="0"/>
              <w:rPr>
                <w:sz w:val="1"/>
                <w:szCs w:val="1"/>
                <w:color w:val="auto"/>
              </w:rPr>
            </w:pPr>
          </w:p>
        </w:tc>
      </w:tr>
      <w:tr>
        <w:trPr>
          <w:trHeight w:val="188"/>
        </w:trPr>
        <w:tc>
          <w:tcPr>
            <w:tcW w:w="2340" w:type="dxa"/>
            <w:vAlign w:val="bottom"/>
            <w:tcBorders>
              <w:bottom w:val="single" w:sz="8" w:color="D8EEF4"/>
            </w:tcBorders>
          </w:tcPr>
          <w:p>
            <w:pPr>
              <w:spacing w:after="0"/>
              <w:rPr>
                <w:sz w:val="16"/>
                <w:szCs w:val="16"/>
                <w:color w:val="auto"/>
              </w:rPr>
            </w:pPr>
          </w:p>
        </w:tc>
        <w:tc>
          <w:tcPr>
            <w:tcW w:w="1760" w:type="dxa"/>
            <w:vAlign w:val="bottom"/>
            <w:tcBorders>
              <w:bottom w:val="single" w:sz="8" w:color="D8EEF4"/>
            </w:tcBorders>
          </w:tcPr>
          <w:p>
            <w:pPr>
              <w:ind w:left="40"/>
              <w:spacing w:after="0"/>
              <w:rPr>
                <w:sz w:val="20"/>
                <w:szCs w:val="20"/>
                <w:color w:val="auto"/>
              </w:rPr>
            </w:pPr>
            <w:r>
              <w:rPr>
                <w:rFonts w:ascii="Times New Roman" w:cs="Times New Roman" w:eastAsia="Times New Roman" w:hAnsi="Times New Roman"/>
                <w:sz w:val="15"/>
                <w:szCs w:val="15"/>
                <w:color w:val="4C4C4E"/>
              </w:rPr>
              <w:t>Shares (4,976,563 Shares)</w:t>
            </w:r>
          </w:p>
        </w:tc>
        <w:tc>
          <w:tcPr>
            <w:tcW w:w="860" w:type="dxa"/>
            <w:vAlign w:val="bottom"/>
            <w:tcBorders>
              <w:bottom w:val="single" w:sz="8" w:color="D8EEF4"/>
            </w:tcBorders>
          </w:tcPr>
          <w:p>
            <w:pPr>
              <w:spacing w:after="0"/>
              <w:rPr>
                <w:sz w:val="16"/>
                <w:szCs w:val="16"/>
                <w:color w:val="auto"/>
              </w:rPr>
            </w:pPr>
          </w:p>
        </w:tc>
        <w:tc>
          <w:tcPr>
            <w:tcW w:w="1620" w:type="dxa"/>
            <w:vAlign w:val="bottom"/>
            <w:tcBorders>
              <w:bottom w:val="single" w:sz="8" w:color="D8EEF4"/>
            </w:tcBorders>
          </w:tcPr>
          <w:p>
            <w:pPr>
              <w:spacing w:after="0"/>
              <w:rPr>
                <w:sz w:val="16"/>
                <w:szCs w:val="16"/>
                <w:color w:val="auto"/>
              </w:rPr>
            </w:pPr>
          </w:p>
        </w:tc>
        <w:tc>
          <w:tcPr>
            <w:tcW w:w="1380" w:type="dxa"/>
            <w:vAlign w:val="bottom"/>
            <w:tcBorders>
              <w:bottom w:val="single" w:sz="8" w:color="D8EEF4"/>
            </w:tcBorders>
          </w:tcPr>
          <w:p>
            <w:pPr>
              <w:spacing w:after="0"/>
              <w:rPr>
                <w:sz w:val="16"/>
                <w:szCs w:val="16"/>
                <w:color w:val="auto"/>
              </w:rPr>
            </w:pPr>
          </w:p>
        </w:tc>
        <w:tc>
          <w:tcPr>
            <w:tcW w:w="80" w:type="dxa"/>
            <w:vAlign w:val="bottom"/>
            <w:tcBorders>
              <w:bottom w:val="single" w:sz="8" w:color="D8EEF4"/>
            </w:tcBorders>
          </w:tcPr>
          <w:p>
            <w:pPr>
              <w:spacing w:after="0"/>
              <w:rPr>
                <w:sz w:val="16"/>
                <w:szCs w:val="16"/>
                <w:color w:val="auto"/>
              </w:rPr>
            </w:pPr>
          </w:p>
        </w:tc>
        <w:tc>
          <w:tcPr>
            <w:tcW w:w="7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0" w:type="dxa"/>
            <w:vAlign w:val="bottom"/>
            <w:tcBorders>
              <w:bottom w:val="single" w:sz="8" w:color="D8EEF4"/>
            </w:tcBorders>
          </w:tcPr>
          <w:p>
            <w:pPr>
              <w:spacing w:after="0"/>
              <w:rPr>
                <w:sz w:val="16"/>
                <w:szCs w:val="16"/>
                <w:color w:val="auto"/>
              </w:rPr>
            </w:pPr>
          </w:p>
        </w:tc>
        <w:tc>
          <w:tcPr>
            <w:tcW w:w="9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5"/>
                <w:szCs w:val="15"/>
                <w:color w:val="4C4C4E"/>
              </w:rPr>
              <w:t>(GBP 5,636)</w:t>
            </w: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40" w:type="dxa"/>
            <w:vAlign w:val="bottom"/>
            <w:tcBorders>
              <w:bottom w:val="single" w:sz="8" w:color="D8EEF4"/>
            </w:tcBorders>
            <w:shd w:val="clear" w:color="auto" w:fill="D8EEF4"/>
          </w:tcPr>
          <w:p>
            <w:pPr>
              <w:spacing w:after="0"/>
              <w:rPr>
                <w:sz w:val="17"/>
                <w:szCs w:val="17"/>
                <w:color w:val="auto"/>
              </w:rPr>
            </w:pPr>
          </w:p>
        </w:tc>
        <w:tc>
          <w:tcPr>
            <w:tcW w:w="1760" w:type="dxa"/>
            <w:vAlign w:val="bottom"/>
            <w:tcBorders>
              <w:bottom w:val="single" w:sz="8" w:color="D8EEF4"/>
            </w:tcBorders>
            <w:shd w:val="clear" w:color="auto" w:fill="D8EEF4"/>
          </w:tcPr>
          <w:p>
            <w:pPr>
              <w:spacing w:after="0"/>
              <w:rPr>
                <w:sz w:val="17"/>
                <w:szCs w:val="17"/>
                <w:color w:val="auto"/>
              </w:rPr>
            </w:pPr>
          </w:p>
        </w:tc>
        <w:tc>
          <w:tcPr>
            <w:tcW w:w="860" w:type="dxa"/>
            <w:vAlign w:val="bottom"/>
            <w:tcBorders>
              <w:bottom w:val="single" w:sz="8" w:color="D8EEF4"/>
            </w:tcBorders>
            <w:shd w:val="clear" w:color="auto" w:fill="D8EEF4"/>
          </w:tcPr>
          <w:p>
            <w:pPr>
              <w:spacing w:after="0"/>
              <w:rPr>
                <w:sz w:val="17"/>
                <w:szCs w:val="17"/>
                <w:color w:val="auto"/>
              </w:rPr>
            </w:pPr>
          </w:p>
        </w:tc>
        <w:tc>
          <w:tcPr>
            <w:tcW w:w="1620" w:type="dxa"/>
            <w:vAlign w:val="bottom"/>
            <w:tcBorders>
              <w:bottom w:val="single" w:sz="8" w:color="D8EEF4"/>
            </w:tcBorders>
            <w:shd w:val="clear" w:color="auto" w:fill="D8EEF4"/>
          </w:tcPr>
          <w:p>
            <w:pPr>
              <w:spacing w:after="0"/>
              <w:rPr>
                <w:sz w:val="17"/>
                <w:szCs w:val="17"/>
                <w:color w:val="auto"/>
              </w:rPr>
            </w:pPr>
          </w:p>
        </w:tc>
        <w:tc>
          <w:tcPr>
            <w:tcW w:w="1380" w:type="dxa"/>
            <w:vAlign w:val="bottom"/>
            <w:tcBorders>
              <w:bottom w:val="single" w:sz="8" w:color="D8EEF4"/>
            </w:tcBorders>
            <w:shd w:val="clear" w:color="auto" w:fill="D8EEF4"/>
          </w:tcPr>
          <w:p>
            <w:pPr>
              <w:spacing w:after="0"/>
              <w:rPr>
                <w:sz w:val="17"/>
                <w:szCs w:val="17"/>
                <w:color w:val="auto"/>
              </w:rPr>
            </w:pPr>
          </w:p>
        </w:tc>
        <w:tc>
          <w:tcPr>
            <w:tcW w:w="80" w:type="dxa"/>
            <w:vAlign w:val="bottom"/>
            <w:tcBorders>
              <w:bottom w:val="single" w:sz="8" w:color="D8EEF4"/>
            </w:tcBorders>
            <w:shd w:val="clear" w:color="auto" w:fill="D8EEF4"/>
          </w:tcPr>
          <w:p>
            <w:pPr>
              <w:spacing w:after="0"/>
              <w:rPr>
                <w:sz w:val="17"/>
                <w:szCs w:val="17"/>
                <w:color w:val="auto"/>
              </w:rPr>
            </w:pPr>
          </w:p>
        </w:tc>
        <w:tc>
          <w:tcPr>
            <w:tcW w:w="7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7,370</w:t>
            </w:r>
          </w:p>
        </w:tc>
        <w:tc>
          <w:tcPr>
            <w:tcW w:w="120" w:type="dxa"/>
            <w:vAlign w:val="bottom"/>
            <w:tcBorders>
              <w:bottom w:val="single" w:sz="8" w:color="D8EEF4"/>
            </w:tcBorders>
            <w:gridSpan w:val="2"/>
            <w:shd w:val="clear" w:color="auto" w:fill="D8EEF4"/>
          </w:tcPr>
          <w:p>
            <w:pPr>
              <w:spacing w:after="0"/>
              <w:rPr>
                <w:sz w:val="17"/>
                <w:szCs w:val="17"/>
                <w:color w:val="auto"/>
              </w:rPr>
            </w:pPr>
          </w:p>
        </w:tc>
        <w:tc>
          <w:tcPr>
            <w:tcW w:w="9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7,581</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0.5</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61"/>
        </w:trPr>
        <w:tc>
          <w:tcPr>
            <w:tcW w:w="23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Retail and Consumer Products</w:t>
            </w: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40" w:type="dxa"/>
            <w:vAlign w:val="bottom"/>
            <w:shd w:val="clear" w:color="auto" w:fill="D8EEF4"/>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American Achievement, Corp. </w:t>
            </w:r>
            <w:r>
              <w:rPr>
                <w:rFonts w:ascii="Times New Roman" w:cs="Times New Roman" w:eastAsia="Times New Roman" w:hAnsi="Times New Roman"/>
                <w:sz w:val="20"/>
                <w:szCs w:val="20"/>
                <w:color w:val="4C4C4E"/>
                <w:vertAlign w:val="superscript"/>
              </w:rPr>
              <w:t>(11)</w:t>
            </w: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Class A Units (687 units)</w:t>
            </w:r>
          </w:p>
        </w:tc>
        <w:tc>
          <w:tcPr>
            <w:tcW w:w="86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3/16/2021</w:t>
            </w: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108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50</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Copper Bidco, LLC </w:t>
            </w:r>
            <w:r>
              <w:rPr>
                <w:rFonts w:ascii="Times New Roman" w:cs="Times New Roman" w:eastAsia="Times New Roman" w:hAnsi="Times New Roman"/>
                <w:sz w:val="19"/>
                <w:szCs w:val="19"/>
                <w:color w:val="4C4C4E"/>
                <w:vertAlign w:val="superscript"/>
              </w:rPr>
              <w:t>(9)</w:t>
            </w: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Trust Certificates (996,958</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1/30/2021</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1,104</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11,016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0.7%</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Certificates)</w:t>
            </w: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Neuintel, LLC </w:t>
            </w:r>
            <w:r>
              <w:rPr>
                <w:rFonts w:ascii="Times New Roman" w:cs="Times New Roman" w:eastAsia="Times New Roman" w:hAnsi="Times New Roman"/>
                <w:sz w:val="19"/>
                <w:szCs w:val="19"/>
                <w:color w:val="4C4C4E"/>
                <w:vertAlign w:val="superscript"/>
              </w:rPr>
              <w:t>(11)(13)</w:t>
            </w: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Class A Units (1,176,494</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12/20/2021</w:t>
            </w:r>
          </w:p>
        </w:tc>
        <w:tc>
          <w:tcPr>
            <w:tcW w:w="1620" w:type="dxa"/>
            <w:vAlign w:val="bottom"/>
            <w:shd w:val="clear" w:color="auto" w:fill="D8EEF4"/>
          </w:tcPr>
          <w:p>
            <w:pPr>
              <w:spacing w:after="0"/>
              <w:rPr>
                <w:sz w:val="14"/>
                <w:szCs w:val="14"/>
                <w:color w:val="auto"/>
              </w:rPr>
            </w:pPr>
          </w:p>
        </w:tc>
        <w:tc>
          <w:tcPr>
            <w:tcW w:w="1380" w:type="dxa"/>
            <w:vAlign w:val="bottom"/>
            <w:shd w:val="clear" w:color="auto" w:fill="D8EEF4"/>
          </w:tcPr>
          <w:p>
            <w:pPr>
              <w:spacing w:after="0"/>
              <w:rPr>
                <w:sz w:val="14"/>
                <w:szCs w:val="14"/>
                <w:color w:val="auto"/>
              </w:rPr>
            </w:pP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3,000</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208"/>
        </w:trPr>
        <w:tc>
          <w:tcPr>
            <w:tcW w:w="2340" w:type="dxa"/>
            <w:vAlign w:val="bottom"/>
            <w:tcBorders>
              <w:bottom w:val="single" w:sz="8" w:color="D8EEF4"/>
            </w:tcBorders>
            <w:shd w:val="clear" w:color="auto" w:fill="D8EEF4"/>
          </w:tcPr>
          <w:p>
            <w:pPr>
              <w:spacing w:after="0"/>
              <w:rPr>
                <w:sz w:val="18"/>
                <w:szCs w:val="18"/>
                <w:color w:val="auto"/>
              </w:rPr>
            </w:pPr>
          </w:p>
        </w:tc>
        <w:tc>
          <w:tcPr>
            <w:tcW w:w="1760" w:type="dxa"/>
            <w:vAlign w:val="bottom"/>
            <w:tcBorders>
              <w:bottom w:val="single" w:sz="8" w:color="D8EEF4"/>
            </w:tcBorders>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units)</w:t>
            </w:r>
          </w:p>
        </w:tc>
        <w:tc>
          <w:tcPr>
            <w:tcW w:w="860" w:type="dxa"/>
            <w:vAlign w:val="bottom"/>
            <w:tcBorders>
              <w:bottom w:val="single" w:sz="8" w:color="D8EEF4"/>
            </w:tcBorders>
            <w:shd w:val="clear" w:color="auto" w:fill="D8EEF4"/>
          </w:tcPr>
          <w:p>
            <w:pPr>
              <w:spacing w:after="0"/>
              <w:rPr>
                <w:sz w:val="18"/>
                <w:szCs w:val="18"/>
                <w:color w:val="auto"/>
              </w:rPr>
            </w:pPr>
          </w:p>
        </w:tc>
        <w:tc>
          <w:tcPr>
            <w:tcW w:w="1620" w:type="dxa"/>
            <w:vAlign w:val="bottom"/>
            <w:tcBorders>
              <w:bottom w:val="single" w:sz="8" w:color="D8EEF4"/>
            </w:tcBorders>
            <w:shd w:val="clear" w:color="auto" w:fill="D8EEF4"/>
          </w:tcPr>
          <w:p>
            <w:pPr>
              <w:spacing w:after="0"/>
              <w:rPr>
                <w:sz w:val="18"/>
                <w:szCs w:val="18"/>
                <w:color w:val="auto"/>
              </w:rPr>
            </w:pPr>
          </w:p>
        </w:tc>
        <w:tc>
          <w:tcPr>
            <w:tcW w:w="138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4C4C4E"/>
            </w:tcBorders>
            <w:shd w:val="clear" w:color="auto" w:fill="D8EEF4"/>
          </w:tcPr>
          <w:p>
            <w:pPr>
              <w:spacing w:after="0"/>
              <w:rPr>
                <w:sz w:val="18"/>
                <w:szCs w:val="18"/>
                <w:color w:val="auto"/>
              </w:rPr>
            </w:pPr>
          </w:p>
        </w:tc>
        <w:tc>
          <w:tcPr>
            <w:tcW w:w="72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4C4C4E"/>
            </w:tcBorders>
            <w:shd w:val="clear" w:color="auto" w:fill="D8EEF4"/>
          </w:tcPr>
          <w:p>
            <w:pPr>
              <w:spacing w:after="0"/>
              <w:rPr>
                <w:sz w:val="18"/>
                <w:szCs w:val="18"/>
                <w:color w:val="auto"/>
              </w:rPr>
            </w:pPr>
          </w:p>
        </w:tc>
        <w:tc>
          <w:tcPr>
            <w:tcW w:w="96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4,104</w:t>
            </w:r>
          </w:p>
        </w:tc>
        <w:tc>
          <w:tcPr>
            <w:tcW w:w="40" w:type="dxa"/>
            <w:vAlign w:val="bottom"/>
          </w:tcPr>
          <w:p>
            <w:pPr>
              <w:spacing w:after="0"/>
              <w:rPr>
                <w:sz w:val="14"/>
                <w:szCs w:val="14"/>
                <w:color w:val="auto"/>
              </w:rPr>
            </w:pPr>
          </w:p>
        </w:tc>
        <w:tc>
          <w:tcPr>
            <w:tcW w:w="10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11,479</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0.7%</w:t>
            </w:r>
          </w:p>
        </w:tc>
        <w:tc>
          <w:tcPr>
            <w:tcW w:w="0" w:type="dxa"/>
            <w:vAlign w:val="bottom"/>
          </w:tcPr>
          <w:p>
            <w:pPr>
              <w:spacing w:after="0"/>
              <w:rPr>
                <w:sz w:val="1"/>
                <w:szCs w:val="1"/>
                <w:color w:val="auto"/>
              </w:rPr>
            </w:pPr>
          </w:p>
        </w:tc>
      </w:tr>
      <w:tr>
        <w:trPr>
          <w:trHeight w:val="181"/>
        </w:trPr>
        <w:tc>
          <w:tcPr>
            <w:tcW w:w="23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Transportation</w:t>
            </w:r>
          </w:p>
        </w:tc>
        <w:tc>
          <w:tcPr>
            <w:tcW w:w="1760" w:type="dxa"/>
            <w:vAlign w:val="bottom"/>
            <w:tcBorders>
              <w:top w:val="single" w:sz="8" w:color="D8EEF4"/>
            </w:tcBorders>
            <w:shd w:val="clear" w:color="auto" w:fill="D8EEF4"/>
          </w:tcPr>
          <w:p>
            <w:pPr>
              <w:spacing w:after="0"/>
              <w:rPr>
                <w:sz w:val="15"/>
                <w:szCs w:val="15"/>
                <w:color w:val="auto"/>
              </w:rPr>
            </w:pPr>
          </w:p>
        </w:tc>
        <w:tc>
          <w:tcPr>
            <w:tcW w:w="860" w:type="dxa"/>
            <w:vAlign w:val="bottom"/>
            <w:tcBorders>
              <w:top w:val="single" w:sz="8" w:color="D8EEF4"/>
            </w:tcBorders>
            <w:shd w:val="clear" w:color="auto" w:fill="D8EEF4"/>
          </w:tcPr>
          <w:p>
            <w:pPr>
              <w:spacing w:after="0"/>
              <w:rPr>
                <w:sz w:val="15"/>
                <w:szCs w:val="15"/>
                <w:color w:val="auto"/>
              </w:rPr>
            </w:pPr>
          </w:p>
        </w:tc>
        <w:tc>
          <w:tcPr>
            <w:tcW w:w="1620" w:type="dxa"/>
            <w:vAlign w:val="bottom"/>
            <w:tcBorders>
              <w:top w:val="single" w:sz="8" w:color="D8EEF4"/>
            </w:tcBorders>
            <w:shd w:val="clear" w:color="auto" w:fill="D8EEF4"/>
          </w:tcPr>
          <w:p>
            <w:pPr>
              <w:spacing w:after="0"/>
              <w:rPr>
                <w:sz w:val="15"/>
                <w:szCs w:val="15"/>
                <w:color w:val="auto"/>
              </w:rPr>
            </w:pPr>
          </w:p>
        </w:tc>
        <w:tc>
          <w:tcPr>
            <w:tcW w:w="138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RailTrac Holdings Inc. </w:t>
            </w:r>
            <w:r>
              <w:rPr>
                <w:rFonts w:ascii="Times New Roman" w:cs="Times New Roman" w:eastAsia="Times New Roman" w:hAnsi="Times New Roman"/>
                <w:sz w:val="20"/>
                <w:szCs w:val="20"/>
                <w:color w:val="4C4C4E"/>
                <w:vertAlign w:val="superscript"/>
              </w:rPr>
              <w:t>(11)(12)</w:t>
            </w: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Warrants (3,059 warrants)</w:t>
            </w: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4C4C4E"/>
              </w:rPr>
              <w:t>1/27/2025</w:t>
            </w: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2,717</w:t>
            </w:r>
          </w:p>
        </w:tc>
        <w:tc>
          <w:tcPr>
            <w:tcW w:w="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2,717</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Ranger Parent I, Inc. </w:t>
            </w:r>
            <w:r>
              <w:rPr>
                <w:rFonts w:ascii="Times New Roman" w:cs="Times New Roman" w:eastAsia="Times New Roman" w:hAnsi="Times New Roman"/>
                <w:sz w:val="19"/>
                <w:szCs w:val="19"/>
                <w:color w:val="4C4C4E"/>
                <w:vertAlign w:val="superscript"/>
              </w:rPr>
              <w:t>(12)</w:t>
            </w: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Series A-1 Preferred Shares</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10/28/2025</w:t>
            </w:r>
          </w:p>
        </w:tc>
        <w:tc>
          <w:tcPr>
            <w:tcW w:w="1620" w:type="dxa"/>
            <w:vAlign w:val="bottom"/>
            <w:shd w:val="clear" w:color="auto" w:fill="D8EEF4"/>
          </w:tcPr>
          <w:p>
            <w:pPr>
              <w:ind w:left="680"/>
              <w:spacing w:after="0" w:line="171" w:lineRule="exact"/>
              <w:rPr>
                <w:sz w:val="20"/>
                <w:szCs w:val="20"/>
                <w:color w:val="auto"/>
              </w:rPr>
            </w:pPr>
            <w:r>
              <w:rPr>
                <w:rFonts w:ascii="Times New Roman" w:cs="Times New Roman" w:eastAsia="Times New Roman" w:hAnsi="Times New Roman"/>
                <w:sz w:val="15"/>
                <w:szCs w:val="15"/>
                <w:color w:val="4C4C4E"/>
              </w:rPr>
              <w:t>14.50%</w:t>
            </w:r>
          </w:p>
        </w:tc>
        <w:tc>
          <w:tcPr>
            <w:tcW w:w="138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14.50% PIK</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5,362</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5,245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(5,639 Shares)</w:t>
            </w:r>
          </w:p>
        </w:tc>
        <w:tc>
          <w:tcPr>
            <w:tcW w:w="860" w:type="dxa"/>
            <w:vAlign w:val="bottom"/>
            <w:shd w:val="clear" w:color="auto" w:fill="D8EEF4"/>
          </w:tcPr>
          <w:p>
            <w:pPr>
              <w:spacing w:after="0"/>
              <w:rPr>
                <w:sz w:val="16"/>
                <w:szCs w:val="16"/>
                <w:color w:val="auto"/>
              </w:rPr>
            </w:pP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76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Warrants (3,841 warrants)</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10/28/2025</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312</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0"/>
                <w:szCs w:val="10"/>
                <w:color w:val="4C4C4E"/>
              </w:rPr>
              <w:t>(11)</w:t>
            </w:r>
          </w:p>
        </w:tc>
        <w:tc>
          <w:tcPr>
            <w:tcW w:w="8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3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080" w:type="dxa"/>
            <w:vAlign w:val="bottom"/>
            <w:gridSpan w:val="3"/>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D8EEF4"/>
              <w:bottom w:val="single" w:sz="8" w:color="D8EEF4"/>
            </w:tcBorders>
            <w:shd w:val="clear" w:color="auto" w:fill="D8EEF4"/>
          </w:tcPr>
          <w:p>
            <w:pPr>
              <w:spacing w:after="0"/>
              <w:rPr>
                <w:sz w:val="17"/>
                <w:szCs w:val="17"/>
                <w:color w:val="auto"/>
              </w:rPr>
            </w:pPr>
          </w:p>
        </w:tc>
        <w:tc>
          <w:tcPr>
            <w:tcW w:w="1760" w:type="dxa"/>
            <w:vAlign w:val="bottom"/>
            <w:tcBorders>
              <w:top w:val="single" w:sz="8" w:color="D8EEF4"/>
              <w:bottom w:val="single" w:sz="8" w:color="D8EEF4"/>
            </w:tcBorders>
            <w:shd w:val="clear" w:color="auto" w:fill="D8EEF4"/>
          </w:tcPr>
          <w:p>
            <w:pPr>
              <w:spacing w:after="0"/>
              <w:rPr>
                <w:sz w:val="17"/>
                <w:szCs w:val="17"/>
                <w:color w:val="auto"/>
              </w:rPr>
            </w:pPr>
          </w:p>
        </w:tc>
        <w:tc>
          <w:tcPr>
            <w:tcW w:w="860" w:type="dxa"/>
            <w:vAlign w:val="bottom"/>
            <w:tcBorders>
              <w:top w:val="single" w:sz="8" w:color="D8EEF4"/>
              <w:bottom w:val="single" w:sz="8" w:color="D8EEF4"/>
            </w:tcBorders>
            <w:shd w:val="clear" w:color="auto" w:fill="D8EEF4"/>
          </w:tcPr>
          <w:p>
            <w:pPr>
              <w:spacing w:after="0"/>
              <w:rPr>
                <w:sz w:val="17"/>
                <w:szCs w:val="17"/>
                <w:color w:val="auto"/>
              </w:rPr>
            </w:pPr>
          </w:p>
        </w:tc>
        <w:tc>
          <w:tcPr>
            <w:tcW w:w="1620" w:type="dxa"/>
            <w:vAlign w:val="bottom"/>
            <w:tcBorders>
              <w:top w:val="single" w:sz="8" w:color="D8EEF4"/>
              <w:bottom w:val="single" w:sz="8" w:color="D8EEF4"/>
            </w:tcBorders>
            <w:shd w:val="clear" w:color="auto" w:fill="D8EEF4"/>
          </w:tcPr>
          <w:p>
            <w:pPr>
              <w:spacing w:after="0"/>
              <w:rPr>
                <w:sz w:val="17"/>
                <w:szCs w:val="17"/>
                <w:color w:val="auto"/>
              </w:rPr>
            </w:pPr>
          </w:p>
        </w:tc>
        <w:tc>
          <w:tcPr>
            <w:tcW w:w="1380" w:type="dxa"/>
            <w:vAlign w:val="bottom"/>
            <w:tcBorders>
              <w:top w:val="single" w:sz="8" w:color="D8EEF4"/>
              <w:bottom w:val="single" w:sz="8" w:color="D8EEF4"/>
            </w:tcBorders>
            <w:shd w:val="clear" w:color="auto" w:fill="D8EEF4"/>
          </w:tcPr>
          <w:p>
            <w:pPr>
              <w:spacing w:after="0"/>
              <w:rPr>
                <w:sz w:val="17"/>
                <w:szCs w:val="17"/>
                <w:color w:val="auto"/>
              </w:rPr>
            </w:pPr>
          </w:p>
        </w:tc>
        <w:tc>
          <w:tcPr>
            <w:tcW w:w="80" w:type="dxa"/>
            <w:vAlign w:val="bottom"/>
            <w:tcBorders>
              <w:top w:val="single" w:sz="8" w:color="D8EEF4"/>
              <w:bottom w:val="single" w:sz="8" w:color="D8EEF4"/>
            </w:tcBorders>
            <w:shd w:val="clear" w:color="auto" w:fill="D8EEF4"/>
          </w:tcPr>
          <w:p>
            <w:pPr>
              <w:spacing w:after="0"/>
              <w:rPr>
                <w:sz w:val="17"/>
                <w:szCs w:val="17"/>
                <w:color w:val="auto"/>
              </w:rPr>
            </w:pPr>
          </w:p>
        </w:tc>
        <w:tc>
          <w:tcPr>
            <w:tcW w:w="7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8,391</w:t>
            </w:r>
          </w:p>
        </w:tc>
        <w:tc>
          <w:tcPr>
            <w:tcW w:w="120" w:type="dxa"/>
            <w:vAlign w:val="bottom"/>
            <w:tcBorders>
              <w:top w:val="single" w:sz="8" w:color="D8EEF4"/>
              <w:bottom w:val="single" w:sz="8" w:color="D8EEF4"/>
            </w:tcBorders>
            <w:gridSpan w:val="2"/>
            <w:shd w:val="clear" w:color="auto" w:fill="D8EEF4"/>
          </w:tcPr>
          <w:p>
            <w:pPr>
              <w:spacing w:after="0"/>
              <w:rPr>
                <w:sz w:val="17"/>
                <w:szCs w:val="17"/>
                <w:color w:val="auto"/>
              </w:rPr>
            </w:pPr>
          </w:p>
        </w:tc>
        <w:tc>
          <w:tcPr>
            <w:tcW w:w="9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8,274</w:t>
            </w:r>
          </w:p>
        </w:tc>
        <w:tc>
          <w:tcPr>
            <w:tcW w:w="40" w:type="dxa"/>
            <w:vAlign w:val="bottom"/>
            <w:tcBorders>
              <w:top w:val="single" w:sz="8" w:color="D8EEF4"/>
              <w:bottom w:val="single" w:sz="8" w:color="D8EEF4"/>
            </w:tcBorders>
            <w:shd w:val="clear" w:color="auto" w:fill="D8EEF4"/>
          </w:tcPr>
          <w:p>
            <w:pPr>
              <w:spacing w:after="0"/>
              <w:rPr>
                <w:sz w:val="17"/>
                <w:szCs w:val="17"/>
                <w:color w:val="auto"/>
              </w:rPr>
            </w:pPr>
          </w:p>
        </w:tc>
        <w:tc>
          <w:tcPr>
            <w:tcW w:w="8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0.5</w:t>
            </w:r>
          </w:p>
        </w:tc>
        <w:tc>
          <w:tcPr>
            <w:tcW w:w="160" w:type="dxa"/>
            <w:vAlign w:val="bottom"/>
            <w:tcBorders>
              <w:top w:val="single" w:sz="8" w:color="D8EEF4"/>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61"/>
        </w:trPr>
        <w:tc>
          <w:tcPr>
            <w:tcW w:w="23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Total Equity Investments</w:t>
            </w: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159,782</w:t>
            </w:r>
          </w:p>
        </w:tc>
        <w:tc>
          <w:tcPr>
            <w:tcW w:w="120" w:type="dxa"/>
            <w:vAlign w:val="bottom"/>
            <w:gridSpan w:val="2"/>
          </w:tcPr>
          <w:p>
            <w:pPr>
              <w:spacing w:after="0"/>
              <w:rPr>
                <w:sz w:val="14"/>
                <w:szCs w:val="14"/>
                <w:color w:val="auto"/>
              </w:rPr>
            </w:pPr>
          </w:p>
        </w:tc>
        <w:tc>
          <w:tcPr>
            <w:tcW w:w="9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172,582</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10.7%</w:t>
            </w:r>
          </w:p>
        </w:tc>
        <w:tc>
          <w:tcPr>
            <w:tcW w:w="0" w:type="dxa"/>
            <w:vAlign w:val="bottom"/>
          </w:tcPr>
          <w:p>
            <w:pPr>
              <w:spacing w:after="0"/>
              <w:rPr>
                <w:sz w:val="1"/>
                <w:szCs w:val="1"/>
                <w:color w:val="auto"/>
              </w:rPr>
            </w:pPr>
          </w:p>
        </w:tc>
      </w:tr>
      <w:tr>
        <w:trPr>
          <w:trHeight w:val="181"/>
        </w:trPr>
        <w:tc>
          <w:tcPr>
            <w:tcW w:w="2340" w:type="dxa"/>
            <w:vAlign w:val="bottom"/>
            <w:tcBorders>
              <w:top w:val="single" w:sz="8" w:color="D8EEF4"/>
            </w:tcBorders>
            <w:shd w:val="clear" w:color="auto" w:fill="D8EEF4"/>
          </w:tcPr>
          <w:p>
            <w:pPr>
              <w:spacing w:after="0"/>
              <w:rPr>
                <w:sz w:val="15"/>
                <w:szCs w:val="15"/>
                <w:color w:val="auto"/>
              </w:rPr>
            </w:pPr>
          </w:p>
        </w:tc>
        <w:tc>
          <w:tcPr>
            <w:tcW w:w="1760" w:type="dxa"/>
            <w:vAlign w:val="bottom"/>
            <w:tcBorders>
              <w:top w:val="single" w:sz="8" w:color="D8EEF4"/>
            </w:tcBorders>
            <w:shd w:val="clear" w:color="auto" w:fill="D8EEF4"/>
          </w:tcPr>
          <w:p>
            <w:pPr>
              <w:spacing w:after="0"/>
              <w:rPr>
                <w:sz w:val="15"/>
                <w:szCs w:val="15"/>
                <w:color w:val="auto"/>
              </w:rPr>
            </w:pPr>
          </w:p>
        </w:tc>
        <w:tc>
          <w:tcPr>
            <w:tcW w:w="860" w:type="dxa"/>
            <w:vAlign w:val="bottom"/>
            <w:tcBorders>
              <w:top w:val="single" w:sz="8" w:color="D8EEF4"/>
            </w:tcBorders>
            <w:shd w:val="clear" w:color="auto" w:fill="D8EEF4"/>
          </w:tcPr>
          <w:p>
            <w:pPr>
              <w:spacing w:after="0"/>
              <w:rPr>
                <w:sz w:val="15"/>
                <w:szCs w:val="15"/>
                <w:color w:val="auto"/>
              </w:rPr>
            </w:pPr>
          </w:p>
        </w:tc>
        <w:tc>
          <w:tcPr>
            <w:tcW w:w="1620" w:type="dxa"/>
            <w:vAlign w:val="bottom"/>
            <w:tcBorders>
              <w:top w:val="single" w:sz="8" w:color="D8EEF4"/>
            </w:tcBorders>
            <w:shd w:val="clear" w:color="auto" w:fill="D8EEF4"/>
          </w:tcPr>
          <w:p>
            <w:pPr>
              <w:spacing w:after="0"/>
              <w:rPr>
                <w:sz w:val="15"/>
                <w:szCs w:val="15"/>
                <w:color w:val="auto"/>
              </w:rPr>
            </w:pPr>
          </w:p>
        </w:tc>
        <w:tc>
          <w:tcPr>
            <w:tcW w:w="138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7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96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Other Investments</w:t>
            </w:r>
          </w:p>
        </w:tc>
        <w:tc>
          <w:tcPr>
            <w:tcW w:w="1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Apidos CLO, Series 2015-23A </w:t>
            </w:r>
            <w:r>
              <w:rPr>
                <w:rFonts w:ascii="Times New Roman" w:cs="Times New Roman" w:eastAsia="Times New Roman" w:hAnsi="Times New Roman"/>
                <w:sz w:val="19"/>
                <w:szCs w:val="19"/>
                <w:color w:val="4C4C4E"/>
                <w:vertAlign w:val="superscript"/>
              </w:rPr>
              <w:t>(3)(4)(9)</w:t>
            </w:r>
          </w:p>
        </w:tc>
        <w:tc>
          <w:tcPr>
            <w:tcW w:w="176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($4,000</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9/3/2025</w:t>
            </w:r>
          </w:p>
        </w:tc>
        <w:tc>
          <w:tcPr>
            <w:tcW w:w="16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+ 5.20%</w:t>
            </w:r>
          </w:p>
        </w:tc>
        <w:tc>
          <w:tcPr>
            <w:tcW w:w="13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9.10%</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4,016</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4,002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4/2033)</w:t>
            </w:r>
          </w:p>
        </w:tc>
        <w:tc>
          <w:tcPr>
            <w:tcW w:w="860" w:type="dxa"/>
            <w:vAlign w:val="bottom"/>
            <w:shd w:val="clear" w:color="auto" w:fill="D8EEF4"/>
          </w:tcPr>
          <w:p>
            <w:pPr>
              <w:spacing w:after="0"/>
              <w:rPr>
                <w:sz w:val="16"/>
                <w:szCs w:val="16"/>
                <w:color w:val="auto"/>
              </w:rPr>
            </w:pP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00" w:type="dxa"/>
            <w:vAlign w:val="bottom"/>
            <w:gridSpan w:val="2"/>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Ares CLO Ltd, Series 2022-63A </w:t>
            </w:r>
            <w:r>
              <w:rPr>
                <w:rFonts w:ascii="Times New Roman" w:cs="Times New Roman" w:eastAsia="Times New Roman" w:hAnsi="Times New Roman"/>
                <w:sz w:val="19"/>
                <w:szCs w:val="19"/>
                <w:color w:val="4C4C4E"/>
                <w:vertAlign w:val="superscript"/>
              </w:rPr>
              <w:t>(3)(4)(9)</w:t>
            </w:r>
            <w:r>
              <w:rPr>
                <w:rFonts w:ascii="Times New Roman" w:cs="Times New Roman" w:eastAsia="Times New Roman" w:hAnsi="Times New Roman"/>
                <w:sz w:val="14"/>
                <w:szCs w:val="14"/>
                <w:color w:val="4C4C4E"/>
              </w:rPr>
              <w:t xml:space="preserve"> Structured Credit ($2,500</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8/7/2025</w:t>
            </w:r>
          </w:p>
        </w:tc>
        <w:tc>
          <w:tcPr>
            <w:tcW w:w="16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+ 6.00%</w:t>
            </w:r>
          </w:p>
        </w:tc>
        <w:tc>
          <w:tcPr>
            <w:tcW w:w="13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10.28%</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2,522</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2,501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10/2038)</w:t>
            </w:r>
          </w:p>
        </w:tc>
        <w:tc>
          <w:tcPr>
            <w:tcW w:w="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00" w:type="dxa"/>
            <w:vAlign w:val="bottom"/>
            <w:gridSpan w:val="2"/>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Ares CLO Ltd, Series 2022-64A </w:t>
            </w:r>
            <w:r>
              <w:rPr>
                <w:rFonts w:ascii="Times New Roman" w:cs="Times New Roman" w:eastAsia="Times New Roman" w:hAnsi="Times New Roman"/>
                <w:sz w:val="19"/>
                <w:szCs w:val="19"/>
                <w:color w:val="4C4C4E"/>
                <w:vertAlign w:val="superscript"/>
              </w:rPr>
              <w:t>(3)(4)(9)</w:t>
            </w:r>
            <w:r>
              <w:rPr>
                <w:rFonts w:ascii="Times New Roman" w:cs="Times New Roman" w:eastAsia="Times New Roman" w:hAnsi="Times New Roman"/>
                <w:sz w:val="14"/>
                <w:szCs w:val="14"/>
                <w:color w:val="4C4C4E"/>
              </w:rPr>
              <w:t xml:space="preserve"> Structured Credit ($2,000</w:t>
            </w:r>
          </w:p>
        </w:tc>
        <w:tc>
          <w:tcPr>
            <w:tcW w:w="86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9/4/2025</w:t>
            </w:r>
          </w:p>
        </w:tc>
        <w:tc>
          <w:tcPr>
            <w:tcW w:w="162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3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10.40%</w:t>
            </w:r>
          </w:p>
        </w:tc>
        <w:tc>
          <w:tcPr>
            <w:tcW w:w="80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2,043</w:t>
            </w:r>
          </w:p>
        </w:tc>
        <w:tc>
          <w:tcPr>
            <w:tcW w:w="108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2,018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6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10/2039)</w:t>
            </w:r>
          </w:p>
        </w:tc>
        <w:tc>
          <w:tcPr>
            <w:tcW w:w="860" w:type="dxa"/>
            <w:vAlign w:val="bottom"/>
            <w:shd w:val="clear" w:color="auto" w:fill="D8EEF4"/>
          </w:tcPr>
          <w:p>
            <w:pPr>
              <w:spacing w:after="0"/>
              <w:rPr>
                <w:sz w:val="16"/>
                <w:szCs w:val="16"/>
                <w:color w:val="auto"/>
              </w:rPr>
            </w:pPr>
          </w:p>
        </w:tc>
        <w:tc>
          <w:tcPr>
            <w:tcW w:w="1620" w:type="dxa"/>
            <w:vAlign w:val="bottom"/>
            <w:shd w:val="clear" w:color="auto" w:fill="D8EEF4"/>
          </w:tcPr>
          <w:p>
            <w:pPr>
              <w:spacing w:after="0"/>
              <w:rPr>
                <w:sz w:val="16"/>
                <w:szCs w:val="16"/>
                <w:color w:val="auto"/>
              </w:rPr>
            </w:pPr>
          </w:p>
        </w:tc>
        <w:tc>
          <w:tcPr>
            <w:tcW w:w="138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00" w:type="dxa"/>
            <w:vAlign w:val="bottom"/>
            <w:gridSpan w:val="2"/>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Ares CLO Ltd, Series 2024-72A </w:t>
            </w:r>
            <w:r>
              <w:rPr>
                <w:rFonts w:ascii="Times New Roman" w:cs="Times New Roman" w:eastAsia="Times New Roman" w:hAnsi="Times New Roman"/>
                <w:sz w:val="19"/>
                <w:szCs w:val="19"/>
                <w:color w:val="4C4C4E"/>
                <w:vertAlign w:val="superscript"/>
              </w:rPr>
              <w:t>(3)(4)(9)</w:t>
            </w:r>
            <w:r>
              <w:rPr>
                <w:rFonts w:ascii="Times New Roman" w:cs="Times New Roman" w:eastAsia="Times New Roman" w:hAnsi="Times New Roman"/>
                <w:sz w:val="14"/>
                <w:szCs w:val="14"/>
                <w:color w:val="4C4C4E"/>
              </w:rPr>
              <w:t xml:space="preserve"> Structured Credit ($3,500</w:t>
            </w:r>
          </w:p>
        </w:tc>
        <w:tc>
          <w:tcPr>
            <w:tcW w:w="8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8/7/2025</w:t>
            </w:r>
          </w:p>
        </w:tc>
        <w:tc>
          <w:tcPr>
            <w:tcW w:w="16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+ 6.00%</w:t>
            </w:r>
          </w:p>
        </w:tc>
        <w:tc>
          <w:tcPr>
            <w:tcW w:w="13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9.90%</w:t>
            </w:r>
          </w:p>
        </w:tc>
        <w:tc>
          <w:tcPr>
            <w:tcW w:w="8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3,546</w:t>
            </w:r>
          </w:p>
        </w:tc>
        <w:tc>
          <w:tcPr>
            <w:tcW w:w="10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3,510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7/2036)</w:t>
            </w:r>
          </w:p>
        </w:tc>
        <w:tc>
          <w:tcPr>
            <w:tcW w:w="8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880" w:h="15480" w:orient="portrait"/>
          <w:cols w:equalWidth="0" w:num="1">
            <w:col w:w="10880"/>
          </w:cols>
          <w:pgMar w:left="500" w:top="783" w:right="500" w:bottom="6" w:gutter="0" w:footer="0" w:header="0"/>
        </w:sectPr>
      </w:pPr>
      <w:r>
        <w:rPr>
          <w:sz w:val="20"/>
          <w:szCs w:val="20"/>
          <w:color w:val="auto"/>
        </w:rPr>
        <mc:AlternateContent>
          <mc:Choice Requires="wps">
            <w:drawing>
              <wp:anchor simplePos="0" relativeHeight="251657728" behindDoc="1" locked="0" layoutInCell="0" allowOverlap="1">
                <wp:simplePos x="0" y="0"/>
                <wp:positionH relativeFrom="page">
                  <wp:posOffset>5371465</wp:posOffset>
                </wp:positionH>
                <wp:positionV relativeFrom="page">
                  <wp:posOffset>493395</wp:posOffset>
                </wp:positionV>
                <wp:extent cx="50292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920"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2.95pt,38.85pt" to="462.55pt,38.85pt" o:allowincell="f" strokecolor="#4C4C4E"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5899785</wp:posOffset>
                </wp:positionH>
                <wp:positionV relativeFrom="page">
                  <wp:posOffset>493395</wp:posOffset>
                </wp:positionV>
                <wp:extent cx="66611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115"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64.55pt,38.85pt" to="517pt,38.85pt" o:allowincell="f" strokecolor="#4C4C4E"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6591300</wp:posOffset>
                </wp:positionH>
                <wp:positionV relativeFrom="page">
                  <wp:posOffset>493395</wp:posOffset>
                </wp:positionV>
                <wp:extent cx="53276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765"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9pt,38.85pt" to="560.95pt,38.85pt" o:allowincell="f" strokecolor="#4C4C4E" strokeweight="0.75pt">
                <w10:wrap anchorx="page" anchory="page"/>
              </v:line>
            </w:pict>
          </mc:Fallback>
        </mc:AlternateConten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F-12</w:t>
      </w:r>
    </w:p>
    <w:p>
      <w:pPr>
        <w:sectPr>
          <w:pgSz w:w="11880" w:h="15480" w:orient="portrait"/>
          <w:cols w:equalWidth="0" w:num="1">
            <w:col w:w="10880"/>
          </w:cols>
          <w:pgMar w:left="500" w:top="783" w:right="500" w:bottom="6"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72"/>
        </w:trPr>
        <w:tc>
          <w:tcPr>
            <w:tcW w:w="234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Benefit Street Partners CLO Ltd,</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Structured Credit ($1,725</w:t>
            </w:r>
          </w:p>
        </w:tc>
        <w:tc>
          <w:tcPr>
            <w:tcW w:w="88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7/16/2025</w:t>
            </w:r>
          </w:p>
        </w:tc>
        <w:tc>
          <w:tcPr>
            <w:tcW w:w="174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SOFR + 4.50%</w:t>
            </w:r>
          </w:p>
        </w:tc>
        <w:tc>
          <w:tcPr>
            <w:tcW w:w="12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8.40%</w:t>
            </w:r>
          </w:p>
        </w:tc>
        <w:tc>
          <w:tcPr>
            <w:tcW w:w="80" w:type="dxa"/>
            <w:vAlign w:val="bottom"/>
            <w:shd w:val="clear" w:color="auto" w:fill="D8EEF4"/>
          </w:tcPr>
          <w:p>
            <w:pPr>
              <w:spacing w:after="0"/>
              <w:rPr>
                <w:sz w:val="15"/>
                <w:szCs w:val="15"/>
                <w:color w:val="auto"/>
              </w:rPr>
            </w:pPr>
          </w:p>
        </w:tc>
        <w:tc>
          <w:tcPr>
            <w:tcW w:w="7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1,725</w:t>
            </w:r>
          </w:p>
        </w:tc>
        <w:tc>
          <w:tcPr>
            <w:tcW w:w="40" w:type="dxa"/>
            <w:vAlign w:val="bottom"/>
            <w:shd w:val="clear" w:color="auto" w:fill="D8EEF4"/>
          </w:tcPr>
          <w:p>
            <w:pPr>
              <w:spacing w:after="0"/>
              <w:rPr>
                <w:sz w:val="15"/>
                <w:szCs w:val="15"/>
                <w:color w:val="auto"/>
              </w:rPr>
            </w:pPr>
          </w:p>
        </w:tc>
        <w:tc>
          <w:tcPr>
            <w:tcW w:w="80" w:type="dxa"/>
            <w:vAlign w:val="bottom"/>
            <w:shd w:val="clear" w:color="auto" w:fill="D8EEF4"/>
          </w:tcPr>
          <w:p>
            <w:pPr>
              <w:spacing w:after="0"/>
              <w:rPr>
                <w:sz w:val="15"/>
                <w:szCs w:val="15"/>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1,711</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Series 2025-39A </w:t>
            </w:r>
            <w:r>
              <w:rPr>
                <w:rFonts w:ascii="Times New Roman" w:cs="Times New Roman" w:eastAsia="Times New Roman" w:hAnsi="Times New Roman"/>
                <w:sz w:val="20"/>
                <w:szCs w:val="20"/>
                <w:color w:val="4C4C4E"/>
                <w:vertAlign w:val="superscript"/>
              </w:rPr>
              <w:t>(3)(4)(9)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4/2038)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Birch Grove CLO Ltd, Series 2025-</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($1,250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9/2/2025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+ 6.65%</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10.98%</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1,267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1,261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14A</w:t>
            </w:r>
            <w:r>
              <w:rPr>
                <w:rFonts w:ascii="Times New Roman" w:cs="Times New Roman" w:eastAsia="Times New Roman" w:hAnsi="Times New Roman"/>
                <w:sz w:val="9"/>
                <w:szCs w:val="9"/>
                <w:color w:val="4C4C4E"/>
              </w:rPr>
              <w:t xml:space="preserve"> (3)(4)(9)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7/2037)</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Canyon CLO Ltd, Series 2025-1A</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($1,125</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7/28/2025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+ 4.75%</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8.65%</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1,118</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1,102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4/2038)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Carlyle US CLO Ltd, Series 2017-2A</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($2,500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9/3/2025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+ 7.56%</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11.44%</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2,528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7/2037)</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Carlyle US CLO Ltd, Series 2021-1A</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($3,225</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8/7/2025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+ 7.30%</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11.20%</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3,322</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3,290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1/2040)</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CarVal CLO Ltd, Series 2021-2A</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($2,000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9/9/2025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+ 7.01%</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10.92%</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2,013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1,996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10/2034)</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CarVal CLO Ltd, Series 2023-1A</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($3,000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8/13/2025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+ 6.35%</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10.23%</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3,030</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2,973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7/2037)</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CIFC Funding Ltd, Series 2020-4A</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($4,000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7/29/2025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+ 4.90%</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8.80%</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4,026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4,007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1/2040)</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CIFC Funding Ltd, Series 2021-7A</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($2,800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9/8/2025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+ 4.90%</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8.76%</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2,809</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2,779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1/2035)</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CIFC Funding Ltd, Series 2022-4A</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($3,000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8/27/2025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9.14%</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3,009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3,005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7/2035)</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Diameter Capital CLO Ltd, Series</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($3,500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9/2/2025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+ 4.70%</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8.58%</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3,530</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3,519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2025-9A</w:t>
            </w:r>
            <w:r>
              <w:rPr>
                <w:rFonts w:ascii="Times New Roman" w:cs="Times New Roman" w:eastAsia="Times New Roman" w:hAnsi="Times New Roman"/>
                <w:sz w:val="9"/>
                <w:szCs w:val="9"/>
                <w:color w:val="4C4C4E"/>
              </w:rPr>
              <w:t xml:space="preserve"> (3)(4)(9)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4/2038)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Goldentree Loan Management US</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($5,000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9/16/2025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+ 4.50%</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8.38%</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4,973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4,956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340" w:type="dxa"/>
            <w:vAlign w:val="bottom"/>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CLO Ltd, Series 2022-16A </w:t>
            </w:r>
            <w:r>
              <w:rPr>
                <w:rFonts w:ascii="Times New Roman" w:cs="Times New Roman" w:eastAsia="Times New Roman" w:hAnsi="Times New Roman"/>
                <w:sz w:val="20"/>
                <w:szCs w:val="20"/>
                <w:color w:val="4C4C4E"/>
                <w:vertAlign w:val="superscript"/>
              </w:rPr>
              <w:t>(3)(4)(9)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1/2038)</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Goldentree Loan Management US</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($3,000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7/16/2025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+ 5.40%</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9.28%</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3,022</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3,018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CLO Ltd, Series 2023-17A </w:t>
            </w:r>
            <w:r>
              <w:rPr>
                <w:rFonts w:ascii="Times New Roman" w:cs="Times New Roman" w:eastAsia="Times New Roman" w:hAnsi="Times New Roman"/>
                <w:sz w:val="20"/>
                <w:szCs w:val="20"/>
                <w:color w:val="4C4C4E"/>
                <w:vertAlign w:val="superscript"/>
              </w:rPr>
              <w:t>(3)(4)(9)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1/2039)</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Lake George Park CLO Ltd, Series</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($4,500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8/27/2025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+ 4.60%</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8.50%</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4,500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4,507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340" w:type="dxa"/>
            <w:vAlign w:val="bottom"/>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2025-1A</w:t>
            </w:r>
            <w:r>
              <w:rPr>
                <w:rFonts w:ascii="Times New Roman" w:cs="Times New Roman" w:eastAsia="Times New Roman" w:hAnsi="Times New Roman"/>
                <w:sz w:val="9"/>
                <w:szCs w:val="9"/>
                <w:color w:val="4C4C4E"/>
              </w:rPr>
              <w:t xml:space="preserve"> (3)(4)(9)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4/2038)</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Madison Park Funding Ltd, Series</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($4,400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8/19/2025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9.32%</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4,407</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4,407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2025-65A</w:t>
            </w:r>
            <w:r>
              <w:rPr>
                <w:rFonts w:ascii="Times New Roman" w:cs="Times New Roman" w:eastAsia="Times New Roman" w:hAnsi="Times New Roman"/>
                <w:sz w:val="9"/>
                <w:szCs w:val="9"/>
                <w:color w:val="4C4C4E"/>
              </w:rPr>
              <w:t xml:space="preserve"> (3)(4)(9)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7/2038)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Madison Park Funding Ltd, Series</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($4,500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8/18/2025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9.37%</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4,547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4,535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340" w:type="dxa"/>
            <w:vAlign w:val="bottom"/>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2025-72A</w:t>
            </w:r>
            <w:r>
              <w:rPr>
                <w:rFonts w:ascii="Times New Roman" w:cs="Times New Roman" w:eastAsia="Times New Roman" w:hAnsi="Times New Roman"/>
                <w:sz w:val="9"/>
                <w:szCs w:val="9"/>
                <w:color w:val="4C4C4E"/>
              </w:rPr>
              <w:t xml:space="preserve"> (3)(4)(9)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7/2038)</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Neuberger Berman CLO Ltd, Series</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($4,000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7/28/2025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+ 4.90%</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8.80%</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4,010</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3,947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2017-16SA</w:t>
            </w:r>
            <w:r>
              <w:rPr>
                <w:rFonts w:ascii="Times New Roman" w:cs="Times New Roman" w:eastAsia="Times New Roman" w:hAnsi="Times New Roman"/>
                <w:sz w:val="9"/>
                <w:szCs w:val="9"/>
                <w:color w:val="4C4C4E"/>
              </w:rPr>
              <w:t xml:space="preserve"> (3)(4)(9)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4/2039)</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Neuberger Berman CLO Ltd, Series</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($1,150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7/28/2025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+ 4.75%</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8.65%</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1,144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2015-20A</w:t>
            </w:r>
            <w:r>
              <w:rPr>
                <w:rFonts w:ascii="Times New Roman" w:cs="Times New Roman" w:eastAsia="Times New Roman" w:hAnsi="Times New Roman"/>
                <w:sz w:val="9"/>
                <w:szCs w:val="9"/>
                <w:color w:val="4C4C4E"/>
              </w:rPr>
              <w:t xml:space="preserve"> (3)(4)(9)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4/2039)</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Neuberger Berman Loan Advisers</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($1,000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8/25/2025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10.88%</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1,024</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CLO Ltd, Series 2017-24A </w:t>
            </w:r>
            <w:r>
              <w:rPr>
                <w:rFonts w:ascii="Times New Roman" w:cs="Times New Roman" w:eastAsia="Times New Roman" w:hAnsi="Times New Roman"/>
                <w:sz w:val="20"/>
                <w:szCs w:val="20"/>
                <w:color w:val="4C4C4E"/>
                <w:vertAlign w:val="superscript"/>
              </w:rPr>
              <w:t>(3)(4)(9)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10/2038)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Neuberger Berman Loan Advisers</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($2,000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9/9/2025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9.39%</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2,013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CLO Ltd, Series 2019-33A </w:t>
            </w:r>
            <w:r>
              <w:rPr>
                <w:rFonts w:ascii="Times New Roman" w:cs="Times New Roman" w:eastAsia="Times New Roman" w:hAnsi="Times New Roman"/>
                <w:sz w:val="20"/>
                <w:szCs w:val="20"/>
                <w:color w:val="4C4C4E"/>
                <w:vertAlign w:val="superscript"/>
              </w:rPr>
              <w:t>(3)(4)(9)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4/2039)</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Neuberger Berman Loan Advisers</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($1,000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8/15/2025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+ 5.15%</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9.04%</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1,006</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CLO Ltd, Series 2021-44A </w:t>
            </w:r>
            <w:r>
              <w:rPr>
                <w:rFonts w:ascii="Times New Roman" w:cs="Times New Roman" w:eastAsia="Times New Roman" w:hAnsi="Times New Roman"/>
                <w:sz w:val="20"/>
                <w:szCs w:val="20"/>
                <w:color w:val="4C4C4E"/>
                <w:vertAlign w:val="superscript"/>
              </w:rPr>
              <w:t>(3)(4)(9)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10/2035)</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Oaktree CLO Ltd, Series 2022-2A</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($3,500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7/17/2025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+ 6.40%</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10.30%</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3,542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3,516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4C4C4E"/>
              </w:rPr>
              <w:t>par, due 10/2037)</w:t>
            </w:r>
          </w:p>
        </w:tc>
        <w:tc>
          <w:tcPr>
            <w:tcW w:w="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3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80" w:type="dxa"/>
            <w:vAlign w:val="bottom"/>
            <w:gridSpan w:val="2"/>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Octagon 67 Ltd, Series 2023-1A </w:t>
            </w:r>
            <w:r>
              <w:rPr>
                <w:rFonts w:ascii="Times New Roman" w:cs="Times New Roman" w:eastAsia="Times New Roman" w:hAnsi="Times New Roman"/>
                <w:sz w:val="19"/>
                <w:szCs w:val="19"/>
                <w:color w:val="4C4C4E"/>
                <w:vertAlign w:val="superscript"/>
              </w:rPr>
              <w:t>(3)(4)(9)</w:t>
            </w:r>
            <w:r>
              <w:rPr>
                <w:rFonts w:ascii="Times New Roman" w:cs="Times New Roman" w:eastAsia="Times New Roman" w:hAnsi="Times New Roman"/>
                <w:sz w:val="14"/>
                <w:szCs w:val="14"/>
                <w:color w:val="4C4C4E"/>
              </w:rPr>
              <w:t xml:space="preserve"> Structured Credit ($3,000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9/4/2025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+ 7.41%</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11.27%</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3,102</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3,057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16"/>
                <w:szCs w:val="16"/>
                <w:color w:val="auto"/>
              </w:rPr>
            </w:pP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7/2038)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Oha Credit Funding Ltd, Series 2025-</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($1,250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7/24/2025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+ 5.55%</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9.83%</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1,268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1,261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22A</w:t>
            </w:r>
            <w:r>
              <w:rPr>
                <w:rFonts w:ascii="Times New Roman" w:cs="Times New Roman" w:eastAsia="Times New Roman" w:hAnsi="Times New Roman"/>
                <w:sz w:val="9"/>
                <w:szCs w:val="9"/>
                <w:color w:val="4C4C4E"/>
              </w:rPr>
              <w:t xml:space="preserve"> (3)(4)(9)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7/2038)</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Palmer Square CLO Ltd, Series 2021-</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($4,000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9/16/2025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9.65%</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4,036</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4,010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4</w:t>
            </w:r>
            <w:r>
              <w:rPr>
                <w:rFonts w:ascii="Times New Roman" w:cs="Times New Roman" w:eastAsia="Times New Roman" w:hAnsi="Times New Roman"/>
                <w:sz w:val="9"/>
                <w:szCs w:val="9"/>
                <w:color w:val="4C4C4E"/>
              </w:rPr>
              <w:t xml:space="preserve"> (3)(4)(9)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7/2038)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Palmer Square CLO Ltd, Series 2025-</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($2,250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8/21/2025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+ 4.50%</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8.38%</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2,251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2,250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1A</w:t>
            </w:r>
            <w:r>
              <w:rPr>
                <w:rFonts w:ascii="Times New Roman" w:cs="Times New Roman" w:eastAsia="Times New Roman" w:hAnsi="Times New Roman"/>
                <w:sz w:val="9"/>
                <w:szCs w:val="9"/>
                <w:color w:val="4C4C4E"/>
              </w:rPr>
              <w:t xml:space="preserve"> (3)(4)(9)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4/2038)</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w w:val="99"/>
              </w:rPr>
              <w:t>Pikes Peak CLO Ltd, Series 2023-14A</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($3,000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7/30/2025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+ 6.00%</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9.88%</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3,067</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2,992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7/2038)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Regatta Funding Ltd, Series 2020-1A</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($1,000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7/17/2025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10.40%</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10/2037)</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Riverbank Park CLO Ltd, Series</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($4,500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7/29/2025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+ 4.80%</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8.66%</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4,528</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4,502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2024-1A</w:t>
            </w:r>
            <w:r>
              <w:rPr>
                <w:rFonts w:ascii="Times New Roman" w:cs="Times New Roman" w:eastAsia="Times New Roman" w:hAnsi="Times New Roman"/>
                <w:sz w:val="9"/>
                <w:szCs w:val="9"/>
                <w:color w:val="4C4C4E"/>
              </w:rPr>
              <w:t xml:space="preserve"> (3)(4)(9)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1/2038)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RR Ltd, Series 2021-19A </w:t>
            </w:r>
            <w:r>
              <w:rPr>
                <w:rFonts w:ascii="Times New Roman" w:cs="Times New Roman" w:eastAsia="Times New Roman" w:hAnsi="Times New Roman"/>
                <w:sz w:val="19"/>
                <w:szCs w:val="19"/>
                <w:color w:val="4C4C4E"/>
                <w:vertAlign w:val="superscript"/>
              </w:rPr>
              <w:t>(3)(4)(9)</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($1,000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7/17/2025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+ 4.70%</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8.60%</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5"/>
                <w:szCs w:val="15"/>
                <w:color w:val="4C4C4E"/>
              </w:rPr>
              <w:t>par, due 4/2040)</w:t>
            </w: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Texas Debt Capital CLO Ltd, Series</w:t>
            </w:r>
          </w:p>
        </w:tc>
        <w:tc>
          <w:tcPr>
            <w:tcW w:w="1740" w:type="dxa"/>
            <w:vAlign w:val="bottom"/>
            <w:shd w:val="clear" w:color="auto" w:fill="D8EEF4"/>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($2,000</w:t>
            </w:r>
          </w:p>
        </w:tc>
        <w:tc>
          <w:tcPr>
            <w:tcW w:w="88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8/12/2025</w:t>
            </w:r>
          </w:p>
        </w:tc>
        <w:tc>
          <w:tcPr>
            <w:tcW w:w="174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+ 4.95%</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8.83%</w:t>
            </w:r>
          </w:p>
        </w:tc>
        <w:tc>
          <w:tcPr>
            <w:tcW w:w="80" w:type="dxa"/>
            <w:vAlign w:val="bottom"/>
            <w:shd w:val="clear" w:color="auto" w:fill="D8EEF4"/>
          </w:tcPr>
          <w:p>
            <w:pPr>
              <w:spacing w:after="0"/>
              <w:rPr>
                <w:sz w:val="14"/>
                <w:szCs w:val="14"/>
                <w:color w:val="auto"/>
              </w:rPr>
            </w:pPr>
          </w:p>
        </w:tc>
        <w:tc>
          <w:tcPr>
            <w:tcW w:w="7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2,023</w:t>
            </w:r>
          </w:p>
        </w:tc>
        <w:tc>
          <w:tcPr>
            <w:tcW w:w="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9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2,017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3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2023-1A</w:t>
            </w:r>
            <w:r>
              <w:rPr>
                <w:rFonts w:ascii="Times New Roman" w:cs="Times New Roman" w:eastAsia="Times New Roman" w:hAnsi="Times New Roman"/>
                <w:sz w:val="9"/>
                <w:szCs w:val="9"/>
                <w:color w:val="4C4C4E"/>
              </w:rPr>
              <w:t xml:space="preserve"> (3)(4)(9)</w:t>
            </w:r>
          </w:p>
        </w:tc>
        <w:tc>
          <w:tcPr>
            <w:tcW w:w="1740" w:type="dxa"/>
            <w:vAlign w:val="bottom"/>
            <w:shd w:val="clear" w:color="auto" w:fill="D8EEF4"/>
          </w:tcPr>
          <w:p>
            <w:pPr>
              <w:ind w:left="40"/>
              <w:spacing w:after="0"/>
              <w:rPr>
                <w:sz w:val="20"/>
                <w:szCs w:val="20"/>
                <w:color w:val="auto"/>
              </w:rPr>
            </w:pPr>
            <w:r>
              <w:rPr>
                <w:rFonts w:ascii="Times New Roman" w:cs="Times New Roman" w:eastAsia="Times New Roman" w:hAnsi="Times New Roman"/>
                <w:sz w:val="15"/>
                <w:szCs w:val="15"/>
                <w:color w:val="4C4C4E"/>
              </w:rPr>
              <w:t>par, due 7/2038)</w:t>
            </w:r>
          </w:p>
        </w:tc>
        <w:tc>
          <w:tcPr>
            <w:tcW w:w="880" w:type="dxa"/>
            <w:vAlign w:val="bottom"/>
            <w:shd w:val="clear" w:color="auto" w:fill="D8EEF4"/>
          </w:tcPr>
          <w:p>
            <w:pPr>
              <w:spacing w:after="0"/>
              <w:rPr>
                <w:sz w:val="16"/>
                <w:szCs w:val="16"/>
                <w:color w:val="auto"/>
              </w:rPr>
            </w:pPr>
          </w:p>
        </w:tc>
        <w:tc>
          <w:tcPr>
            <w:tcW w:w="174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Whitebox CLO Ltd, Series 2023-4A</w:t>
            </w:r>
          </w:p>
        </w:tc>
        <w:tc>
          <w:tcPr>
            <w:tcW w:w="1740" w:type="dxa"/>
            <w:vAlign w:val="bottom"/>
          </w:tcPr>
          <w:p>
            <w:pPr>
              <w:ind w:left="40"/>
              <w:spacing w:after="0" w:line="171" w:lineRule="exact"/>
              <w:rPr>
                <w:sz w:val="20"/>
                <w:szCs w:val="20"/>
                <w:color w:val="auto"/>
              </w:rPr>
            </w:pPr>
            <w:r>
              <w:rPr>
                <w:rFonts w:ascii="Times New Roman" w:cs="Times New Roman" w:eastAsia="Times New Roman" w:hAnsi="Times New Roman"/>
                <w:sz w:val="15"/>
                <w:szCs w:val="15"/>
                <w:color w:val="4C4C4E"/>
              </w:rPr>
              <w:t>Structured Credit ($1,500</w:t>
            </w:r>
          </w:p>
        </w:tc>
        <w:tc>
          <w:tcPr>
            <w:tcW w:w="8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8/20/2025</w:t>
            </w:r>
          </w:p>
        </w:tc>
        <w:tc>
          <w:tcPr>
            <w:tcW w:w="174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SOFR + 6.48%</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10.36%</w:t>
            </w:r>
          </w:p>
        </w:tc>
        <w:tc>
          <w:tcPr>
            <w:tcW w:w="8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1,529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1,514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20"/>
                <w:szCs w:val="20"/>
                <w:color w:val="auto"/>
              </w:rPr>
            </w:pPr>
            <w:r>
              <w:rPr>
                <w:rFonts w:ascii="Times New Roman" w:cs="Times New Roman" w:eastAsia="Times New Roman" w:hAnsi="Times New Roman"/>
                <w:sz w:val="10"/>
                <w:szCs w:val="10"/>
                <w:color w:val="4C4C4E"/>
              </w:rPr>
              <w:t>(3)(4)(9)</w:t>
            </w:r>
          </w:p>
        </w:tc>
        <w:tc>
          <w:tcPr>
            <w:tcW w:w="1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4C4C4E"/>
              </w:rPr>
              <w:t>par, due 4/2036)</w:t>
            </w:r>
          </w:p>
        </w:tc>
        <w:tc>
          <w:tcPr>
            <w:tcW w:w="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340" w:type="dxa"/>
            <w:vAlign w:val="bottom"/>
            <w:tcBorders>
              <w:bottom w:val="single" w:sz="8" w:color="D8EEF4"/>
            </w:tcBorders>
          </w:tcPr>
          <w:p>
            <w:pPr>
              <w:spacing w:after="0"/>
              <w:rPr>
                <w:sz w:val="4"/>
                <w:szCs w:val="4"/>
                <w:color w:val="auto"/>
              </w:rPr>
            </w:pPr>
          </w:p>
        </w:tc>
        <w:tc>
          <w:tcPr>
            <w:tcW w:w="1740" w:type="dxa"/>
            <w:vAlign w:val="bottom"/>
            <w:tcBorders>
              <w:bottom w:val="single" w:sz="8" w:color="D8EEF4"/>
            </w:tcBorders>
            <w:vMerge w:val="continue"/>
          </w:tcPr>
          <w:p>
            <w:pPr>
              <w:spacing w:after="0"/>
              <w:rPr>
                <w:sz w:val="4"/>
                <w:szCs w:val="4"/>
                <w:color w:val="auto"/>
              </w:rPr>
            </w:pPr>
          </w:p>
        </w:tc>
        <w:tc>
          <w:tcPr>
            <w:tcW w:w="880" w:type="dxa"/>
            <w:vAlign w:val="bottom"/>
            <w:tcBorders>
              <w:bottom w:val="single" w:sz="8" w:color="D8EEF4"/>
            </w:tcBorders>
          </w:tcPr>
          <w:p>
            <w:pPr>
              <w:spacing w:after="0"/>
              <w:rPr>
                <w:sz w:val="4"/>
                <w:szCs w:val="4"/>
                <w:color w:val="auto"/>
              </w:rPr>
            </w:pPr>
          </w:p>
        </w:tc>
        <w:tc>
          <w:tcPr>
            <w:tcW w:w="1740" w:type="dxa"/>
            <w:vAlign w:val="bottom"/>
            <w:tcBorders>
              <w:bottom w:val="single" w:sz="8" w:color="D8EEF4"/>
            </w:tcBorders>
          </w:tcPr>
          <w:p>
            <w:pPr>
              <w:spacing w:after="0"/>
              <w:rPr>
                <w:sz w:val="4"/>
                <w:szCs w:val="4"/>
                <w:color w:val="auto"/>
              </w:rPr>
            </w:pPr>
          </w:p>
        </w:tc>
        <w:tc>
          <w:tcPr>
            <w:tcW w:w="1260" w:type="dxa"/>
            <w:vAlign w:val="bottom"/>
            <w:tcBorders>
              <w:bottom w:val="single" w:sz="8" w:color="D8EEF4"/>
            </w:tcBorders>
          </w:tcPr>
          <w:p>
            <w:pPr>
              <w:spacing w:after="0"/>
              <w:rPr>
                <w:sz w:val="4"/>
                <w:szCs w:val="4"/>
                <w:color w:val="auto"/>
              </w:rPr>
            </w:pPr>
          </w:p>
        </w:tc>
        <w:tc>
          <w:tcPr>
            <w:tcW w:w="80" w:type="dxa"/>
            <w:vAlign w:val="bottom"/>
            <w:tcBorders>
              <w:bottom w:val="single" w:sz="8" w:color="D8EEF4"/>
            </w:tcBorders>
          </w:tcPr>
          <w:p>
            <w:pPr>
              <w:spacing w:after="0"/>
              <w:rPr>
                <w:sz w:val="4"/>
                <w:szCs w:val="4"/>
                <w:color w:val="auto"/>
              </w:rPr>
            </w:pPr>
          </w:p>
        </w:tc>
        <w:tc>
          <w:tcPr>
            <w:tcW w:w="720" w:type="dxa"/>
            <w:vAlign w:val="bottom"/>
            <w:tcBorders>
              <w:bottom w:val="single" w:sz="8" w:color="4C4C4E"/>
            </w:tcBorders>
          </w:tcPr>
          <w:p>
            <w:pPr>
              <w:spacing w:after="0"/>
              <w:rPr>
                <w:sz w:val="4"/>
                <w:szCs w:val="4"/>
                <w:color w:val="auto"/>
              </w:rPr>
            </w:pPr>
          </w:p>
        </w:tc>
        <w:tc>
          <w:tcPr>
            <w:tcW w:w="40" w:type="dxa"/>
            <w:vAlign w:val="bottom"/>
            <w:tcBorders>
              <w:bottom w:val="single" w:sz="8" w:color="D8EEF4"/>
            </w:tcBorders>
          </w:tcPr>
          <w:p>
            <w:pPr>
              <w:spacing w:after="0"/>
              <w:rPr>
                <w:sz w:val="4"/>
                <w:szCs w:val="4"/>
                <w:color w:val="auto"/>
              </w:rPr>
            </w:pPr>
          </w:p>
        </w:tc>
        <w:tc>
          <w:tcPr>
            <w:tcW w:w="80" w:type="dxa"/>
            <w:vAlign w:val="bottom"/>
            <w:tcBorders>
              <w:bottom w:val="single" w:sz="8" w:color="D8EEF4"/>
            </w:tcBorders>
          </w:tcPr>
          <w:p>
            <w:pPr>
              <w:spacing w:after="0"/>
              <w:rPr>
                <w:sz w:val="4"/>
                <w:szCs w:val="4"/>
                <w:color w:val="auto"/>
              </w:rPr>
            </w:pPr>
          </w:p>
        </w:tc>
        <w:tc>
          <w:tcPr>
            <w:tcW w:w="960" w:type="dxa"/>
            <w:vAlign w:val="bottom"/>
            <w:tcBorders>
              <w:bottom w:val="single" w:sz="8" w:color="4C4C4E"/>
            </w:tcBorders>
          </w:tcPr>
          <w:p>
            <w:pPr>
              <w:spacing w:after="0"/>
              <w:rPr>
                <w:sz w:val="4"/>
                <w:szCs w:val="4"/>
                <w:color w:val="auto"/>
              </w:rPr>
            </w:pPr>
          </w:p>
        </w:tc>
        <w:tc>
          <w:tcPr>
            <w:tcW w:w="40" w:type="dxa"/>
            <w:vAlign w:val="bottom"/>
            <w:tcBorders>
              <w:bottom w:val="single" w:sz="8" w:color="D8EEF4"/>
            </w:tcBorders>
          </w:tcPr>
          <w:p>
            <w:pPr>
              <w:spacing w:after="0"/>
              <w:rPr>
                <w:sz w:val="4"/>
                <w:szCs w:val="4"/>
                <w:color w:val="auto"/>
              </w:rPr>
            </w:pPr>
          </w:p>
        </w:tc>
        <w:tc>
          <w:tcPr>
            <w:tcW w:w="840" w:type="dxa"/>
            <w:vAlign w:val="bottom"/>
            <w:tcBorders>
              <w:bottom w:val="single" w:sz="8" w:color="4C4C4E"/>
            </w:tcBorders>
          </w:tcPr>
          <w:p>
            <w:pPr>
              <w:spacing w:after="0"/>
              <w:rPr>
                <w:sz w:val="4"/>
                <w:szCs w:val="4"/>
                <w:color w:val="auto"/>
              </w:rPr>
            </w:pPr>
          </w:p>
        </w:tc>
        <w:tc>
          <w:tcPr>
            <w:tcW w:w="160" w:type="dxa"/>
            <w:vAlign w:val="bottom"/>
            <w:tcBorders>
              <w:bottom w:val="single" w:sz="8" w:color="D8EEF4"/>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34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Total Other Investments</w:t>
            </w:r>
          </w:p>
        </w:tc>
        <w:tc>
          <w:tcPr>
            <w:tcW w:w="1740" w:type="dxa"/>
            <w:vAlign w:val="bottom"/>
            <w:shd w:val="clear" w:color="auto" w:fill="D8EEF4"/>
          </w:tcPr>
          <w:p>
            <w:pPr>
              <w:spacing w:after="0"/>
              <w:rPr>
                <w:sz w:val="15"/>
                <w:szCs w:val="15"/>
                <w:color w:val="auto"/>
              </w:rPr>
            </w:pPr>
          </w:p>
        </w:tc>
        <w:tc>
          <w:tcPr>
            <w:tcW w:w="880" w:type="dxa"/>
            <w:vAlign w:val="bottom"/>
            <w:shd w:val="clear" w:color="auto" w:fill="D8EEF4"/>
          </w:tcPr>
          <w:p>
            <w:pPr>
              <w:spacing w:after="0"/>
              <w:rPr>
                <w:sz w:val="15"/>
                <w:szCs w:val="15"/>
                <w:color w:val="auto"/>
              </w:rPr>
            </w:pPr>
          </w:p>
        </w:tc>
        <w:tc>
          <w:tcPr>
            <w:tcW w:w="1740" w:type="dxa"/>
            <w:vAlign w:val="bottom"/>
            <w:shd w:val="clear" w:color="auto" w:fill="D8EEF4"/>
          </w:tcPr>
          <w:p>
            <w:pPr>
              <w:spacing w:after="0"/>
              <w:rPr>
                <w:sz w:val="15"/>
                <w:szCs w:val="15"/>
                <w:color w:val="auto"/>
              </w:rPr>
            </w:pPr>
          </w:p>
        </w:tc>
        <w:tc>
          <w:tcPr>
            <w:tcW w:w="1260" w:type="dxa"/>
            <w:vAlign w:val="bottom"/>
            <w:shd w:val="clear" w:color="auto" w:fill="D8EEF4"/>
          </w:tcPr>
          <w:p>
            <w:pPr>
              <w:spacing w:after="0"/>
              <w:rPr>
                <w:sz w:val="15"/>
                <w:szCs w:val="15"/>
                <w:color w:val="auto"/>
              </w:rPr>
            </w:pPr>
          </w:p>
        </w:tc>
        <w:tc>
          <w:tcPr>
            <w:tcW w:w="80" w:type="dxa"/>
            <w:vAlign w:val="bottom"/>
            <w:shd w:val="clear" w:color="auto" w:fill="D8EEF4"/>
          </w:tcPr>
          <w:p>
            <w:pPr>
              <w:spacing w:after="0"/>
              <w:rPr>
                <w:sz w:val="15"/>
                <w:szCs w:val="15"/>
                <w:color w:val="auto"/>
              </w:rPr>
            </w:pPr>
          </w:p>
        </w:tc>
        <w:tc>
          <w:tcPr>
            <w:tcW w:w="7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98,557</w:t>
            </w:r>
          </w:p>
        </w:tc>
        <w:tc>
          <w:tcPr>
            <w:tcW w:w="40" w:type="dxa"/>
            <w:vAlign w:val="bottom"/>
            <w:shd w:val="clear" w:color="auto" w:fill="D8EEF4"/>
          </w:tcPr>
          <w:p>
            <w:pPr>
              <w:spacing w:after="0"/>
              <w:rPr>
                <w:sz w:val="15"/>
                <w:szCs w:val="15"/>
                <w:color w:val="auto"/>
              </w:rPr>
            </w:pPr>
          </w:p>
        </w:tc>
        <w:tc>
          <w:tcPr>
            <w:tcW w:w="80" w:type="dxa"/>
            <w:vAlign w:val="bottom"/>
            <w:shd w:val="clear" w:color="auto" w:fill="D8EEF4"/>
          </w:tcPr>
          <w:p>
            <w:pPr>
              <w:spacing w:after="0"/>
              <w:rPr>
                <w:sz w:val="15"/>
                <w:szCs w:val="15"/>
                <w:color w:val="auto"/>
              </w:rPr>
            </w:pPr>
          </w:p>
        </w:tc>
        <w:tc>
          <w:tcPr>
            <w:tcW w:w="9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97,872</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6.1</w:t>
            </w:r>
          </w:p>
        </w:tc>
        <w:tc>
          <w:tcPr>
            <w:tcW w:w="16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shd w:val="clear" w:color="auto" w:fill="D8EEF4"/>
              </w:rPr>
              <w:t>%</w:t>
            </w:r>
          </w:p>
        </w:tc>
        <w:tc>
          <w:tcPr>
            <w:tcW w:w="0" w:type="dxa"/>
            <w:vAlign w:val="bottom"/>
          </w:tcPr>
          <w:p>
            <w:pPr>
              <w:spacing w:after="0"/>
              <w:rPr>
                <w:sz w:val="1"/>
                <w:szCs w:val="1"/>
                <w:color w:val="auto"/>
              </w:rPr>
            </w:pPr>
          </w:p>
        </w:tc>
      </w:tr>
      <w:tr>
        <w:trPr>
          <w:trHeight w:val="181"/>
        </w:trPr>
        <w:tc>
          <w:tcPr>
            <w:tcW w:w="234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w w:val="99"/>
              </w:rPr>
              <w:t>Total Equity and Other Investments</w:t>
            </w:r>
          </w:p>
        </w:tc>
        <w:tc>
          <w:tcPr>
            <w:tcW w:w="1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258,339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270,454</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16.8%</w:t>
            </w:r>
          </w:p>
        </w:tc>
        <w:tc>
          <w:tcPr>
            <w:tcW w:w="0" w:type="dxa"/>
            <w:vAlign w:val="bottom"/>
          </w:tcPr>
          <w:p>
            <w:pPr>
              <w:spacing w:after="0"/>
              <w:rPr>
                <w:sz w:val="1"/>
                <w:szCs w:val="1"/>
                <w:color w:val="auto"/>
              </w:rPr>
            </w:pPr>
          </w:p>
        </w:tc>
      </w:tr>
      <w:tr>
        <w:trPr>
          <w:trHeight w:val="181"/>
        </w:trPr>
        <w:tc>
          <w:tcPr>
            <w:tcW w:w="23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Total Investments</w:t>
            </w:r>
          </w:p>
        </w:tc>
        <w:tc>
          <w:tcPr>
            <w:tcW w:w="1740" w:type="dxa"/>
            <w:vAlign w:val="bottom"/>
            <w:tcBorders>
              <w:top w:val="single" w:sz="8" w:color="D8EEF4"/>
            </w:tcBorders>
            <w:shd w:val="clear" w:color="auto" w:fill="D8EEF4"/>
          </w:tcPr>
          <w:p>
            <w:pPr>
              <w:spacing w:after="0"/>
              <w:rPr>
                <w:sz w:val="15"/>
                <w:szCs w:val="15"/>
                <w:color w:val="auto"/>
              </w:rPr>
            </w:pPr>
          </w:p>
        </w:tc>
        <w:tc>
          <w:tcPr>
            <w:tcW w:w="880" w:type="dxa"/>
            <w:vAlign w:val="bottom"/>
            <w:tcBorders>
              <w:top w:val="single" w:sz="8" w:color="D8EEF4"/>
            </w:tcBorders>
            <w:shd w:val="clear" w:color="auto" w:fill="D8EEF4"/>
          </w:tcPr>
          <w:p>
            <w:pPr>
              <w:spacing w:after="0"/>
              <w:rPr>
                <w:sz w:val="15"/>
                <w:szCs w:val="15"/>
                <w:color w:val="auto"/>
              </w:rPr>
            </w:pPr>
          </w:p>
        </w:tc>
        <w:tc>
          <w:tcPr>
            <w:tcW w:w="1740" w:type="dxa"/>
            <w:vAlign w:val="bottom"/>
            <w:tcBorders>
              <w:top w:val="single" w:sz="8" w:color="D8EEF4"/>
            </w:tcBorders>
            <w:shd w:val="clear" w:color="auto" w:fill="D8EEF4"/>
          </w:tcPr>
          <w:p>
            <w:pPr>
              <w:spacing w:after="0"/>
              <w:rPr>
                <w:sz w:val="15"/>
                <w:szCs w:val="15"/>
                <w:color w:val="auto"/>
              </w:rPr>
            </w:pPr>
          </w:p>
        </w:tc>
        <w:tc>
          <w:tcPr>
            <w:tcW w:w="126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w w:val="79"/>
                <w:shd w:val="clear" w:color="auto" w:fill="D8EEF4"/>
              </w:rPr>
              <w:t>$</w:t>
            </w:r>
          </w:p>
        </w:tc>
        <w:tc>
          <w:tcPr>
            <w:tcW w:w="7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shd w:val="clear" w:color="auto" w:fill="D8EEF4"/>
              </w:rPr>
              <w:t>3,323,282</w:t>
            </w:r>
          </w:p>
        </w:tc>
        <w:tc>
          <w:tcPr>
            <w:tcW w:w="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b w:val="1"/>
                <w:bCs w:val="1"/>
                <w:color w:val="4C4C4E"/>
                <w:w w:val="71"/>
              </w:rPr>
              <w:t>$</w:t>
            </w:r>
          </w:p>
        </w:tc>
        <w:tc>
          <w:tcPr>
            <w:tcW w:w="9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rPr>
              <w:t>3,347,317</w:t>
            </w: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rPr>
              <w:t>208.2</w:t>
            </w:r>
          </w:p>
        </w:tc>
        <w:tc>
          <w:tcPr>
            <w:tcW w:w="16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w w:val="93"/>
                <w:shd w:val="clear" w:color="auto" w:fill="D8EEF4"/>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720" w:type="dxa"/>
            <w:vAlign w:val="bottom"/>
            <w:tcBorders>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960" w:type="dxa"/>
            <w:vAlign w:val="bottom"/>
            <w:tcBorders>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4C4C4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80"/>
          </w:cols>
          <w:pgMar w:left="500" w:top="768" w:right="5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F-13</w:t>
      </w:r>
    </w:p>
    <w:p>
      <w:pPr>
        <w:sectPr>
          <w:pgSz w:w="11880" w:h="15480" w:orient="portrait"/>
          <w:cols w:equalWidth="0" w:num="1">
            <w:col w:w="10880"/>
          </w:cols>
          <w:pgMar w:left="500" w:top="768" w:right="500" w:bottom="6" w:gutter="0" w:footer="0" w:header="0"/>
          <w:type w:val="continuous"/>
        </w:sectPr>
      </w:pPr>
    </w:p>
    <w:bookmarkStart w:id="102" w:name="page103"/>
    <w:bookmarkEnd w:id="102"/>
    <w:tbl>
      <w:tblPr>
        <w:tblLayout w:type="fixed"/>
        <w:tblInd w:w="3"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11"/>
          </w:tcPr>
          <w:p>
            <w:pPr>
              <w:ind w:left="480"/>
              <w:spacing w:after="0"/>
              <w:rPr>
                <w:sz w:val="20"/>
                <w:szCs w:val="20"/>
                <w:color w:val="auto"/>
              </w:rPr>
            </w:pPr>
            <w:r>
              <w:rPr>
                <w:rFonts w:ascii="Times New Roman" w:cs="Times New Roman" w:eastAsia="Times New Roman" w:hAnsi="Times New Roman"/>
                <w:sz w:val="16"/>
                <w:szCs w:val="16"/>
                <w:b w:val="1"/>
                <w:bCs w:val="1"/>
                <w:color w:val="4C4C4E"/>
              </w:rPr>
              <w:t>Interest Rate Swaps as of December 31, 2025</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4"/>
        </w:trPr>
        <w:tc>
          <w:tcPr>
            <w:tcW w:w="2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4C4C4E"/>
              </w:rPr>
              <w:t>Fair</w:t>
            </w:r>
          </w:p>
        </w:tc>
        <w:tc>
          <w:tcPr>
            <w:tcW w:w="80" w:type="dxa"/>
            <w:vAlign w:val="bottom"/>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4C4C4E"/>
              </w:rPr>
              <w:t>Upfront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4C4C4E"/>
              </w:rPr>
              <w:t>Change in</w:t>
            </w:r>
          </w:p>
        </w:tc>
        <w:tc>
          <w:tcPr>
            <w:tcW w:w="40" w:type="dxa"/>
            <w:vAlign w:val="bottom"/>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rPr>
              <w:t>Company</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w w:val="98"/>
              </w:rPr>
              <w:t>Company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4C4C4E"/>
              </w:rPr>
              <w:t>Notional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4C4C4E"/>
              </w:rPr>
              <w:t>Market</w:t>
            </w:r>
          </w:p>
        </w:tc>
        <w:tc>
          <w:tcPr>
            <w:tcW w:w="8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4C4C4E"/>
              </w:rPr>
              <w:t>(Payments)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4C4C4E"/>
              </w:rPr>
              <w:t>Unrealized</w:t>
            </w:r>
          </w:p>
        </w:tc>
        <w:tc>
          <w:tcPr>
            <w:tcW w:w="40" w:type="dxa"/>
            <w:vAlign w:val="bottom"/>
          </w:tcPr>
          <w:p>
            <w:pPr>
              <w:spacing w:after="0"/>
              <w:rPr>
                <w:sz w:val="16"/>
                <w:szCs w:val="16"/>
                <w:color w:val="auto"/>
              </w:rPr>
            </w:pPr>
          </w:p>
        </w:tc>
      </w:tr>
      <w:tr>
        <w:trPr>
          <w:trHeight w:val="203"/>
        </w:trPr>
        <w:tc>
          <w:tcPr>
            <w:tcW w:w="22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rPr>
              <w:t>Receives</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w w:val="99"/>
              </w:rPr>
              <w:t>Pays</w:t>
            </w:r>
          </w:p>
        </w:tc>
        <w:tc>
          <w:tcPr>
            <w:tcW w:w="140" w:type="dxa"/>
            <w:vAlign w:val="bottom"/>
          </w:tcPr>
          <w:p>
            <w:pPr>
              <w:spacing w:after="0"/>
              <w:rPr>
                <w:sz w:val="17"/>
                <w:szCs w:val="17"/>
                <w:color w:val="auto"/>
              </w:rPr>
            </w:pPr>
          </w:p>
        </w:tc>
        <w:tc>
          <w:tcPr>
            <w:tcW w:w="1420" w:type="dxa"/>
            <w:vAlign w:val="bottom"/>
            <w:gridSpan w:val="4"/>
          </w:tcPr>
          <w:p>
            <w:pPr>
              <w:jc w:val="right"/>
              <w:ind w:right="325"/>
              <w:spacing w:after="0"/>
              <w:rPr>
                <w:sz w:val="20"/>
                <w:szCs w:val="20"/>
                <w:color w:val="auto"/>
              </w:rPr>
            </w:pPr>
            <w:r>
              <w:rPr>
                <w:rFonts w:ascii="Times New Roman" w:cs="Times New Roman" w:eastAsia="Times New Roman" w:hAnsi="Times New Roman"/>
                <w:sz w:val="16"/>
                <w:szCs w:val="16"/>
                <w:b w:val="1"/>
                <w:bCs w:val="1"/>
                <w:color w:val="4C4C4E"/>
              </w:rPr>
              <w:t>Maturity Date</w:t>
            </w: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4C4C4E"/>
              </w:rPr>
              <w:t>Amount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4C4C4E"/>
                <w:w w:val="99"/>
              </w:rPr>
              <w:t>Value</w:t>
            </w:r>
          </w:p>
        </w:tc>
        <w:tc>
          <w:tcPr>
            <w:tcW w:w="80" w:type="dxa"/>
            <w:vAlign w:val="bottom"/>
          </w:tcPr>
          <w:p>
            <w:pPr>
              <w:spacing w:after="0"/>
              <w:rPr>
                <w:sz w:val="17"/>
                <w:szCs w:val="17"/>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4C4C4E"/>
              </w:rPr>
              <w:t>Receipts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4C4C4E"/>
              </w:rPr>
              <w:t>Gains / (Losses)</w:t>
            </w:r>
          </w:p>
        </w:tc>
        <w:tc>
          <w:tcPr>
            <w:tcW w:w="40" w:type="dxa"/>
            <w:vAlign w:val="bottom"/>
          </w:tcPr>
          <w:p>
            <w:pPr>
              <w:spacing w:after="0"/>
              <w:rPr>
                <w:sz w:val="17"/>
                <w:szCs w:val="17"/>
                <w:color w:val="auto"/>
              </w:rPr>
            </w:pPr>
          </w:p>
        </w:tc>
      </w:tr>
      <w:tr>
        <w:trPr>
          <w:trHeight w:val="193"/>
        </w:trPr>
        <w:tc>
          <w:tcPr>
            <w:tcW w:w="2280" w:type="dxa"/>
            <w:vAlign w:val="bottom"/>
            <w:tcBorders>
              <w:top w:val="single" w:sz="8" w:color="D8EEF4"/>
            </w:tcBorders>
            <w:shd w:val="clear" w:color="auto" w:fill="D8EEF4"/>
          </w:tcPr>
          <w:p>
            <w:pPr>
              <w:spacing w:after="0" w:line="193" w:lineRule="exact"/>
              <w:rPr>
                <w:sz w:val="20"/>
                <w:szCs w:val="20"/>
                <w:color w:val="auto"/>
              </w:rPr>
            </w:pPr>
            <w:r>
              <w:rPr>
                <w:rFonts w:ascii="Times New Roman" w:cs="Times New Roman" w:eastAsia="Times New Roman" w:hAnsi="Times New Roman"/>
                <w:sz w:val="16"/>
                <w:szCs w:val="16"/>
                <w:color w:val="4C4C4E"/>
              </w:rPr>
              <w:t xml:space="preserve">Interest rate swap </w:t>
            </w:r>
            <w:r>
              <w:rPr>
                <w:rFonts w:ascii="Times New Roman" w:cs="Times New Roman" w:eastAsia="Times New Roman" w:hAnsi="Times New Roman"/>
                <w:sz w:val="20"/>
                <w:szCs w:val="20"/>
                <w:color w:val="4C4C4E"/>
                <w:vertAlign w:val="superscript"/>
              </w:rPr>
              <w:t>(a)(b)</w:t>
            </w:r>
          </w:p>
        </w:tc>
        <w:tc>
          <w:tcPr>
            <w:tcW w:w="860" w:type="dxa"/>
            <w:vAlign w:val="bottom"/>
            <w:tcBorders>
              <w:top w:val="single" w:sz="8" w:color="4C4C4E"/>
            </w:tcBorders>
            <w:shd w:val="clear" w:color="auto" w:fill="D8EEF4"/>
          </w:tcPr>
          <w:p>
            <w:pPr>
              <w:jc w:val="center"/>
              <w:spacing w:after="0"/>
              <w:rPr>
                <w:sz w:val="20"/>
                <w:szCs w:val="20"/>
                <w:color w:val="auto"/>
              </w:rPr>
            </w:pPr>
            <w:r>
              <w:rPr>
                <w:rFonts w:ascii="Times New Roman" w:cs="Times New Roman" w:eastAsia="Times New Roman" w:hAnsi="Times New Roman"/>
                <w:sz w:val="16"/>
                <w:szCs w:val="16"/>
                <w:color w:val="4C4C4E"/>
                <w:w w:val="96"/>
              </w:rPr>
              <w:t>2.50%</w:t>
            </w:r>
          </w:p>
        </w:tc>
        <w:tc>
          <w:tcPr>
            <w:tcW w:w="120" w:type="dxa"/>
            <w:vAlign w:val="bottom"/>
            <w:tcBorders>
              <w:top w:val="single" w:sz="8" w:color="D8EEF4"/>
            </w:tcBorders>
            <w:shd w:val="clear" w:color="auto" w:fill="D8EEF4"/>
          </w:tcPr>
          <w:p>
            <w:pPr>
              <w:spacing w:after="0"/>
              <w:rPr>
                <w:sz w:val="16"/>
                <w:szCs w:val="16"/>
                <w:color w:val="auto"/>
              </w:rPr>
            </w:pPr>
          </w:p>
        </w:tc>
        <w:tc>
          <w:tcPr>
            <w:tcW w:w="1140" w:type="dxa"/>
            <w:vAlign w:val="bottom"/>
            <w:tcBorders>
              <w:top w:val="single" w:sz="8" w:color="4C4C4E"/>
            </w:tcBorders>
            <w:shd w:val="clear" w:color="auto" w:fill="D8EEF4"/>
          </w:tcPr>
          <w:p>
            <w:pPr>
              <w:jc w:val="center"/>
              <w:spacing w:after="0"/>
              <w:rPr>
                <w:sz w:val="20"/>
                <w:szCs w:val="20"/>
                <w:color w:val="auto"/>
              </w:rPr>
            </w:pPr>
            <w:r>
              <w:rPr>
                <w:rFonts w:ascii="Times New Roman" w:cs="Times New Roman" w:eastAsia="Times New Roman" w:hAnsi="Times New Roman"/>
                <w:sz w:val="16"/>
                <w:szCs w:val="16"/>
                <w:color w:val="4C4C4E"/>
                <w:w w:val="99"/>
              </w:rPr>
              <w:t>SOFR + 2.17%</w:t>
            </w:r>
          </w:p>
        </w:tc>
        <w:tc>
          <w:tcPr>
            <w:tcW w:w="140" w:type="dxa"/>
            <w:vAlign w:val="bottom"/>
            <w:tcBorders>
              <w:top w:val="single" w:sz="8" w:color="D8EEF4"/>
            </w:tcBorders>
            <w:shd w:val="clear" w:color="auto" w:fill="D8EEF4"/>
          </w:tcPr>
          <w:p>
            <w:pPr>
              <w:spacing w:after="0"/>
              <w:rPr>
                <w:sz w:val="16"/>
                <w:szCs w:val="16"/>
                <w:color w:val="auto"/>
              </w:rPr>
            </w:pPr>
          </w:p>
        </w:tc>
        <w:tc>
          <w:tcPr>
            <w:tcW w:w="1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8/1/2026</w:t>
            </w:r>
          </w:p>
        </w:tc>
        <w:tc>
          <w:tcPr>
            <w:tcW w:w="120" w:type="dxa"/>
            <w:vAlign w:val="bottom"/>
            <w:tcBorders>
              <w:top w:val="single" w:sz="8" w:color="D8EEF4"/>
            </w:tcBorders>
            <w:shd w:val="clear" w:color="auto" w:fill="D8EEF4"/>
          </w:tcPr>
          <w:p>
            <w:pPr>
              <w:spacing w:after="0"/>
              <w:rPr>
                <w:sz w:val="16"/>
                <w:szCs w:val="16"/>
                <w:color w:val="auto"/>
              </w:rPr>
            </w:pPr>
          </w:p>
        </w:tc>
        <w:tc>
          <w:tcPr>
            <w:tcW w:w="20" w:type="dxa"/>
            <w:vAlign w:val="bottom"/>
            <w:tcBorders>
              <w:top w:val="single" w:sz="8" w:color="D8EEF4"/>
            </w:tcBorders>
            <w:shd w:val="clear" w:color="auto" w:fill="D8EEF4"/>
          </w:tcPr>
          <w:p>
            <w:pPr>
              <w:spacing w:after="0"/>
              <w:rPr>
                <w:sz w:val="16"/>
                <w:szCs w:val="16"/>
                <w:color w:val="auto"/>
              </w:rPr>
            </w:pPr>
          </w:p>
        </w:tc>
        <w:tc>
          <w:tcPr>
            <w:tcW w:w="140" w:type="dxa"/>
            <w:vAlign w:val="bottom"/>
            <w:tcBorders>
              <w:top w:val="single" w:sz="8" w:color="4C4C4E"/>
            </w:tcBorders>
            <w:shd w:val="clear" w:color="auto" w:fill="D8EEF4"/>
          </w:tcPr>
          <w:p>
            <w:pPr>
              <w:jc w:val="right"/>
              <w:ind w:right="25"/>
              <w:spacing w:after="0"/>
              <w:rPr>
                <w:sz w:val="20"/>
                <w:szCs w:val="20"/>
                <w:color w:val="auto"/>
              </w:rPr>
            </w:pPr>
            <w:r>
              <w:rPr>
                <w:rFonts w:ascii="Times New Roman" w:cs="Times New Roman" w:eastAsia="Times New Roman" w:hAnsi="Times New Roman"/>
                <w:sz w:val="11"/>
                <w:szCs w:val="11"/>
                <w:color w:val="4C4C4E"/>
                <w:w w:val="71"/>
              </w:rPr>
              <w:t>$</w:t>
            </w:r>
          </w:p>
        </w:tc>
        <w:tc>
          <w:tcPr>
            <w:tcW w:w="9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300,000</w:t>
            </w:r>
          </w:p>
        </w:tc>
        <w:tc>
          <w:tcPr>
            <w:tcW w:w="180" w:type="dxa"/>
            <w:vAlign w:val="bottom"/>
            <w:tcBorders>
              <w:top w:val="single" w:sz="8" w:color="D8EEF4"/>
            </w:tcBorders>
            <w:shd w:val="clear" w:color="auto" w:fill="D8EEF4"/>
          </w:tcPr>
          <w:p>
            <w:pPr>
              <w:spacing w:after="0"/>
              <w:rPr>
                <w:sz w:val="16"/>
                <w:szCs w:val="16"/>
                <w:color w:val="auto"/>
              </w:rPr>
            </w:pPr>
          </w:p>
        </w:tc>
        <w:tc>
          <w:tcPr>
            <w:tcW w:w="20" w:type="dxa"/>
            <w:vAlign w:val="bottom"/>
            <w:tcBorders>
              <w:top w:val="single" w:sz="8" w:color="D8EEF4"/>
            </w:tcBorders>
            <w:shd w:val="clear" w:color="auto" w:fill="D8EEF4"/>
          </w:tcPr>
          <w:p>
            <w:pPr>
              <w:spacing w:after="0"/>
              <w:rPr>
                <w:sz w:val="16"/>
                <w:szCs w:val="16"/>
                <w:color w:val="auto"/>
              </w:rPr>
            </w:pPr>
          </w:p>
        </w:tc>
        <w:tc>
          <w:tcPr>
            <w:tcW w:w="160" w:type="dxa"/>
            <w:vAlign w:val="bottom"/>
            <w:tcBorders>
              <w:top w:val="single" w:sz="8" w:color="4C4C4E"/>
            </w:tcBorders>
            <w:shd w:val="clear" w:color="auto" w:fill="D8EEF4"/>
          </w:tcPr>
          <w:p>
            <w:pPr>
              <w:jc w:val="right"/>
              <w:ind w:right="45"/>
              <w:spacing w:after="0"/>
              <w:rPr>
                <w:sz w:val="20"/>
                <w:szCs w:val="20"/>
                <w:color w:val="auto"/>
              </w:rPr>
            </w:pPr>
            <w:r>
              <w:rPr>
                <w:rFonts w:ascii="Times New Roman" w:cs="Times New Roman" w:eastAsia="Times New Roman" w:hAnsi="Times New Roman"/>
                <w:sz w:val="11"/>
                <w:szCs w:val="11"/>
                <w:color w:val="4C4C4E"/>
                <w:w w:val="71"/>
              </w:rPr>
              <w:t>$</w:t>
            </w:r>
          </w:p>
        </w:tc>
        <w:tc>
          <w:tcPr>
            <w:tcW w:w="9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(5,785)</w:t>
            </w:r>
          </w:p>
        </w:tc>
        <w:tc>
          <w:tcPr>
            <w:tcW w:w="240" w:type="dxa"/>
            <w:vAlign w:val="bottom"/>
            <w:tcBorders>
              <w:top w:val="single" w:sz="8" w:color="D8EEF4"/>
            </w:tcBorders>
            <w:shd w:val="clear" w:color="auto" w:fill="D8EEF4"/>
          </w:tcPr>
          <w:p>
            <w:pPr>
              <w:spacing w:after="0"/>
              <w:rPr>
                <w:sz w:val="16"/>
                <w:szCs w:val="16"/>
                <w:color w:val="auto"/>
              </w:rPr>
            </w:pPr>
          </w:p>
        </w:tc>
        <w:tc>
          <w:tcPr>
            <w:tcW w:w="20" w:type="dxa"/>
            <w:vAlign w:val="bottom"/>
            <w:tcBorders>
              <w:top w:val="single" w:sz="8" w:color="D8EEF4"/>
            </w:tcBorders>
            <w:shd w:val="clear" w:color="auto" w:fill="D8EEF4"/>
          </w:tcPr>
          <w:p>
            <w:pPr>
              <w:spacing w:after="0"/>
              <w:rPr>
                <w:sz w:val="16"/>
                <w:szCs w:val="16"/>
                <w:color w:val="auto"/>
              </w:rPr>
            </w:pPr>
          </w:p>
        </w:tc>
        <w:tc>
          <w:tcPr>
            <w:tcW w:w="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1020" w:type="dxa"/>
            <w:vAlign w:val="bottom"/>
            <w:tcBorders>
              <w:top w:val="single" w:sz="8" w:color="4C4C4E"/>
            </w:tcBorders>
            <w:shd w:val="clear" w:color="auto" w:fill="D8EEF4"/>
          </w:tcPr>
          <w:p>
            <w:pPr>
              <w:ind w:left="840"/>
              <w:spacing w:after="0"/>
              <w:rPr>
                <w:sz w:val="20"/>
                <w:szCs w:val="20"/>
                <w:color w:val="auto"/>
              </w:rPr>
            </w:pPr>
            <w:r>
              <w:rPr>
                <w:rFonts w:ascii="Times New Roman" w:cs="Times New Roman" w:eastAsia="Times New Roman" w:hAnsi="Times New Roman"/>
                <w:sz w:val="16"/>
                <w:szCs w:val="16"/>
                <w:color w:val="4C4C4E"/>
                <w:w w:val="99"/>
              </w:rPr>
              <w:t>—</w:t>
            </w:r>
          </w:p>
        </w:tc>
        <w:tc>
          <w:tcPr>
            <w:tcW w:w="180" w:type="dxa"/>
            <w:vAlign w:val="bottom"/>
            <w:tcBorders>
              <w:top w:val="single" w:sz="8" w:color="D8EEF4"/>
            </w:tcBorders>
            <w:shd w:val="clear" w:color="auto" w:fill="D8EEF4"/>
          </w:tcPr>
          <w:p>
            <w:pPr>
              <w:spacing w:after="0"/>
              <w:rPr>
                <w:sz w:val="16"/>
                <w:szCs w:val="16"/>
                <w:color w:val="auto"/>
              </w:rPr>
            </w:pPr>
          </w:p>
        </w:tc>
        <w:tc>
          <w:tcPr>
            <w:tcW w:w="20" w:type="dxa"/>
            <w:vAlign w:val="bottom"/>
            <w:tcBorders>
              <w:top w:val="single" w:sz="8" w:color="D8EEF4"/>
            </w:tcBorders>
            <w:shd w:val="clear" w:color="auto" w:fill="D8EEF4"/>
          </w:tcPr>
          <w:p>
            <w:pPr>
              <w:spacing w:after="0"/>
              <w:rPr>
                <w:sz w:val="16"/>
                <w:szCs w:val="16"/>
                <w:color w:val="auto"/>
              </w:rPr>
            </w:pPr>
          </w:p>
        </w:tc>
        <w:tc>
          <w:tcPr>
            <w:tcW w:w="10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16"/>
                <w:szCs w:val="16"/>
                <w:color w:val="4C4C4E"/>
                <w:w w:val="99"/>
              </w:rPr>
              <w:t>$</w:t>
            </w:r>
          </w:p>
        </w:tc>
        <w:tc>
          <w:tcPr>
            <w:tcW w:w="10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11,833</w:t>
            </w:r>
          </w:p>
        </w:tc>
        <w:tc>
          <w:tcPr>
            <w:tcW w:w="40" w:type="dxa"/>
            <w:vAlign w:val="bottom"/>
            <w:tcBorders>
              <w:top w:val="single" w:sz="8" w:color="D8EEF4"/>
            </w:tcBorders>
            <w:shd w:val="clear" w:color="auto" w:fill="D8EEF4"/>
          </w:tcPr>
          <w:p>
            <w:pPr>
              <w:spacing w:after="0"/>
              <w:rPr>
                <w:sz w:val="16"/>
                <w:szCs w:val="16"/>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6"/>
                <w:szCs w:val="16"/>
                <w:color w:val="4C4C4E"/>
              </w:rPr>
              <w:t xml:space="preserve">Interest rate swap </w:t>
            </w:r>
            <w:r>
              <w:rPr>
                <w:rFonts w:ascii="Times New Roman" w:cs="Times New Roman" w:eastAsia="Times New Roman" w:hAnsi="Times New Roman"/>
                <w:sz w:val="20"/>
                <w:szCs w:val="20"/>
                <w:color w:val="4C4C4E"/>
                <w:vertAlign w:val="superscript"/>
              </w:rPr>
              <w:t>(a)(b)</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4C4C4E"/>
                <w:w w:val="96"/>
              </w:rPr>
              <w:t>6.95%</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4C4C4E"/>
                <w:w w:val="99"/>
              </w:rPr>
              <w:t>SOFR + 2.99%</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8/14/2028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300,000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4,495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6"/>
                <w:szCs w:val="16"/>
                <w:color w:val="4C4C4E"/>
                <w:w w:val="99"/>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5,872</w:t>
            </w:r>
          </w:p>
        </w:tc>
        <w:tc>
          <w:tcPr>
            <w:tcW w:w="40" w:type="dxa"/>
            <w:vAlign w:val="bottom"/>
          </w:tcPr>
          <w:p>
            <w:pPr>
              <w:spacing w:after="0"/>
              <w:rPr>
                <w:sz w:val="17"/>
                <w:szCs w:val="17"/>
                <w:color w:val="auto"/>
              </w:rPr>
            </w:pPr>
          </w:p>
        </w:tc>
      </w:tr>
      <w:tr>
        <w:trPr>
          <w:trHeight w:val="198"/>
        </w:trPr>
        <w:tc>
          <w:tcPr>
            <w:tcW w:w="2280" w:type="dxa"/>
            <w:vAlign w:val="bottom"/>
            <w:shd w:val="clear" w:color="auto" w:fill="D8EEF4"/>
          </w:tcPr>
          <w:p>
            <w:pPr>
              <w:spacing w:after="0" w:line="198" w:lineRule="exact"/>
              <w:rPr>
                <w:sz w:val="20"/>
                <w:szCs w:val="20"/>
                <w:color w:val="auto"/>
              </w:rPr>
            </w:pPr>
            <w:r>
              <w:rPr>
                <w:rFonts w:ascii="Times New Roman" w:cs="Times New Roman" w:eastAsia="Times New Roman" w:hAnsi="Times New Roman"/>
                <w:sz w:val="16"/>
                <w:szCs w:val="16"/>
                <w:color w:val="4C4C4E"/>
              </w:rPr>
              <w:t xml:space="preserve">Interest rate swap </w:t>
            </w:r>
            <w:r>
              <w:rPr>
                <w:rFonts w:ascii="Times New Roman" w:cs="Times New Roman" w:eastAsia="Times New Roman" w:hAnsi="Times New Roman"/>
                <w:sz w:val="20"/>
                <w:szCs w:val="20"/>
                <w:color w:val="4C4C4E"/>
                <w:vertAlign w:val="superscript"/>
              </w:rPr>
              <w:t>(a)(b)</w:t>
            </w:r>
          </w:p>
        </w:tc>
        <w:tc>
          <w:tcPr>
            <w:tcW w:w="86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16"/>
                <w:szCs w:val="16"/>
                <w:color w:val="4C4C4E"/>
                <w:w w:val="97"/>
              </w:rPr>
              <w:t>6.125%</w:t>
            </w:r>
          </w:p>
        </w:tc>
        <w:tc>
          <w:tcPr>
            <w:tcW w:w="120" w:type="dxa"/>
            <w:vAlign w:val="bottom"/>
            <w:shd w:val="clear" w:color="auto" w:fill="D8EEF4"/>
          </w:tcPr>
          <w:p>
            <w:pPr>
              <w:spacing w:after="0"/>
              <w:rPr>
                <w:sz w:val="17"/>
                <w:szCs w:val="17"/>
                <w:color w:val="auto"/>
              </w:rPr>
            </w:pPr>
          </w:p>
        </w:tc>
        <w:tc>
          <w:tcPr>
            <w:tcW w:w="114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16"/>
                <w:szCs w:val="16"/>
                <w:color w:val="4C4C4E"/>
                <w:w w:val="99"/>
              </w:rPr>
              <w:t>SOFR + 2.44%</w:t>
            </w:r>
          </w:p>
        </w:tc>
        <w:tc>
          <w:tcPr>
            <w:tcW w:w="128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3/1/2029</w:t>
            </w:r>
          </w:p>
        </w:tc>
        <w:tc>
          <w:tcPr>
            <w:tcW w:w="12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350,000</w:t>
            </w:r>
          </w:p>
        </w:tc>
        <w:tc>
          <w:tcPr>
            <w:tcW w:w="18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160" w:type="dxa"/>
            <w:vAlign w:val="bottom"/>
            <w:shd w:val="clear" w:color="auto" w:fill="D8EEF4"/>
          </w:tcPr>
          <w:p>
            <w:pPr>
              <w:spacing w:after="0"/>
              <w:rPr>
                <w:sz w:val="17"/>
                <w:szCs w:val="17"/>
                <w:color w:val="auto"/>
              </w:rPr>
            </w:pPr>
          </w:p>
        </w:tc>
        <w:tc>
          <w:tcPr>
            <w:tcW w:w="9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3,307</w:t>
            </w:r>
          </w:p>
        </w:tc>
        <w:tc>
          <w:tcPr>
            <w:tcW w:w="24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80" w:type="dxa"/>
            <w:vAlign w:val="bottom"/>
            <w:shd w:val="clear" w:color="auto" w:fill="D8EEF4"/>
          </w:tcPr>
          <w:p>
            <w:pPr>
              <w:spacing w:after="0"/>
              <w:rPr>
                <w:sz w:val="17"/>
                <w:szCs w:val="17"/>
                <w:color w:val="auto"/>
              </w:rPr>
            </w:pPr>
          </w:p>
        </w:tc>
        <w:tc>
          <w:tcPr>
            <w:tcW w:w="1020" w:type="dxa"/>
            <w:vAlign w:val="bottom"/>
            <w:shd w:val="clear" w:color="auto" w:fill="D8EEF4"/>
          </w:tcPr>
          <w:p>
            <w:pPr>
              <w:ind w:left="840"/>
              <w:spacing w:after="0"/>
              <w:rPr>
                <w:sz w:val="20"/>
                <w:szCs w:val="20"/>
                <w:color w:val="auto"/>
              </w:rPr>
            </w:pPr>
            <w:r>
              <w:rPr>
                <w:rFonts w:ascii="Times New Roman" w:cs="Times New Roman" w:eastAsia="Times New Roman" w:hAnsi="Times New Roman"/>
                <w:sz w:val="16"/>
                <w:szCs w:val="16"/>
                <w:color w:val="4C4C4E"/>
                <w:w w:val="99"/>
              </w:rPr>
              <w:t>—</w:t>
            </w:r>
          </w:p>
        </w:tc>
        <w:tc>
          <w:tcPr>
            <w:tcW w:w="18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0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8,550</w:t>
            </w:r>
          </w:p>
        </w:tc>
        <w:tc>
          <w:tcPr>
            <w:tcW w:w="40" w:type="dxa"/>
            <w:vAlign w:val="bottom"/>
            <w:shd w:val="clear" w:color="auto" w:fill="D8EEF4"/>
          </w:tcPr>
          <w:p>
            <w:pPr>
              <w:spacing w:after="0"/>
              <w:rPr>
                <w:sz w:val="17"/>
                <w:szCs w:val="17"/>
                <w:color w:val="auto"/>
              </w:rPr>
            </w:pPr>
          </w:p>
        </w:tc>
      </w:tr>
      <w:tr>
        <w:trPr>
          <w:trHeight w:val="198"/>
        </w:trPr>
        <w:tc>
          <w:tcPr>
            <w:tcW w:w="2280" w:type="dxa"/>
            <w:vAlign w:val="bottom"/>
            <w:tcBorders>
              <w:bottom w:val="single" w:sz="8" w:color="D8EEF4"/>
            </w:tcBorders>
          </w:tcPr>
          <w:p>
            <w:pPr>
              <w:spacing w:after="0" w:line="198" w:lineRule="exact"/>
              <w:rPr>
                <w:sz w:val="20"/>
                <w:szCs w:val="20"/>
                <w:color w:val="auto"/>
              </w:rPr>
            </w:pPr>
            <w:r>
              <w:rPr>
                <w:rFonts w:ascii="Times New Roman" w:cs="Times New Roman" w:eastAsia="Times New Roman" w:hAnsi="Times New Roman"/>
                <w:sz w:val="16"/>
                <w:szCs w:val="16"/>
                <w:color w:val="4C4C4E"/>
              </w:rPr>
              <w:t xml:space="preserve">Interest rate swap </w:t>
            </w:r>
            <w:r>
              <w:rPr>
                <w:rFonts w:ascii="Times New Roman" w:cs="Times New Roman" w:eastAsia="Times New Roman" w:hAnsi="Times New Roman"/>
                <w:sz w:val="20"/>
                <w:szCs w:val="20"/>
                <w:color w:val="4C4C4E"/>
                <w:vertAlign w:val="superscript"/>
              </w:rPr>
              <w:t>(a)(b)</w:t>
            </w:r>
          </w:p>
        </w:tc>
        <w:tc>
          <w:tcPr>
            <w:tcW w:w="860" w:type="dxa"/>
            <w:vAlign w:val="bottom"/>
            <w:tcBorders>
              <w:bottom w:val="single" w:sz="8" w:color="D8EEF4"/>
            </w:tcBorders>
          </w:tcPr>
          <w:p>
            <w:pPr>
              <w:jc w:val="center"/>
              <w:spacing w:after="0"/>
              <w:rPr>
                <w:sz w:val="20"/>
                <w:szCs w:val="20"/>
                <w:color w:val="auto"/>
              </w:rPr>
            </w:pPr>
            <w:r>
              <w:rPr>
                <w:rFonts w:ascii="Times New Roman" w:cs="Times New Roman" w:eastAsia="Times New Roman" w:hAnsi="Times New Roman"/>
                <w:sz w:val="16"/>
                <w:szCs w:val="16"/>
                <w:color w:val="4C4C4E"/>
                <w:w w:val="97"/>
              </w:rPr>
              <w:t>5.625%</w:t>
            </w:r>
          </w:p>
        </w:tc>
        <w:tc>
          <w:tcPr>
            <w:tcW w:w="120" w:type="dxa"/>
            <w:vAlign w:val="bottom"/>
            <w:tcBorders>
              <w:bottom w:val="single" w:sz="8" w:color="D8EEF4"/>
            </w:tcBorders>
          </w:tcPr>
          <w:p>
            <w:pPr>
              <w:spacing w:after="0"/>
              <w:rPr>
                <w:sz w:val="17"/>
                <w:szCs w:val="17"/>
                <w:color w:val="auto"/>
              </w:rPr>
            </w:pPr>
          </w:p>
        </w:tc>
        <w:tc>
          <w:tcPr>
            <w:tcW w:w="1140" w:type="dxa"/>
            <w:vAlign w:val="bottom"/>
            <w:tcBorders>
              <w:bottom w:val="single" w:sz="8" w:color="D8EEF4"/>
            </w:tcBorders>
          </w:tcPr>
          <w:p>
            <w:pPr>
              <w:jc w:val="center"/>
              <w:spacing w:after="0"/>
              <w:rPr>
                <w:sz w:val="20"/>
                <w:szCs w:val="20"/>
                <w:color w:val="auto"/>
              </w:rPr>
            </w:pPr>
            <w:r>
              <w:rPr>
                <w:rFonts w:ascii="Times New Roman" w:cs="Times New Roman" w:eastAsia="Times New Roman" w:hAnsi="Times New Roman"/>
                <w:sz w:val="16"/>
                <w:szCs w:val="16"/>
                <w:color w:val="4C4C4E"/>
                <w:w w:val="99"/>
              </w:rPr>
              <w:t>SOFR + 1.53%</w:t>
            </w:r>
          </w:p>
        </w:tc>
        <w:tc>
          <w:tcPr>
            <w:tcW w:w="1280" w:type="dxa"/>
            <w:vAlign w:val="bottom"/>
            <w:tcBorders>
              <w:bottom w:val="single" w:sz="8" w:color="D8EEF4"/>
            </w:tcBorders>
            <w:gridSpan w:val="2"/>
          </w:tcPr>
          <w:p>
            <w:pPr>
              <w:jc w:val="right"/>
              <w:spacing w:after="0"/>
              <w:rPr>
                <w:sz w:val="20"/>
                <w:szCs w:val="20"/>
                <w:color w:val="auto"/>
              </w:rPr>
            </w:pPr>
            <w:r>
              <w:rPr>
                <w:rFonts w:ascii="Times New Roman" w:cs="Times New Roman" w:eastAsia="Times New Roman" w:hAnsi="Times New Roman"/>
                <w:sz w:val="16"/>
                <w:szCs w:val="16"/>
                <w:color w:val="4C4C4E"/>
              </w:rPr>
              <w:t>8/15/2030</w:t>
            </w:r>
          </w:p>
        </w:tc>
        <w:tc>
          <w:tcPr>
            <w:tcW w:w="12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9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300,000</w:t>
            </w:r>
          </w:p>
        </w:tc>
        <w:tc>
          <w:tcPr>
            <w:tcW w:w="18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60" w:type="dxa"/>
            <w:vAlign w:val="bottom"/>
            <w:tcBorders>
              <w:bottom w:val="single" w:sz="8" w:color="4C4C4E"/>
            </w:tcBorders>
          </w:tcPr>
          <w:p>
            <w:pPr>
              <w:spacing w:after="0"/>
              <w:rPr>
                <w:sz w:val="17"/>
                <w:szCs w:val="17"/>
                <w:color w:val="auto"/>
              </w:rPr>
            </w:pPr>
          </w:p>
        </w:tc>
        <w:tc>
          <w:tcPr>
            <w:tcW w:w="9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8,284</w:t>
            </w:r>
          </w:p>
        </w:tc>
        <w:tc>
          <w:tcPr>
            <w:tcW w:w="24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80" w:type="dxa"/>
            <w:vAlign w:val="bottom"/>
            <w:tcBorders>
              <w:bottom w:val="single" w:sz="8" w:color="4C4C4E"/>
            </w:tcBorders>
          </w:tcPr>
          <w:p>
            <w:pPr>
              <w:spacing w:after="0"/>
              <w:rPr>
                <w:sz w:val="17"/>
                <w:szCs w:val="17"/>
                <w:color w:val="auto"/>
              </w:rPr>
            </w:pPr>
          </w:p>
        </w:tc>
        <w:tc>
          <w:tcPr>
            <w:tcW w:w="1020" w:type="dxa"/>
            <w:vAlign w:val="bottom"/>
            <w:tcBorders>
              <w:bottom w:val="single" w:sz="8" w:color="4C4C4E"/>
            </w:tcBorders>
          </w:tcPr>
          <w:p>
            <w:pPr>
              <w:ind w:left="840"/>
              <w:spacing w:after="0"/>
              <w:rPr>
                <w:sz w:val="20"/>
                <w:szCs w:val="20"/>
                <w:color w:val="auto"/>
              </w:rPr>
            </w:pPr>
            <w:r>
              <w:rPr>
                <w:rFonts w:ascii="Times New Roman" w:cs="Times New Roman" w:eastAsia="Times New Roman" w:hAnsi="Times New Roman"/>
                <w:sz w:val="16"/>
                <w:szCs w:val="16"/>
                <w:color w:val="4C4C4E"/>
                <w:w w:val="99"/>
              </w:rPr>
              <w:t>—</w:t>
            </w:r>
          </w:p>
        </w:tc>
        <w:tc>
          <w:tcPr>
            <w:tcW w:w="18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0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8,284</w:t>
            </w:r>
          </w:p>
        </w:tc>
        <w:tc>
          <w:tcPr>
            <w:tcW w:w="40" w:type="dxa"/>
            <w:vAlign w:val="bottom"/>
            <w:tcBorders>
              <w:bottom w:val="single" w:sz="8" w:color="D8EEF4"/>
            </w:tcBorders>
          </w:tcPr>
          <w:p>
            <w:pPr>
              <w:spacing w:after="0"/>
              <w:rPr>
                <w:sz w:val="17"/>
                <w:szCs w:val="17"/>
                <w:color w:val="auto"/>
              </w:rPr>
            </w:pPr>
          </w:p>
        </w:tc>
      </w:tr>
      <w:tr>
        <w:trPr>
          <w:trHeight w:val="193"/>
        </w:trPr>
        <w:tc>
          <w:tcPr>
            <w:tcW w:w="228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Total Hedge Accounting Swaps</w:t>
            </w:r>
          </w:p>
        </w:tc>
        <w:tc>
          <w:tcPr>
            <w:tcW w:w="86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1140" w:type="dxa"/>
            <w:vAlign w:val="bottom"/>
            <w:shd w:val="clear" w:color="auto" w:fill="D8EEF4"/>
          </w:tcPr>
          <w:p>
            <w:pPr>
              <w:spacing w:after="0"/>
              <w:rPr>
                <w:sz w:val="16"/>
                <w:szCs w:val="16"/>
                <w:color w:val="auto"/>
              </w:rPr>
            </w:pPr>
          </w:p>
        </w:tc>
        <w:tc>
          <w:tcPr>
            <w:tcW w:w="140" w:type="dxa"/>
            <w:vAlign w:val="bottom"/>
            <w:shd w:val="clear" w:color="auto" w:fill="D8EEF4"/>
          </w:tcPr>
          <w:p>
            <w:pPr>
              <w:spacing w:after="0"/>
              <w:rPr>
                <w:sz w:val="16"/>
                <w:szCs w:val="16"/>
                <w:color w:val="auto"/>
              </w:rPr>
            </w:pPr>
          </w:p>
        </w:tc>
        <w:tc>
          <w:tcPr>
            <w:tcW w:w="114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40" w:type="dxa"/>
            <w:vAlign w:val="bottom"/>
            <w:shd w:val="clear" w:color="auto" w:fill="D8EEF4"/>
          </w:tcPr>
          <w:p>
            <w:pPr>
              <w:spacing w:after="0"/>
              <w:rPr>
                <w:sz w:val="16"/>
                <w:szCs w:val="16"/>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1,250,000</w:t>
            </w:r>
          </w:p>
        </w:tc>
        <w:tc>
          <w:tcPr>
            <w:tcW w:w="1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9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10,301</w:t>
            </w:r>
          </w:p>
        </w:tc>
        <w:tc>
          <w:tcPr>
            <w:tcW w:w="2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020" w:type="dxa"/>
            <w:vAlign w:val="bottom"/>
            <w:shd w:val="clear" w:color="auto" w:fill="D8EEF4"/>
          </w:tcPr>
          <w:p>
            <w:pPr>
              <w:ind w:left="840"/>
              <w:spacing w:after="0"/>
              <w:rPr>
                <w:sz w:val="20"/>
                <w:szCs w:val="20"/>
                <w:color w:val="auto"/>
              </w:rPr>
            </w:pPr>
            <w:r>
              <w:rPr>
                <w:rFonts w:ascii="Times New Roman" w:cs="Times New Roman" w:eastAsia="Times New Roman" w:hAnsi="Times New Roman"/>
                <w:sz w:val="16"/>
                <w:szCs w:val="16"/>
                <w:color w:val="4C4C4E"/>
                <w:w w:val="99"/>
              </w:rPr>
              <w:t>—</w:t>
            </w:r>
          </w:p>
        </w:tc>
        <w:tc>
          <w:tcPr>
            <w:tcW w:w="1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0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34,539</w:t>
            </w:r>
          </w:p>
        </w:tc>
        <w:tc>
          <w:tcPr>
            <w:tcW w:w="40" w:type="dxa"/>
            <w:vAlign w:val="bottom"/>
            <w:shd w:val="clear" w:color="auto" w:fill="D8EEF4"/>
          </w:tcPr>
          <w:p>
            <w:pPr>
              <w:spacing w:after="0"/>
              <w:rPr>
                <w:sz w:val="16"/>
                <w:szCs w:val="16"/>
                <w:color w:val="auto"/>
              </w:rPr>
            </w:pPr>
          </w:p>
        </w:tc>
      </w:tr>
      <w:tr>
        <w:trPr>
          <w:trHeight w:val="198"/>
        </w:trPr>
        <w:tc>
          <w:tcPr>
            <w:tcW w:w="228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Cash collateral</w:t>
            </w:r>
          </w:p>
        </w:tc>
        <w:tc>
          <w:tcPr>
            <w:tcW w:w="860" w:type="dxa"/>
            <w:vAlign w:val="bottom"/>
            <w:tcBorders>
              <w:bottom w:val="single" w:sz="8" w:color="D8EEF4"/>
            </w:tcBorders>
          </w:tcPr>
          <w:p>
            <w:pPr>
              <w:spacing w:after="0"/>
              <w:rPr>
                <w:sz w:val="17"/>
                <w:szCs w:val="17"/>
                <w:color w:val="auto"/>
              </w:rPr>
            </w:pPr>
          </w:p>
        </w:tc>
        <w:tc>
          <w:tcPr>
            <w:tcW w:w="120" w:type="dxa"/>
            <w:vAlign w:val="bottom"/>
            <w:tcBorders>
              <w:bottom w:val="single" w:sz="8" w:color="D8EEF4"/>
            </w:tcBorders>
          </w:tcPr>
          <w:p>
            <w:pPr>
              <w:spacing w:after="0"/>
              <w:rPr>
                <w:sz w:val="17"/>
                <w:szCs w:val="17"/>
                <w:color w:val="auto"/>
              </w:rPr>
            </w:pPr>
          </w:p>
        </w:tc>
        <w:tc>
          <w:tcPr>
            <w:tcW w:w="1140" w:type="dxa"/>
            <w:vAlign w:val="bottom"/>
            <w:tcBorders>
              <w:bottom w:val="single" w:sz="8" w:color="D8EEF4"/>
            </w:tcBorders>
          </w:tcPr>
          <w:p>
            <w:pPr>
              <w:spacing w:after="0"/>
              <w:rPr>
                <w:sz w:val="17"/>
                <w:szCs w:val="17"/>
                <w:color w:val="auto"/>
              </w:rPr>
            </w:pPr>
          </w:p>
        </w:tc>
        <w:tc>
          <w:tcPr>
            <w:tcW w:w="140" w:type="dxa"/>
            <w:vAlign w:val="bottom"/>
            <w:tcBorders>
              <w:bottom w:val="single" w:sz="8" w:color="D8EEF4"/>
            </w:tcBorders>
          </w:tcPr>
          <w:p>
            <w:pPr>
              <w:spacing w:after="0"/>
              <w:rPr>
                <w:sz w:val="17"/>
                <w:szCs w:val="17"/>
                <w:color w:val="auto"/>
              </w:rPr>
            </w:pPr>
          </w:p>
        </w:tc>
        <w:tc>
          <w:tcPr>
            <w:tcW w:w="1140" w:type="dxa"/>
            <w:vAlign w:val="bottom"/>
            <w:tcBorders>
              <w:bottom w:val="single" w:sz="8" w:color="D8EEF4"/>
            </w:tcBorders>
          </w:tcPr>
          <w:p>
            <w:pPr>
              <w:spacing w:after="0"/>
              <w:rPr>
                <w:sz w:val="17"/>
                <w:szCs w:val="17"/>
                <w:color w:val="auto"/>
              </w:rPr>
            </w:pPr>
          </w:p>
        </w:tc>
        <w:tc>
          <w:tcPr>
            <w:tcW w:w="12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9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8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60" w:type="dxa"/>
            <w:vAlign w:val="bottom"/>
            <w:tcBorders>
              <w:bottom w:val="single" w:sz="8" w:color="4C4C4E"/>
            </w:tcBorders>
          </w:tcPr>
          <w:p>
            <w:pPr>
              <w:spacing w:after="0"/>
              <w:rPr>
                <w:sz w:val="17"/>
                <w:szCs w:val="17"/>
                <w:color w:val="auto"/>
              </w:rPr>
            </w:pPr>
          </w:p>
        </w:tc>
        <w:tc>
          <w:tcPr>
            <w:tcW w:w="9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16,727</w:t>
            </w:r>
          </w:p>
        </w:tc>
        <w:tc>
          <w:tcPr>
            <w:tcW w:w="24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80" w:type="dxa"/>
            <w:vAlign w:val="bottom"/>
            <w:tcBorders>
              <w:bottom w:val="single" w:sz="8" w:color="4C4C4E"/>
            </w:tcBorders>
          </w:tcPr>
          <w:p>
            <w:pPr>
              <w:spacing w:after="0"/>
              <w:rPr>
                <w:sz w:val="17"/>
                <w:szCs w:val="17"/>
                <w:color w:val="auto"/>
              </w:rPr>
            </w:pPr>
          </w:p>
        </w:tc>
        <w:tc>
          <w:tcPr>
            <w:tcW w:w="1020" w:type="dxa"/>
            <w:vAlign w:val="bottom"/>
            <w:tcBorders>
              <w:bottom w:val="single" w:sz="8" w:color="4C4C4E"/>
            </w:tcBorders>
          </w:tcPr>
          <w:p>
            <w:pPr>
              <w:ind w:left="840"/>
              <w:spacing w:after="0"/>
              <w:rPr>
                <w:sz w:val="20"/>
                <w:szCs w:val="20"/>
                <w:color w:val="auto"/>
              </w:rPr>
            </w:pPr>
            <w:r>
              <w:rPr>
                <w:rFonts w:ascii="Times New Roman" w:cs="Times New Roman" w:eastAsia="Times New Roman" w:hAnsi="Times New Roman"/>
                <w:sz w:val="16"/>
                <w:szCs w:val="16"/>
                <w:color w:val="4C4C4E"/>
                <w:w w:val="99"/>
              </w:rPr>
              <w:t>—</w:t>
            </w:r>
          </w:p>
        </w:tc>
        <w:tc>
          <w:tcPr>
            <w:tcW w:w="18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0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40" w:type="dxa"/>
            <w:vAlign w:val="bottom"/>
            <w:tcBorders>
              <w:bottom w:val="single" w:sz="8" w:color="D8EEF4"/>
            </w:tcBorders>
          </w:tcPr>
          <w:p>
            <w:pPr>
              <w:spacing w:after="0"/>
              <w:rPr>
                <w:sz w:val="17"/>
                <w:szCs w:val="17"/>
                <w:color w:val="auto"/>
              </w:rPr>
            </w:pPr>
          </w:p>
        </w:tc>
      </w:tr>
      <w:tr>
        <w:trPr>
          <w:trHeight w:val="193"/>
        </w:trPr>
        <w:tc>
          <w:tcPr>
            <w:tcW w:w="228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16"/>
                <w:szCs w:val="16"/>
                <w:b w:val="1"/>
                <w:bCs w:val="1"/>
                <w:color w:val="4C4C4E"/>
              </w:rPr>
              <w:t>Total derivatives</w:t>
            </w:r>
          </w:p>
        </w:tc>
        <w:tc>
          <w:tcPr>
            <w:tcW w:w="86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1140" w:type="dxa"/>
            <w:vAlign w:val="bottom"/>
            <w:shd w:val="clear" w:color="auto" w:fill="D8EEF4"/>
          </w:tcPr>
          <w:p>
            <w:pPr>
              <w:spacing w:after="0"/>
              <w:rPr>
                <w:sz w:val="16"/>
                <w:szCs w:val="16"/>
                <w:color w:val="auto"/>
              </w:rPr>
            </w:pPr>
          </w:p>
        </w:tc>
        <w:tc>
          <w:tcPr>
            <w:tcW w:w="140" w:type="dxa"/>
            <w:vAlign w:val="bottom"/>
            <w:shd w:val="clear" w:color="auto" w:fill="D8EEF4"/>
          </w:tcPr>
          <w:p>
            <w:pPr>
              <w:spacing w:after="0"/>
              <w:rPr>
                <w:sz w:val="16"/>
                <w:szCs w:val="16"/>
                <w:color w:val="auto"/>
              </w:rPr>
            </w:pPr>
          </w:p>
        </w:tc>
        <w:tc>
          <w:tcPr>
            <w:tcW w:w="114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tcBorders>
              <w:bottom w:val="single" w:sz="8" w:color="4C4C4E"/>
            </w:tcBorders>
            <w:shd w:val="clear" w:color="auto" w:fill="D8EEF4"/>
          </w:tcPr>
          <w:p>
            <w:pPr>
              <w:spacing w:after="0"/>
              <w:rPr>
                <w:sz w:val="16"/>
                <w:szCs w:val="16"/>
                <w:color w:val="auto"/>
              </w:rPr>
            </w:pPr>
          </w:p>
        </w:tc>
        <w:tc>
          <w:tcPr>
            <w:tcW w:w="140" w:type="dxa"/>
            <w:vAlign w:val="bottom"/>
            <w:tcBorders>
              <w:bottom w:val="single" w:sz="8" w:color="4C4C4E"/>
            </w:tcBorders>
            <w:shd w:val="clear" w:color="auto" w:fill="D8EEF4"/>
          </w:tcPr>
          <w:p>
            <w:pPr>
              <w:jc w:val="right"/>
              <w:ind w:right="25"/>
              <w:spacing w:after="0"/>
              <w:rPr>
                <w:sz w:val="20"/>
                <w:szCs w:val="20"/>
                <w:color w:val="auto"/>
              </w:rPr>
            </w:pPr>
            <w:r>
              <w:rPr>
                <w:rFonts w:ascii="Times New Roman" w:cs="Times New Roman" w:eastAsia="Times New Roman" w:hAnsi="Times New Roman"/>
                <w:sz w:val="11"/>
                <w:szCs w:val="11"/>
                <w:color w:val="4C4C4E"/>
                <w:w w:val="71"/>
              </w:rPr>
              <w:t>$</w:t>
            </w:r>
          </w:p>
        </w:tc>
        <w:tc>
          <w:tcPr>
            <w:tcW w:w="9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1,250,000</w:t>
            </w:r>
          </w:p>
        </w:tc>
        <w:tc>
          <w:tcPr>
            <w:tcW w:w="180" w:type="dxa"/>
            <w:vAlign w:val="bottom"/>
            <w:shd w:val="clear" w:color="auto" w:fill="D8EEF4"/>
          </w:tcPr>
          <w:p>
            <w:pPr>
              <w:spacing w:after="0"/>
              <w:rPr>
                <w:sz w:val="16"/>
                <w:szCs w:val="16"/>
                <w:color w:val="auto"/>
              </w:rPr>
            </w:pPr>
          </w:p>
        </w:tc>
        <w:tc>
          <w:tcPr>
            <w:tcW w:w="20" w:type="dxa"/>
            <w:vAlign w:val="bottom"/>
            <w:tcBorders>
              <w:bottom w:val="single" w:sz="8" w:color="4C4C4E"/>
            </w:tcBorders>
            <w:shd w:val="clear" w:color="auto" w:fill="D8EEF4"/>
          </w:tcPr>
          <w:p>
            <w:pPr>
              <w:spacing w:after="0"/>
              <w:rPr>
                <w:sz w:val="16"/>
                <w:szCs w:val="16"/>
                <w:color w:val="auto"/>
              </w:rPr>
            </w:pPr>
          </w:p>
        </w:tc>
        <w:tc>
          <w:tcPr>
            <w:tcW w:w="160" w:type="dxa"/>
            <w:vAlign w:val="bottom"/>
            <w:tcBorders>
              <w:bottom w:val="single" w:sz="8" w:color="4C4C4E"/>
            </w:tcBorders>
            <w:shd w:val="clear" w:color="auto" w:fill="D8EEF4"/>
          </w:tcPr>
          <w:p>
            <w:pPr>
              <w:jc w:val="right"/>
              <w:ind w:right="45"/>
              <w:spacing w:after="0"/>
              <w:rPr>
                <w:sz w:val="20"/>
                <w:szCs w:val="20"/>
                <w:color w:val="auto"/>
              </w:rPr>
            </w:pPr>
            <w:r>
              <w:rPr>
                <w:rFonts w:ascii="Times New Roman" w:cs="Times New Roman" w:eastAsia="Times New Roman" w:hAnsi="Times New Roman"/>
                <w:sz w:val="11"/>
                <w:szCs w:val="11"/>
                <w:color w:val="4C4C4E"/>
                <w:w w:val="71"/>
              </w:rPr>
              <w:t>$</w:t>
            </w:r>
          </w:p>
        </w:tc>
        <w:tc>
          <w:tcPr>
            <w:tcW w:w="9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27,028</w:t>
            </w:r>
          </w:p>
        </w:tc>
        <w:tc>
          <w:tcPr>
            <w:tcW w:w="240" w:type="dxa"/>
            <w:vAlign w:val="bottom"/>
            <w:shd w:val="clear" w:color="auto" w:fill="D8EEF4"/>
          </w:tcPr>
          <w:p>
            <w:pPr>
              <w:spacing w:after="0"/>
              <w:rPr>
                <w:sz w:val="16"/>
                <w:szCs w:val="16"/>
                <w:color w:val="auto"/>
              </w:rPr>
            </w:pPr>
          </w:p>
        </w:tc>
        <w:tc>
          <w:tcPr>
            <w:tcW w:w="20" w:type="dxa"/>
            <w:vAlign w:val="bottom"/>
            <w:tcBorders>
              <w:bottom w:val="single" w:sz="8" w:color="4C4C4E"/>
            </w:tcBorders>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1020" w:type="dxa"/>
            <w:vAlign w:val="bottom"/>
            <w:tcBorders>
              <w:bottom w:val="single" w:sz="8" w:color="4C4C4E"/>
            </w:tcBorders>
            <w:shd w:val="clear" w:color="auto" w:fill="D8EEF4"/>
          </w:tcPr>
          <w:p>
            <w:pPr>
              <w:ind w:left="840"/>
              <w:spacing w:after="0"/>
              <w:rPr>
                <w:sz w:val="20"/>
                <w:szCs w:val="20"/>
                <w:color w:val="auto"/>
              </w:rPr>
            </w:pPr>
            <w:r>
              <w:rPr>
                <w:rFonts w:ascii="Times New Roman" w:cs="Times New Roman" w:eastAsia="Times New Roman" w:hAnsi="Times New Roman"/>
                <w:sz w:val="16"/>
                <w:szCs w:val="16"/>
                <w:color w:val="4C4C4E"/>
                <w:w w:val="99"/>
              </w:rPr>
              <w:t>—</w:t>
            </w:r>
          </w:p>
        </w:tc>
        <w:tc>
          <w:tcPr>
            <w:tcW w:w="180" w:type="dxa"/>
            <w:vAlign w:val="bottom"/>
            <w:shd w:val="clear" w:color="auto" w:fill="D8EEF4"/>
          </w:tcPr>
          <w:p>
            <w:pPr>
              <w:spacing w:after="0"/>
              <w:rPr>
                <w:sz w:val="16"/>
                <w:szCs w:val="16"/>
                <w:color w:val="auto"/>
              </w:rPr>
            </w:pPr>
          </w:p>
        </w:tc>
        <w:tc>
          <w:tcPr>
            <w:tcW w:w="20" w:type="dxa"/>
            <w:vAlign w:val="bottom"/>
            <w:tcBorders>
              <w:bottom w:val="single" w:sz="8" w:color="4C4C4E"/>
            </w:tcBorders>
            <w:shd w:val="clear" w:color="auto" w:fill="D8EEF4"/>
          </w:tcPr>
          <w:p>
            <w:pPr>
              <w:spacing w:after="0"/>
              <w:rPr>
                <w:sz w:val="16"/>
                <w:szCs w:val="16"/>
                <w:color w:val="auto"/>
              </w:rPr>
            </w:pPr>
          </w:p>
        </w:tc>
        <w:tc>
          <w:tcPr>
            <w:tcW w:w="100" w:type="dxa"/>
            <w:vAlign w:val="bottom"/>
            <w:tcBorders>
              <w:bottom w:val="single" w:sz="8" w:color="4C4C4E"/>
            </w:tcBorders>
            <w:shd w:val="clear" w:color="auto" w:fill="D8EEF4"/>
          </w:tcPr>
          <w:p>
            <w:pPr>
              <w:spacing w:after="0"/>
              <w:rPr>
                <w:sz w:val="20"/>
                <w:szCs w:val="20"/>
                <w:color w:val="auto"/>
              </w:rPr>
            </w:pPr>
            <w:r>
              <w:rPr>
                <w:rFonts w:ascii="Times New Roman" w:cs="Times New Roman" w:eastAsia="Times New Roman" w:hAnsi="Times New Roman"/>
                <w:sz w:val="16"/>
                <w:szCs w:val="16"/>
                <w:color w:val="4C4C4E"/>
                <w:w w:val="99"/>
              </w:rPr>
              <w:t>$</w:t>
            </w:r>
          </w:p>
        </w:tc>
        <w:tc>
          <w:tcPr>
            <w:tcW w:w="10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34,539</w:t>
            </w:r>
          </w:p>
        </w:tc>
        <w:tc>
          <w:tcPr>
            <w:tcW w:w="40" w:type="dxa"/>
            <w:vAlign w:val="bottom"/>
            <w:shd w:val="clear" w:color="auto" w:fill="D8EEF4"/>
          </w:tcPr>
          <w:p>
            <w:pPr>
              <w:spacing w:after="0"/>
              <w:rPr>
                <w:sz w:val="16"/>
                <w:szCs w:val="16"/>
                <w:color w:val="auto"/>
              </w:rPr>
            </w:pPr>
          </w:p>
        </w:tc>
      </w:tr>
      <w:tr>
        <w:trPr>
          <w:trHeight w:val="20"/>
        </w:trPr>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960" w:type="dxa"/>
            <w:vAlign w:val="bottom"/>
            <w:tcBorders>
              <w:bottom w:val="single" w:sz="8" w:color="4C4C4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90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1020" w:type="dxa"/>
            <w:vAlign w:val="bottom"/>
            <w:tcBorders>
              <w:bottom w:val="single" w:sz="8" w:color="4C4C4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000" w:type="dxa"/>
            <w:vAlign w:val="bottom"/>
            <w:tcBorders>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-1319530</wp:posOffset>
            </wp:positionV>
            <wp:extent cx="546925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2">
                      <a:extLst>
                        <a:ext uri="{28A0092B-C50C-407E-A947-70E740481C1C}"/>
                      </a:extLst>
                    </a:blip>
                    <a:srcRect/>
                    <a:stretch>
                      <a:fillRect/>
                    </a:stretch>
                  </pic:blipFill>
                  <pic:spPr bwMode="auto">
                    <a:xfrm>
                      <a:off x="0" y="0"/>
                      <a:ext cx="5469255" cy="38100"/>
                    </a:xfrm>
                    <a:prstGeom prst="rect">
                      <a:avLst/>
                    </a:prstGeom>
                    <a:noFill/>
                  </pic:spPr>
                </pic:pic>
              </a:graphicData>
            </a:graphic>
          </wp:anchor>
        </w:drawing>
      </w:r>
    </w:p>
    <w:p>
      <w:pPr>
        <w:spacing w:after="0" w:line="191" w:lineRule="exact"/>
        <w:rPr>
          <w:sz w:val="20"/>
          <w:szCs w:val="20"/>
          <w:color w:val="auto"/>
        </w:rPr>
      </w:pPr>
    </w:p>
    <w:p>
      <w:pPr>
        <w:ind w:left="983" w:hanging="493"/>
        <w:spacing w:after="0"/>
        <w:tabs>
          <w:tab w:leader="none" w:pos="983" w:val="left"/>
        </w:tabs>
        <w:numPr>
          <w:ilvl w:val="1"/>
          <w:numId w:val="69"/>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Contains a variable rate structure. Bears interest at a rate determined by SOFR.</w:t>
      </w:r>
    </w:p>
    <w:p>
      <w:pPr>
        <w:spacing w:after="0" w:line="28" w:lineRule="exact"/>
        <w:rPr>
          <w:rFonts w:ascii="Times New Roman" w:cs="Times New Roman" w:eastAsia="Times New Roman" w:hAnsi="Times New Roman"/>
          <w:sz w:val="20"/>
          <w:szCs w:val="20"/>
          <w:color w:val="4C4C4E"/>
        </w:rPr>
      </w:pPr>
    </w:p>
    <w:p>
      <w:pPr>
        <w:ind w:left="983" w:right="600" w:hanging="493"/>
        <w:spacing w:after="0" w:line="248" w:lineRule="auto"/>
        <w:tabs>
          <w:tab w:leader="none" w:pos="983" w:val="left"/>
        </w:tabs>
        <w:numPr>
          <w:ilvl w:val="1"/>
          <w:numId w:val="69"/>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Instrument is used in a hedge accounting relationship. The associated change in fair value is recorded along with the change in fair value of the hedged item within interest expense.</w:t>
      </w:r>
    </w:p>
    <w:p>
      <w:pPr>
        <w:spacing w:after="0" w:line="186" w:lineRule="exact"/>
        <w:rPr>
          <w:rFonts w:ascii="Times New Roman" w:cs="Times New Roman" w:eastAsia="Times New Roman" w:hAnsi="Times New Roman"/>
          <w:sz w:val="20"/>
          <w:szCs w:val="20"/>
          <w:color w:val="4C4C4E"/>
        </w:rPr>
      </w:pPr>
    </w:p>
    <w:p>
      <w:pPr>
        <w:ind w:left="483" w:hanging="483"/>
        <w:spacing w:after="0"/>
        <w:tabs>
          <w:tab w:leader="none" w:pos="483" w:val="left"/>
        </w:tabs>
        <w:numPr>
          <w:ilvl w:val="0"/>
          <w:numId w:val="7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Certain portfolio company investments are subject to contractual restrictions on sales.</w:t>
      </w:r>
    </w:p>
    <w:p>
      <w:pPr>
        <w:spacing w:after="0" w:line="28" w:lineRule="exact"/>
        <w:rPr>
          <w:rFonts w:ascii="Times New Roman" w:cs="Times New Roman" w:eastAsia="Times New Roman" w:hAnsi="Times New Roman"/>
          <w:sz w:val="20"/>
          <w:szCs w:val="20"/>
          <w:color w:val="4C4C4E"/>
        </w:rPr>
      </w:pPr>
    </w:p>
    <w:p>
      <w:pPr>
        <w:ind w:left="483" w:right="260" w:hanging="483"/>
        <w:spacing w:after="0"/>
        <w:tabs>
          <w:tab w:leader="none" w:pos="483" w:val="left"/>
        </w:tabs>
        <w:numPr>
          <w:ilvl w:val="0"/>
          <w:numId w:val="7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amortized cost represents the original cost adjusted for the amortization of discounts and premiums, as applicable, on debt investments using the effective interest method.</w:t>
      </w:r>
    </w:p>
    <w:p>
      <w:pPr>
        <w:ind w:left="483" w:right="100" w:hanging="483"/>
        <w:spacing w:after="0"/>
        <w:tabs>
          <w:tab w:leader="none" w:pos="483" w:val="left"/>
        </w:tabs>
        <w:numPr>
          <w:ilvl w:val="0"/>
          <w:numId w:val="7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2025.</w:t>
      </w:r>
    </w:p>
    <w:p>
      <w:pPr>
        <w:ind w:left="483" w:right="180" w:hanging="483"/>
        <w:spacing w:after="0"/>
        <w:tabs>
          <w:tab w:leader="none" w:pos="483" w:val="left"/>
        </w:tabs>
        <w:numPr>
          <w:ilvl w:val="0"/>
          <w:numId w:val="7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19.9% of total assets as of December 31, 2025.</w:t>
      </w:r>
    </w:p>
    <w:p>
      <w:pPr>
        <w:ind w:left="483" w:right="60" w:hanging="483"/>
        <w:spacing w:after="0"/>
        <w:tabs>
          <w:tab w:leader="none" w:pos="483" w:val="left"/>
        </w:tabs>
        <w:numPr>
          <w:ilvl w:val="0"/>
          <w:numId w:val="7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483" w:right="60" w:hanging="483"/>
        <w:spacing w:after="0" w:line="242" w:lineRule="auto"/>
        <w:tabs>
          <w:tab w:leader="none" w:pos="483" w:val="left"/>
        </w:tabs>
        <w:numPr>
          <w:ilvl w:val="0"/>
          <w:numId w:val="70"/>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2025 in which the issuer was an Affiliated Person of and was deemed to Control a portfolio company are as follows:</w:t>
      </w:r>
    </w:p>
    <w:p>
      <w:pPr>
        <w:spacing w:after="0" w:line="21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u w:val="single" w:color="auto"/>
          <w:color w:val="4C4C4E"/>
        </w:rPr>
        <w:t>Controlled, Affiliated Investments during the year ended December 31, 2025</w:t>
      </w:r>
    </w:p>
    <w:p>
      <w:pPr>
        <w:spacing w:after="0" w:line="266" w:lineRule="exact"/>
        <w:rPr>
          <w:sz w:val="20"/>
          <w:szCs w:val="20"/>
          <w:color w:val="auto"/>
        </w:rPr>
      </w:pPr>
    </w:p>
    <w:tbl>
      <w:tblPr>
        <w:tblLayout w:type="fixed"/>
        <w:tblInd w:w="563"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4C4C4E"/>
              </w:rPr>
              <w:t>Fair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4C4C4E"/>
              </w:rPr>
              <w:t>Fair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4C4C4E"/>
              </w:rPr>
              <w:t>Value at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4C4C4E"/>
              </w:rPr>
              <w:t>Gross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w w:val="99"/>
              </w:rPr>
              <w:t>Net Change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4C4C4E"/>
              </w:rPr>
              <w:t>Value at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4C4C4E"/>
                <w:w w:val="98"/>
              </w:rPr>
              <w:t>December 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67"/>
              <w:spacing w:after="0" w:line="176" w:lineRule="exact"/>
              <w:rPr>
                <w:sz w:val="20"/>
                <w:szCs w:val="20"/>
                <w:color w:val="auto"/>
              </w:rPr>
            </w:pPr>
            <w:r>
              <w:rPr>
                <w:rFonts w:ascii="Times New Roman" w:cs="Times New Roman" w:eastAsia="Times New Roman" w:hAnsi="Times New Roman"/>
                <w:sz w:val="16"/>
                <w:szCs w:val="16"/>
                <w:b w:val="1"/>
                <w:bCs w:val="1"/>
                <w:color w:val="4C4C4E"/>
              </w:rPr>
              <w:t>Gross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4C4C4E"/>
                <w:w w:val="93"/>
              </w:rPr>
              <w:t>In Unrealized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6"/>
          </w:tcPr>
          <w:p>
            <w:pPr>
              <w:jc w:val="right"/>
              <w:ind w:right="445"/>
              <w:spacing w:after="0" w:line="176" w:lineRule="exact"/>
              <w:rPr>
                <w:sz w:val="20"/>
                <w:szCs w:val="20"/>
                <w:color w:val="auto"/>
              </w:rPr>
            </w:pPr>
            <w:r>
              <w:rPr>
                <w:rFonts w:ascii="Times New Roman" w:cs="Times New Roman" w:eastAsia="Times New Roman" w:hAnsi="Times New Roman"/>
                <w:sz w:val="16"/>
                <w:szCs w:val="16"/>
                <w:b w:val="1"/>
                <w:bCs w:val="1"/>
                <w:color w:val="4C4C4E"/>
              </w:rPr>
              <w:t>Realized</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4C4C4E"/>
                <w:w w:val="98"/>
              </w:rPr>
              <w:t>December 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4C4C4E"/>
                <w:w w:val="92"/>
              </w:rPr>
              <w:t>Other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6"/>
                <w:szCs w:val="16"/>
                <w:b w:val="1"/>
                <w:bCs w:val="1"/>
                <w:color w:val="4C4C4E"/>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gridSpan w:val="4"/>
          </w:tcPr>
          <w:p>
            <w:pPr>
              <w:jc w:val="right"/>
              <w:ind w:right="638"/>
              <w:spacing w:after="0"/>
              <w:rPr>
                <w:sz w:val="20"/>
                <w:szCs w:val="20"/>
                <w:color w:val="auto"/>
              </w:rPr>
            </w:pPr>
            <w:r>
              <w:rPr>
                <w:rFonts w:ascii="Times New Roman" w:cs="Times New Roman" w:eastAsia="Times New Roman" w:hAnsi="Times New Roman"/>
                <w:sz w:val="16"/>
                <w:szCs w:val="16"/>
                <w:b w:val="1"/>
                <w:bCs w:val="1"/>
                <w:color w:val="4C4C4E"/>
              </w:rPr>
              <w:t>Company</w:t>
            </w: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4C4C4E"/>
                <w:w w:val="99"/>
              </w:rPr>
              <w:t>2024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4C4C4E"/>
              </w:rPr>
              <w:t>Additions (a) Reductions (b)</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w w:val="99"/>
              </w:rPr>
              <w:t>Gain/(Loss)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4C4C4E"/>
              </w:rPr>
              <w:t>Gain/(Loss)  Transfers</w:t>
            </w: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4C4C4E"/>
                <w:w w:val="99"/>
              </w:rPr>
              <w:t>2025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4C4C4E"/>
                <w:w w:val="90"/>
              </w:rPr>
              <w:t>Income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4C4C4E"/>
                <w:w w:val="98"/>
              </w:rPr>
              <w:t>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4C4C4E"/>
            </w:tcBorders>
          </w:tcPr>
          <w:p>
            <w:pPr>
              <w:spacing w:after="0"/>
              <w:rPr>
                <w:sz w:val="20"/>
                <w:szCs w:val="20"/>
                <w:color w:val="auto"/>
              </w:rPr>
            </w:pPr>
          </w:p>
        </w:tc>
        <w:tc>
          <w:tcPr>
            <w:tcW w:w="1780" w:type="dxa"/>
            <w:vAlign w:val="bottom"/>
            <w:tcBorders>
              <w:top w:val="single" w:sz="8" w:color="4C4C4E"/>
            </w:tcBorders>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w w:val="98"/>
                <w:shd w:val="clear" w:color="auto" w:fill="D8EEF4"/>
              </w:rPr>
              <w:t>IRGSE Holding Corp.</w:t>
            </w:r>
          </w:p>
        </w:tc>
        <w:tc>
          <w:tcPr>
            <w:tcW w:w="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1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shd w:val="clear" w:color="auto" w:fill="D8EEF4"/>
              </w:rPr>
              <w:t>$</w:t>
            </w:r>
          </w:p>
        </w:tc>
        <w:tc>
          <w:tcPr>
            <w:tcW w:w="8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65,095</w:t>
            </w:r>
          </w:p>
        </w:tc>
        <w:tc>
          <w:tcPr>
            <w:tcW w:w="4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12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w w:val="99"/>
                <w:shd w:val="clear" w:color="auto" w:fill="D8EEF4"/>
              </w:rPr>
              <w:t>$</w:t>
            </w:r>
          </w:p>
        </w:tc>
        <w:tc>
          <w:tcPr>
            <w:tcW w:w="7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11,630</w:t>
            </w:r>
          </w:p>
        </w:tc>
        <w:tc>
          <w:tcPr>
            <w:tcW w:w="4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160" w:type="dxa"/>
            <w:vAlign w:val="bottom"/>
            <w:tcBorders>
              <w:top w:val="single" w:sz="8" w:color="4C4C4E"/>
            </w:tcBorders>
            <w:shd w:val="clear" w:color="auto" w:fill="D8EEF4"/>
          </w:tcPr>
          <w:p>
            <w:pPr>
              <w:jc w:val="right"/>
              <w:ind w:right="45"/>
              <w:spacing w:after="0"/>
              <w:rPr>
                <w:sz w:val="20"/>
                <w:szCs w:val="20"/>
                <w:color w:val="auto"/>
              </w:rPr>
            </w:pPr>
            <w:r>
              <w:rPr>
                <w:rFonts w:ascii="Times New Roman" w:cs="Times New Roman" w:eastAsia="Times New Roman" w:hAnsi="Times New Roman"/>
                <w:sz w:val="11"/>
                <w:szCs w:val="11"/>
                <w:color w:val="4C4C4E"/>
                <w:w w:val="71"/>
              </w:rPr>
              <w:t>$</w:t>
            </w:r>
          </w:p>
        </w:tc>
        <w:tc>
          <w:tcPr>
            <w:tcW w:w="840" w:type="dxa"/>
            <w:vAlign w:val="bottom"/>
            <w:tcBorders>
              <w:top w:val="single" w:sz="8" w:color="4C4C4E"/>
            </w:tcBorders>
            <w:gridSpan w:val="2"/>
            <w:shd w:val="clear" w:color="auto" w:fill="D8EEF4"/>
          </w:tcPr>
          <w:p>
            <w:pPr>
              <w:ind w:left="280"/>
              <w:spacing w:after="0"/>
              <w:rPr>
                <w:sz w:val="20"/>
                <w:szCs w:val="20"/>
                <w:color w:val="auto"/>
              </w:rPr>
            </w:pPr>
            <w:r>
              <w:rPr>
                <w:rFonts w:ascii="Times New Roman" w:cs="Times New Roman" w:eastAsia="Times New Roman" w:hAnsi="Times New Roman"/>
                <w:sz w:val="20"/>
                <w:szCs w:val="20"/>
                <w:color w:val="4C4C4E"/>
                <w:w w:val="92"/>
              </w:rPr>
              <w:t>(5,310)</w:t>
            </w:r>
          </w:p>
        </w:tc>
        <w:tc>
          <w:tcPr>
            <w:tcW w:w="8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4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w:t>
            </w:r>
          </w:p>
        </w:tc>
        <w:tc>
          <w:tcPr>
            <w:tcW w:w="6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3,266</w:t>
            </w:r>
          </w:p>
        </w:tc>
        <w:tc>
          <w:tcPr>
            <w:tcW w:w="4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78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w w:val="99"/>
              </w:rPr>
              <w:t>$ (16,309</w:t>
            </w:r>
          </w:p>
        </w:tc>
        <w:tc>
          <w:tcPr>
            <w:tcW w:w="20" w:type="dxa"/>
            <w:vAlign w:val="bottom"/>
            <w:tcBorders>
              <w:top w:val="single" w:sz="8" w:color="4C4C4E"/>
            </w:tcBorders>
            <w:shd w:val="clear" w:color="auto" w:fill="D8EEF4"/>
          </w:tcPr>
          <w:p>
            <w:pPr>
              <w:spacing w:after="0"/>
              <w:rPr>
                <w:sz w:val="20"/>
                <w:szCs w:val="20"/>
                <w:color w:val="auto"/>
              </w:rPr>
            </w:pPr>
          </w:p>
        </w:tc>
        <w:tc>
          <w:tcPr>
            <w:tcW w:w="80" w:type="dxa"/>
            <w:vAlign w:val="bottom"/>
            <w:tcBorders>
              <w:top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8"/>
                <w:szCs w:val="8"/>
                <w:color w:val="4C4C4E"/>
                <w:w w:val="73"/>
                <w:shd w:val="clear" w:color="auto" w:fill="D8EEF4"/>
              </w:rPr>
              <w:t>)</w:t>
            </w:r>
          </w:p>
        </w:tc>
        <w:tc>
          <w:tcPr>
            <w:tcW w:w="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40" w:type="dxa"/>
            <w:vAlign w:val="bottom"/>
            <w:tcBorders>
              <w:top w:val="single" w:sz="8" w:color="4C4C4E"/>
            </w:tcBorders>
            <w:shd w:val="clear" w:color="auto" w:fill="D8EEF4"/>
          </w:tcPr>
          <w:p>
            <w:pPr>
              <w:jc w:val="right"/>
              <w:ind w:right="125"/>
              <w:spacing w:after="0"/>
              <w:rPr>
                <w:sz w:val="20"/>
                <w:szCs w:val="20"/>
                <w:color w:val="auto"/>
              </w:rPr>
            </w:pPr>
            <w:r>
              <w:rPr>
                <w:rFonts w:ascii="Times New Roman" w:cs="Times New Roman" w:eastAsia="Times New Roman" w:hAnsi="Times New Roman"/>
                <w:sz w:val="11"/>
                <w:szCs w:val="11"/>
                <w:color w:val="4C4C4E"/>
                <w:w w:val="71"/>
              </w:rPr>
              <w:t>$</w:t>
            </w:r>
          </w:p>
        </w:tc>
        <w:tc>
          <w:tcPr>
            <w:tcW w:w="420" w:type="dxa"/>
            <w:vAlign w:val="bottom"/>
            <w:tcBorders>
              <w:top w:val="single" w:sz="8" w:color="4C4C4E"/>
            </w:tcBorders>
            <w:gridSpan w:val="2"/>
            <w:shd w:val="clear" w:color="auto" w:fill="D8EEF4"/>
          </w:tcPr>
          <w:p>
            <w:pPr>
              <w:ind w:left="200"/>
              <w:spacing w:after="0"/>
              <w:rPr>
                <w:sz w:val="20"/>
                <w:szCs w:val="20"/>
                <w:color w:val="auto"/>
              </w:rPr>
            </w:pPr>
            <w:r>
              <w:rPr>
                <w:rFonts w:ascii="Times New Roman" w:cs="Times New Roman" w:eastAsia="Times New Roman" w:hAnsi="Times New Roman"/>
                <w:sz w:val="20"/>
                <w:szCs w:val="20"/>
                <w:color w:val="4C4C4E"/>
                <w:w w:val="99"/>
              </w:rPr>
              <w:t>—</w:t>
            </w:r>
          </w:p>
        </w:tc>
        <w:tc>
          <w:tcPr>
            <w:tcW w:w="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1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shd w:val="clear" w:color="auto" w:fill="D8EEF4"/>
              </w:rPr>
              <w:t>$</w:t>
            </w:r>
          </w:p>
        </w:tc>
        <w:tc>
          <w:tcPr>
            <w:tcW w:w="8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58,372</w:t>
            </w:r>
          </w:p>
        </w:tc>
        <w:tc>
          <w:tcPr>
            <w:tcW w:w="4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16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shd w:val="clear" w:color="auto" w:fill="D8EEF4"/>
              </w:rPr>
              <w:t>$</w:t>
            </w:r>
          </w:p>
        </w:tc>
        <w:tc>
          <w:tcPr>
            <w:tcW w:w="3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11</w:t>
            </w:r>
          </w:p>
        </w:tc>
        <w:tc>
          <w:tcPr>
            <w:tcW w:w="4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620" w:type="dxa"/>
            <w:vAlign w:val="bottom"/>
            <w:tcBorders>
              <w:top w:val="single" w:sz="8" w:color="4C4C4E"/>
            </w:tcBorders>
            <w:shd w:val="clear" w:color="auto" w:fill="D8EEF4"/>
          </w:tcPr>
          <w:p>
            <w:pPr>
              <w:jc w:val="center"/>
              <w:spacing w:after="0"/>
              <w:rPr>
                <w:sz w:val="20"/>
                <w:szCs w:val="20"/>
                <w:color w:val="auto"/>
              </w:rPr>
            </w:pPr>
            <w:r>
              <w:rPr>
                <w:rFonts w:ascii="Times New Roman" w:cs="Times New Roman" w:eastAsia="Times New Roman" w:hAnsi="Times New Roman"/>
                <w:sz w:val="20"/>
                <w:szCs w:val="20"/>
                <w:u w:val="single" w:color="auto"/>
                <w:color w:val="4C4C4E"/>
                <w:w w:val="95"/>
                <w:shd w:val="clear" w:color="auto" w:fill="D8EEF4"/>
              </w:rPr>
              <w:t>$</w:t>
            </w:r>
            <w:r>
              <w:rPr>
                <w:rFonts w:ascii="Times New Roman" w:cs="Times New Roman" w:eastAsia="Times New Roman" w:hAnsi="Times New Roman"/>
                <w:sz w:val="20"/>
                <w:szCs w:val="20"/>
                <w:color w:val="4C4C4E"/>
                <w:w w:val="95"/>
                <w:shd w:val="clear" w:color="auto" w:fill="D8EEF4"/>
              </w:rPr>
              <w:t>10,347</w:t>
            </w:r>
          </w:p>
        </w:tc>
        <w:tc>
          <w:tcPr>
            <w:tcW w:w="20" w:type="dxa"/>
            <w:vAlign w:val="bottom"/>
            <w:tcBorders>
              <w:top w:val="single" w:sz="8" w:color="4C4C4E"/>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1300" w:type="dxa"/>
            <w:vAlign w:val="bottom"/>
            <w:gridSpan w:val="2"/>
          </w:tcPr>
          <w:p>
            <w:pPr>
              <w:spacing w:after="0"/>
              <w:rPr>
                <w:sz w:val="20"/>
                <w:szCs w:val="20"/>
                <w:color w:val="auto"/>
              </w:rPr>
            </w:pPr>
          </w:p>
        </w:tc>
        <w:tc>
          <w:tcPr>
            <w:tcW w:w="140" w:type="dxa"/>
            <w:vAlign w:val="bottom"/>
            <w:tcBorders>
              <w:top w:val="single" w:sz="8" w:color="4C4C4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4C4C4E"/>
                <w:w w:val="79"/>
              </w:rPr>
              <w:t>$</w:t>
            </w:r>
          </w:p>
        </w:tc>
        <w:tc>
          <w:tcPr>
            <w:tcW w:w="82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20"/>
                <w:szCs w:val="20"/>
                <w:b w:val="1"/>
                <w:bCs w:val="1"/>
                <w:color w:val="4C4C4E"/>
              </w:rPr>
              <w:t>65,095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4C4C4E"/>
            </w:tcBorders>
            <w:gridSpan w:val="2"/>
          </w:tcPr>
          <w:p>
            <w:pPr>
              <w:spacing w:after="0"/>
              <w:rPr>
                <w:sz w:val="20"/>
                <w:szCs w:val="20"/>
                <w:color w:val="auto"/>
              </w:rPr>
            </w:pPr>
            <w:r>
              <w:rPr>
                <w:rFonts w:ascii="Times New Roman" w:cs="Times New Roman" w:eastAsia="Times New Roman" w:hAnsi="Times New Roman"/>
                <w:sz w:val="20"/>
                <w:szCs w:val="20"/>
                <w:b w:val="1"/>
                <w:bCs w:val="1"/>
                <w:color w:val="4C4C4E"/>
              </w:rPr>
              <w:t>$</w:t>
            </w:r>
          </w:p>
        </w:tc>
        <w:tc>
          <w:tcPr>
            <w:tcW w:w="74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20"/>
                <w:szCs w:val="20"/>
                <w:b w:val="1"/>
                <w:bCs w:val="1"/>
                <w:color w:val="4C4C4E"/>
              </w:rPr>
              <w:t>11,630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4C4C4E"/>
            </w:tcBorders>
            <w:gridSpan w:val="2"/>
          </w:tcPr>
          <w:p>
            <w:pPr>
              <w:jc w:val="right"/>
              <w:ind w:right="45"/>
              <w:spacing w:after="0"/>
              <w:rPr>
                <w:sz w:val="20"/>
                <w:szCs w:val="20"/>
                <w:color w:val="auto"/>
              </w:rPr>
            </w:pPr>
            <w:r>
              <w:rPr>
                <w:rFonts w:ascii="Times New Roman" w:cs="Times New Roman" w:eastAsia="Times New Roman" w:hAnsi="Times New Roman"/>
                <w:sz w:val="17"/>
                <w:szCs w:val="17"/>
                <w:b w:val="1"/>
                <w:bCs w:val="1"/>
                <w:color w:val="4C4C4E"/>
                <w:w w:val="70"/>
              </w:rPr>
              <w:t>$</w:t>
            </w:r>
          </w:p>
        </w:tc>
        <w:tc>
          <w:tcPr>
            <w:tcW w:w="820" w:type="dxa"/>
            <w:vAlign w:val="bottom"/>
            <w:tcBorders>
              <w:top w:val="single" w:sz="8" w:color="4C4C4E"/>
            </w:tcBorders>
          </w:tcPr>
          <w:p>
            <w:pPr>
              <w:ind w:left="280"/>
              <w:spacing w:after="0"/>
              <w:rPr>
                <w:sz w:val="20"/>
                <w:szCs w:val="20"/>
                <w:color w:val="auto"/>
              </w:rPr>
            </w:pPr>
            <w:r>
              <w:rPr>
                <w:rFonts w:ascii="Times New Roman" w:cs="Times New Roman" w:eastAsia="Times New Roman" w:hAnsi="Times New Roman"/>
                <w:sz w:val="20"/>
                <w:szCs w:val="20"/>
                <w:b w:val="1"/>
                <w:bCs w:val="1"/>
                <w:color w:val="4C4C4E"/>
              </w:rPr>
              <w:t>(5,310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4C4C4E"/>
                <w:w w:val="74"/>
              </w:rPr>
              <w:t>)</w:t>
            </w:r>
          </w:p>
        </w:tc>
        <w:tc>
          <w:tcPr>
            <w:tcW w:w="20" w:type="dxa"/>
            <w:vAlign w:val="bottom"/>
          </w:tcPr>
          <w:p>
            <w:pPr>
              <w:spacing w:after="0"/>
              <w:rPr>
                <w:sz w:val="20"/>
                <w:szCs w:val="20"/>
                <w:color w:val="auto"/>
              </w:rPr>
            </w:pPr>
          </w:p>
        </w:tc>
        <w:tc>
          <w:tcPr>
            <w:tcW w:w="260" w:type="dxa"/>
            <w:vAlign w:val="bottom"/>
            <w:tcBorders>
              <w:top w:val="single" w:sz="8" w:color="4C4C4E"/>
            </w:tcBorders>
            <w:gridSpan w:val="2"/>
          </w:tcPr>
          <w:p>
            <w:pPr>
              <w:spacing w:after="0"/>
              <w:rPr>
                <w:sz w:val="20"/>
                <w:szCs w:val="20"/>
                <w:color w:val="auto"/>
              </w:rPr>
            </w:pPr>
            <w:r>
              <w:rPr>
                <w:rFonts w:ascii="Times New Roman" w:cs="Times New Roman" w:eastAsia="Times New Roman" w:hAnsi="Times New Roman"/>
                <w:sz w:val="20"/>
                <w:szCs w:val="20"/>
                <w:b w:val="1"/>
                <w:bCs w:val="1"/>
                <w:color w:val="4C4C4E"/>
              </w:rPr>
              <w:t>$</w:t>
            </w:r>
          </w:p>
        </w:tc>
        <w:tc>
          <w:tcPr>
            <w:tcW w:w="66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20"/>
                <w:szCs w:val="20"/>
                <w:b w:val="1"/>
                <w:bCs w:val="1"/>
                <w:color w:val="4C4C4E"/>
              </w:rPr>
              <w:t>3,266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top w:val="single" w:sz="8" w:color="4C4C4E"/>
            </w:tcBorders>
            <w:gridSpan w:val="2"/>
          </w:tcPr>
          <w:p>
            <w:pPr>
              <w:spacing w:after="0"/>
              <w:rPr>
                <w:sz w:val="20"/>
                <w:szCs w:val="20"/>
                <w:color w:val="auto"/>
              </w:rPr>
            </w:pPr>
            <w:r>
              <w:rPr>
                <w:rFonts w:ascii="Times New Roman" w:cs="Times New Roman" w:eastAsia="Times New Roman" w:hAnsi="Times New Roman"/>
                <w:sz w:val="20"/>
                <w:szCs w:val="20"/>
                <w:b w:val="1"/>
                <w:bCs w:val="1"/>
                <w:color w:val="4C4C4E"/>
              </w:rPr>
              <w:t>$ (16,309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w w:val="74"/>
              </w:rPr>
              <w:t>)</w:t>
            </w:r>
          </w:p>
        </w:tc>
        <w:tc>
          <w:tcPr>
            <w:tcW w:w="20" w:type="dxa"/>
            <w:vAlign w:val="bottom"/>
          </w:tcPr>
          <w:p>
            <w:pPr>
              <w:spacing w:after="0"/>
              <w:rPr>
                <w:sz w:val="20"/>
                <w:szCs w:val="20"/>
                <w:color w:val="auto"/>
              </w:rPr>
            </w:pPr>
          </w:p>
        </w:tc>
        <w:tc>
          <w:tcPr>
            <w:tcW w:w="260" w:type="dxa"/>
            <w:vAlign w:val="bottom"/>
            <w:tcBorders>
              <w:top w:val="single" w:sz="8" w:color="4C4C4E"/>
            </w:tcBorders>
            <w:gridSpan w:val="2"/>
          </w:tcPr>
          <w:p>
            <w:pPr>
              <w:jc w:val="right"/>
              <w:ind w:right="125"/>
              <w:spacing w:after="0"/>
              <w:rPr>
                <w:sz w:val="20"/>
                <w:szCs w:val="20"/>
                <w:color w:val="auto"/>
              </w:rPr>
            </w:pPr>
            <w:r>
              <w:rPr>
                <w:rFonts w:ascii="Times New Roman" w:cs="Times New Roman" w:eastAsia="Times New Roman" w:hAnsi="Times New Roman"/>
                <w:sz w:val="17"/>
                <w:szCs w:val="17"/>
                <w:b w:val="1"/>
                <w:bCs w:val="1"/>
                <w:color w:val="4C4C4E"/>
                <w:w w:val="70"/>
              </w:rPr>
              <w:t>$</w:t>
            </w:r>
          </w:p>
        </w:tc>
        <w:tc>
          <w:tcPr>
            <w:tcW w:w="400" w:type="dxa"/>
            <w:vAlign w:val="bottom"/>
            <w:tcBorders>
              <w:top w:val="single" w:sz="8" w:color="4C4C4E"/>
            </w:tcBorders>
          </w:tcPr>
          <w:p>
            <w:pPr>
              <w:ind w:left="200"/>
              <w:spacing w:after="0"/>
              <w:rPr>
                <w:sz w:val="20"/>
                <w:szCs w:val="20"/>
                <w:color w:val="auto"/>
              </w:rPr>
            </w:pPr>
            <w:r>
              <w:rPr>
                <w:rFonts w:ascii="Times New Roman" w:cs="Times New Roman" w:eastAsia="Times New Roman" w:hAnsi="Times New Roman"/>
                <w:sz w:val="20"/>
                <w:szCs w:val="20"/>
                <w:b w:val="1"/>
                <w:bCs w:val="1"/>
                <w:color w:val="4C4C4E"/>
                <w:w w:val="89"/>
              </w:rPr>
              <w:t>—</w:t>
            </w:r>
          </w:p>
        </w:tc>
        <w:tc>
          <w:tcPr>
            <w:tcW w:w="40" w:type="dxa"/>
            <w:vAlign w:val="bottom"/>
            <w:gridSpan w:val="2"/>
          </w:tcPr>
          <w:p>
            <w:pPr>
              <w:spacing w:after="0"/>
              <w:rPr>
                <w:sz w:val="20"/>
                <w:szCs w:val="20"/>
                <w:color w:val="auto"/>
              </w:rPr>
            </w:pPr>
          </w:p>
        </w:tc>
        <w:tc>
          <w:tcPr>
            <w:tcW w:w="140" w:type="dxa"/>
            <w:vAlign w:val="bottom"/>
            <w:tcBorders>
              <w:top w:val="single" w:sz="8" w:color="4C4C4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4C4C4E"/>
                <w:w w:val="79"/>
              </w:rPr>
              <w:t>$</w:t>
            </w:r>
          </w:p>
        </w:tc>
        <w:tc>
          <w:tcPr>
            <w:tcW w:w="82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20"/>
                <w:szCs w:val="20"/>
                <w:b w:val="1"/>
                <w:bCs w:val="1"/>
                <w:color w:val="4C4C4E"/>
              </w:rPr>
              <w:t>58,372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4C4C4E"/>
            </w:tcBorders>
            <w:gridSpan w:val="2"/>
          </w:tcPr>
          <w:p>
            <w:pPr>
              <w:spacing w:after="0"/>
              <w:rPr>
                <w:sz w:val="20"/>
                <w:szCs w:val="20"/>
                <w:color w:val="auto"/>
              </w:rPr>
            </w:pPr>
            <w:r>
              <w:rPr>
                <w:rFonts w:ascii="Times New Roman" w:cs="Times New Roman" w:eastAsia="Times New Roman" w:hAnsi="Times New Roman"/>
                <w:sz w:val="20"/>
                <w:szCs w:val="20"/>
                <w:b w:val="1"/>
                <w:bCs w:val="1"/>
                <w:color w:val="4C4C4E"/>
              </w:rPr>
              <w:t>$</w:t>
            </w:r>
          </w:p>
        </w:tc>
        <w:tc>
          <w:tcPr>
            <w:tcW w:w="32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20"/>
                <w:szCs w:val="20"/>
                <w:b w:val="1"/>
                <w:bCs w:val="1"/>
                <w:color w:val="4C4C4E"/>
              </w:rPr>
              <w:t>11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top w:val="single" w:sz="8" w:color="4C4C4E"/>
            </w:tcBorders>
            <w:gridSpan w:val="2"/>
          </w:tcPr>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C4C4E"/>
                <w:w w:val="98"/>
              </w:rPr>
              <w:t>$</w:t>
            </w:r>
            <w:r>
              <w:rPr>
                <w:rFonts w:ascii="Times New Roman" w:cs="Times New Roman" w:eastAsia="Times New Roman" w:hAnsi="Times New Roman"/>
                <w:sz w:val="20"/>
                <w:szCs w:val="20"/>
                <w:b w:val="1"/>
                <w:bCs w:val="1"/>
                <w:color w:val="4C4C4E"/>
                <w:w w:val="98"/>
              </w:rPr>
              <w:t>10,347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120" w:type="dxa"/>
            <w:vAlign w:val="bottom"/>
            <w:tcBorders>
              <w:top w:val="single" w:sz="8" w:color="4C4C4E"/>
              <w:bottom w:val="single" w:sz="8" w:color="4C4C4E"/>
            </w:tcBorders>
          </w:tcPr>
          <w:p>
            <w:pPr>
              <w:spacing w:after="0" w:line="20" w:lineRule="exact"/>
              <w:rPr>
                <w:sz w:val="1"/>
                <w:szCs w:val="1"/>
                <w:color w:val="auto"/>
              </w:rPr>
            </w:pPr>
          </w:p>
        </w:tc>
        <w:tc>
          <w:tcPr>
            <w:tcW w:w="820" w:type="dxa"/>
            <w:vAlign w:val="bottom"/>
            <w:tcBorders>
              <w:top w:val="single" w:sz="8" w:color="4C4C4E"/>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120" w:type="dxa"/>
            <w:vAlign w:val="bottom"/>
            <w:tcBorders>
              <w:top w:val="single" w:sz="8" w:color="4C4C4E"/>
              <w:bottom w:val="single" w:sz="8" w:color="4C4C4E"/>
            </w:tcBorders>
          </w:tcPr>
          <w:p>
            <w:pPr>
              <w:spacing w:after="0" w:line="20" w:lineRule="exact"/>
              <w:rPr>
                <w:sz w:val="1"/>
                <w:szCs w:val="1"/>
                <w:color w:val="auto"/>
              </w:rPr>
            </w:pPr>
          </w:p>
        </w:tc>
        <w:tc>
          <w:tcPr>
            <w:tcW w:w="740" w:type="dxa"/>
            <w:vAlign w:val="bottom"/>
            <w:tcBorders>
              <w:top w:val="single" w:sz="8" w:color="4C4C4E"/>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160" w:type="dxa"/>
            <w:vAlign w:val="bottom"/>
            <w:tcBorders>
              <w:top w:val="single" w:sz="8" w:color="4C4C4E"/>
              <w:bottom w:val="single" w:sz="8" w:color="4C4C4E"/>
            </w:tcBorders>
          </w:tcPr>
          <w:p>
            <w:pPr>
              <w:spacing w:after="0" w:line="20" w:lineRule="exact"/>
              <w:rPr>
                <w:sz w:val="1"/>
                <w:szCs w:val="1"/>
                <w:color w:val="auto"/>
              </w:rPr>
            </w:pPr>
          </w:p>
        </w:tc>
        <w:tc>
          <w:tcPr>
            <w:tcW w:w="8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40" w:type="dxa"/>
            <w:vAlign w:val="bottom"/>
            <w:tcBorders>
              <w:top w:val="single" w:sz="8" w:color="4C4C4E"/>
              <w:bottom w:val="single" w:sz="8" w:color="4C4C4E"/>
            </w:tcBorders>
          </w:tcPr>
          <w:p>
            <w:pPr>
              <w:spacing w:after="0" w:line="20" w:lineRule="exact"/>
              <w:rPr>
                <w:sz w:val="1"/>
                <w:szCs w:val="1"/>
                <w:color w:val="auto"/>
              </w:rPr>
            </w:pPr>
          </w:p>
        </w:tc>
        <w:tc>
          <w:tcPr>
            <w:tcW w:w="660" w:type="dxa"/>
            <w:vAlign w:val="bottom"/>
            <w:tcBorders>
              <w:top w:val="single" w:sz="8" w:color="4C4C4E"/>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78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40" w:type="dxa"/>
            <w:vAlign w:val="bottom"/>
            <w:tcBorders>
              <w:top w:val="single" w:sz="8" w:color="4C4C4E"/>
              <w:bottom w:val="single" w:sz="8" w:color="4C4C4E"/>
            </w:tcBorders>
          </w:tcPr>
          <w:p>
            <w:pPr>
              <w:spacing w:after="0" w:line="20" w:lineRule="exact"/>
              <w:rPr>
                <w:sz w:val="1"/>
                <w:szCs w:val="1"/>
                <w:color w:val="auto"/>
              </w:rPr>
            </w:pPr>
          </w:p>
        </w:tc>
        <w:tc>
          <w:tcPr>
            <w:tcW w:w="40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120" w:type="dxa"/>
            <w:vAlign w:val="bottom"/>
            <w:tcBorders>
              <w:top w:val="single" w:sz="8" w:color="4C4C4E"/>
              <w:bottom w:val="single" w:sz="8" w:color="4C4C4E"/>
            </w:tcBorders>
          </w:tcPr>
          <w:p>
            <w:pPr>
              <w:spacing w:after="0" w:line="20" w:lineRule="exact"/>
              <w:rPr>
                <w:sz w:val="1"/>
                <w:szCs w:val="1"/>
                <w:color w:val="auto"/>
              </w:rPr>
            </w:pPr>
          </w:p>
        </w:tc>
        <w:tc>
          <w:tcPr>
            <w:tcW w:w="820" w:type="dxa"/>
            <w:vAlign w:val="bottom"/>
            <w:tcBorders>
              <w:top w:val="single" w:sz="8" w:color="4C4C4E"/>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160" w:type="dxa"/>
            <w:vAlign w:val="bottom"/>
            <w:tcBorders>
              <w:top w:val="single" w:sz="8" w:color="4C4C4E"/>
              <w:bottom w:val="single" w:sz="8" w:color="4C4C4E"/>
            </w:tcBorders>
          </w:tcPr>
          <w:p>
            <w:pPr>
              <w:spacing w:after="0" w:line="20" w:lineRule="exact"/>
              <w:rPr>
                <w:sz w:val="1"/>
                <w:szCs w:val="1"/>
                <w:color w:val="auto"/>
              </w:rPr>
            </w:pPr>
          </w:p>
        </w:tc>
        <w:tc>
          <w:tcPr>
            <w:tcW w:w="320" w:type="dxa"/>
            <w:vAlign w:val="bottom"/>
            <w:tcBorders>
              <w:top w:val="single" w:sz="8" w:color="4C4C4E"/>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6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983" w:right="40" w:hanging="494"/>
        <w:spacing w:after="0" w:line="254" w:lineRule="auto"/>
        <w:tabs>
          <w:tab w:leader="none" w:pos="983" w:val="left"/>
        </w:tabs>
        <w:numPr>
          <w:ilvl w:val="0"/>
          <w:numId w:val="7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Times New Roman" w:cs="Times New Roman" w:eastAsia="Times New Roman" w:hAnsi="Times New Roman"/>
          <w:sz w:val="20"/>
          <w:szCs w:val="20"/>
          <w:color w:val="4C4C4E"/>
        </w:rPr>
      </w:pPr>
    </w:p>
    <w:p>
      <w:pPr>
        <w:ind w:left="983" w:right="640" w:hanging="493"/>
        <w:spacing w:after="0" w:line="274" w:lineRule="auto"/>
        <w:tabs>
          <w:tab w:leader="none" w:pos="983" w:val="left"/>
        </w:tabs>
        <w:numPr>
          <w:ilvl w:val="0"/>
          <w:numId w:val="71"/>
        </w:numPr>
        <w:rPr>
          <w:rFonts w:ascii="Times New Roman" w:cs="Times New Roman" w:eastAsia="Times New Roman" w:hAnsi="Times New Roman"/>
          <w:sz w:val="19"/>
          <w:szCs w:val="19"/>
          <w:color w:val="4C4C4E"/>
        </w:rPr>
      </w:pPr>
      <w:r>
        <w:rPr>
          <w:rFonts w:ascii="Times New Roman" w:cs="Times New Roman" w:eastAsia="Times New Roman" w:hAnsi="Times New Roman"/>
          <w:sz w:val="19"/>
          <w:szCs w:val="19"/>
          <w:color w:val="4C4C4E"/>
        </w:rPr>
        <w:t>Gross reductions include decreases in the cost basis of investments resulting from principal collections related to investment repayments or sales, and the amortization of any premiums on debt investments, as applicable. When an</w:t>
      </w:r>
    </w:p>
    <w:p>
      <w:pPr>
        <w:sectPr>
          <w:pgSz w:w="11880" w:h="15480" w:orient="portrait"/>
          <w:cols w:equalWidth="0" w:num="1">
            <w:col w:w="10883"/>
          </w:cols>
          <w:pgMar w:left="497" w:top="1040" w:right="5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4C4C4E"/>
        </w:rPr>
        <w:t>F-14</w:t>
      </w:r>
    </w:p>
    <w:p>
      <w:pPr>
        <w:sectPr>
          <w:pgSz w:w="11880" w:h="15480" w:orient="portrait"/>
          <w:cols w:equalWidth="0" w:num="1">
            <w:col w:w="10883"/>
          </w:cols>
          <w:pgMar w:left="497" w:top="1040" w:right="500" w:bottom="6" w:gutter="0" w:footer="0" w:header="0"/>
          <w:type w:val="continuous"/>
        </w:sectPr>
      </w:pPr>
    </w:p>
    <w:bookmarkStart w:id="103" w:name="page104"/>
    <w:bookmarkEnd w:id="103"/>
    <w:p>
      <w:pPr>
        <w:ind w:left="983" w:right="700"/>
        <w:spacing w:after="0" w:line="277" w:lineRule="auto"/>
        <w:rPr>
          <w:sz w:val="20"/>
          <w:szCs w:val="20"/>
          <w:color w:val="auto"/>
        </w:rPr>
      </w:pPr>
      <w:r>
        <w:rPr>
          <w:rFonts w:ascii="Times New Roman" w:cs="Times New Roman" w:eastAsia="Times New Roman" w:hAnsi="Times New Roman"/>
          <w:sz w:val="20"/>
          <w:szCs w:val="20"/>
          <w:color w:val="4C4C4E"/>
        </w:rPr>
        <w:t>investment is placed on non-accrual status, any cash flows received by the Company are applied to the outstanding principal balance.</w:t>
      </w:r>
    </w:p>
    <w:p>
      <w:pPr>
        <w:spacing w:after="0" w:line="159" w:lineRule="exact"/>
        <w:rPr>
          <w:sz w:val="20"/>
          <w:szCs w:val="20"/>
          <w:color w:val="auto"/>
        </w:rPr>
      </w:pPr>
    </w:p>
    <w:p>
      <w:pPr>
        <w:ind w:left="483" w:right="500" w:hanging="483"/>
        <w:spacing w:after="0" w:line="254" w:lineRule="auto"/>
        <w:tabs>
          <w:tab w:leader="none" w:pos="483" w:val="left"/>
        </w:tabs>
        <w:numPr>
          <w:ilvl w:val="0"/>
          <w:numId w:val="7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As of December 31, 2025, the estimated cost basis of investments for U.S. federal tax purposes was $3,332,367 resulting in estimated gross unrealized gains and losses of $219,540 and $231,975, respectively.</w:t>
      </w:r>
    </w:p>
    <w:p>
      <w:pPr>
        <w:spacing w:after="0" w:line="1" w:lineRule="exact"/>
        <w:rPr>
          <w:rFonts w:ascii="Times New Roman" w:cs="Times New Roman" w:eastAsia="Times New Roman" w:hAnsi="Times New Roman"/>
          <w:sz w:val="20"/>
          <w:szCs w:val="20"/>
          <w:color w:val="4C4C4E"/>
        </w:rPr>
      </w:pPr>
    </w:p>
    <w:p>
      <w:pPr>
        <w:ind w:left="483" w:hanging="483"/>
        <w:spacing w:after="0"/>
        <w:tabs>
          <w:tab w:leader="none" w:pos="483" w:val="left"/>
        </w:tabs>
        <w:numPr>
          <w:ilvl w:val="0"/>
          <w:numId w:val="7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ind w:left="483" w:right="380" w:hanging="483"/>
        <w:spacing w:after="0"/>
        <w:tabs>
          <w:tab w:leader="none" w:pos="483" w:val="left"/>
        </w:tabs>
        <w:numPr>
          <w:ilvl w:val="0"/>
          <w:numId w:val="7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This investment is valued using observable inputs and is considered a Level 2 investment. See Note 6 for further information related to investments at fair value.</w:t>
      </w:r>
    </w:p>
    <w:p>
      <w:pPr>
        <w:ind w:left="483" w:right="380" w:hanging="483"/>
        <w:spacing w:after="0"/>
        <w:tabs>
          <w:tab w:leader="none" w:pos="483" w:val="left"/>
        </w:tabs>
        <w:numPr>
          <w:ilvl w:val="0"/>
          <w:numId w:val="7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This investment is valued using observable inputs and is considered a Level 1 investment. See Note 6 for further information related to investments at fair value.</w:t>
      </w:r>
    </w:p>
    <w:p>
      <w:pPr>
        <w:ind w:left="483" w:hanging="483"/>
        <w:spacing w:after="0"/>
        <w:tabs>
          <w:tab w:leader="none" w:pos="483" w:val="left"/>
        </w:tabs>
        <w:numPr>
          <w:ilvl w:val="0"/>
          <w:numId w:val="7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This investment is non-income producing.</w:t>
      </w:r>
    </w:p>
    <w:p>
      <w:pPr>
        <w:ind w:left="483" w:right="60" w:hanging="483"/>
        <w:spacing w:after="0"/>
        <w:tabs>
          <w:tab w:leader="none" w:pos="483" w:val="left"/>
        </w:tabs>
        <w:numPr>
          <w:ilvl w:val="0"/>
          <w:numId w:val="7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All or a portion of this security was acquired in a transaction exempt from registration under the Securities Act of 1933, and may be deemed to be “restricted securities” under the Securities Act. As of December 31, 2025, the aggregate fair value of these securities is $18,527, or 1.2% of the Company’s net assets.</w:t>
      </w:r>
    </w:p>
    <w:p>
      <w:pPr>
        <w:ind w:left="483" w:hanging="483"/>
        <w:spacing w:after="0"/>
        <w:tabs>
          <w:tab w:leader="none" w:pos="483" w:val="left"/>
        </w:tabs>
        <w:numPr>
          <w:ilvl w:val="0"/>
          <w:numId w:val="7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Ownership of equity investments may occur through a holding company or partnership.</w:t>
      </w:r>
    </w:p>
    <w:p>
      <w:pPr>
        <w:ind w:left="483" w:hanging="483"/>
        <w:spacing w:after="0"/>
        <w:tabs>
          <w:tab w:leader="none" w:pos="483" w:val="left"/>
        </w:tabs>
        <w:numPr>
          <w:ilvl w:val="0"/>
          <w:numId w:val="7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Investment is on non-accrual status as of December 31, 2025.</w:t>
      </w:r>
    </w:p>
    <w:p>
      <w:pPr>
        <w:ind w:left="483" w:right="60" w:hanging="483"/>
        <w:spacing w:after="0" w:line="242" w:lineRule="auto"/>
        <w:tabs>
          <w:tab w:leader="none" w:pos="483" w:val="left"/>
        </w:tabs>
        <w:numPr>
          <w:ilvl w:val="0"/>
          <w:numId w:val="7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 addition to the principal amount outstanding and accrued interest owed on this investment, the Company is entitled to a separate Make-Whole Amount (the “Make-Whole”) of $15.9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78"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20"/>
          <w:szCs w:val="20"/>
          <w:color w:val="4C4C4E"/>
        </w:rPr>
        <w:t>The accompanying notes are an integral part of these consolidated financial statements.</w:t>
      </w:r>
    </w:p>
    <w:p>
      <w:pPr>
        <w:sectPr>
          <w:pgSz w:w="11880" w:h="15480" w:orient="portrait"/>
          <w:cols w:equalWidth="0" w:num="1">
            <w:col w:w="10863"/>
          </w:cols>
          <w:pgMar w:left="497" w:top="750" w:right="5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9"/>
          <w:szCs w:val="19"/>
          <w:color w:val="4C4C4E"/>
        </w:rPr>
        <w:t>F-15</w:t>
      </w:r>
    </w:p>
    <w:p>
      <w:pPr>
        <w:sectPr>
          <w:pgSz w:w="11880" w:h="15480" w:orient="portrait"/>
          <w:cols w:equalWidth="0" w:num="1">
            <w:col w:w="10863"/>
          </w:cols>
          <w:pgMar w:left="497" w:top="750" w:right="520" w:bottom="6" w:gutter="0" w:footer="0" w:header="0"/>
          <w:type w:val="continuous"/>
        </w:sectPr>
      </w:pPr>
    </w:p>
    <w:bookmarkStart w:id="104" w:name="page105"/>
    <w:bookmarkEnd w:id="104"/>
    <w:p>
      <w:pPr>
        <w:jc w:val="center"/>
        <w:ind w:left="1820" w:right="1820"/>
        <w:spacing w:after="0" w:line="263" w:lineRule="auto"/>
        <w:rPr>
          <w:sz w:val="20"/>
          <w:szCs w:val="20"/>
          <w:color w:val="auto"/>
        </w:rPr>
      </w:pPr>
      <w:r>
        <w:rPr>
          <w:rFonts w:ascii="Times New Roman" w:cs="Times New Roman" w:eastAsia="Times New Roman" w:hAnsi="Times New Roman"/>
          <w:sz w:val="20"/>
          <w:szCs w:val="20"/>
          <w:b w:val="1"/>
          <w:bCs w:val="1"/>
          <w:color w:val="4C4C4E"/>
        </w:rPr>
        <w:t>Sixth Street Specialty Lending, Inc. Consolidated Schedule of Investments as of December 31, 2024 (Amounts in thousands, except share amounts)</w:t>
      </w:r>
    </w:p>
    <w:p>
      <w:pPr>
        <w:sectPr>
          <w:pgSz w:w="11880" w:h="15480" w:orient="portrait"/>
          <w:cols w:equalWidth="0" w:num="1">
            <w:col w:w="9000"/>
          </w:cols>
          <w:pgMar w:left="1440" w:top="746" w:right="14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F-16</w:t>
      </w:r>
    </w:p>
    <w:p>
      <w:pPr>
        <w:sectPr>
          <w:pgSz w:w="11880" w:h="15480" w:orient="portrait"/>
          <w:cols w:equalWidth="0" w:num="1">
            <w:col w:w="9000"/>
          </w:cols>
          <w:pgMar w:left="1440" w:top="746" w:right="1440" w:bottom="6"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72"/>
        </w:trPr>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4C4C4E"/>
              </w:rPr>
              <w:t>Initial</w:t>
            </w:r>
          </w:p>
        </w:tc>
        <w:tc>
          <w:tcPr>
            <w:tcW w:w="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4C4C4E"/>
                <w:w w:val="99"/>
              </w:rPr>
              <w:t>Reference</w:t>
            </w: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4C4C4E"/>
                <w:w w:val="98"/>
              </w:rPr>
              <w:t>Acquisition</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4C4C4E"/>
              </w:rPr>
              <w:t>Rate and</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4C4C4E"/>
              </w:rPr>
              <w:t>Amortized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b w:val="1"/>
                <w:bCs w:val="1"/>
                <w:color w:val="4C4C4E"/>
              </w:rPr>
              <w:t>Percentage</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Company (1)</w:t>
            </w:r>
          </w:p>
        </w:tc>
        <w:tc>
          <w:tcPr>
            <w:tcW w:w="20" w:type="dxa"/>
            <w:vAlign w:val="bottom"/>
          </w:tcPr>
          <w:p>
            <w:pPr>
              <w:spacing w:after="0"/>
              <w:rPr>
                <w:sz w:val="16"/>
                <w:szCs w:val="16"/>
                <w:color w:val="auto"/>
              </w:rPr>
            </w:pPr>
          </w:p>
        </w:tc>
        <w:tc>
          <w:tcPr>
            <w:tcW w:w="1980" w:type="dxa"/>
            <w:vAlign w:val="bottom"/>
          </w:tcPr>
          <w:p>
            <w:pPr>
              <w:ind w:left="620"/>
              <w:spacing w:after="0"/>
              <w:rPr>
                <w:sz w:val="20"/>
                <w:szCs w:val="20"/>
                <w:color w:val="auto"/>
              </w:rPr>
            </w:pPr>
            <w:r>
              <w:rPr>
                <w:rFonts w:ascii="Times New Roman" w:cs="Times New Roman" w:eastAsia="Times New Roman" w:hAnsi="Times New Roman"/>
                <w:sz w:val="15"/>
                <w:szCs w:val="15"/>
                <w:b w:val="1"/>
                <w:bCs w:val="1"/>
                <w:color w:val="4C4C4E"/>
              </w:rPr>
              <w:t>Investment</w:t>
            </w:r>
          </w:p>
        </w:tc>
        <w:tc>
          <w:tcPr>
            <w:tcW w:w="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4C4C4E"/>
                <w:w w:val="99"/>
              </w:rPr>
              <w:t>Date</w:t>
            </w:r>
          </w:p>
        </w:tc>
        <w:tc>
          <w:tcPr>
            <w:tcW w:w="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4C4C4E"/>
              </w:rPr>
              <w:t>Spread</w:t>
            </w:r>
          </w:p>
        </w:tc>
        <w:tc>
          <w:tcPr>
            <w:tcW w:w="160" w:type="dxa"/>
            <w:vAlign w:val="bottom"/>
          </w:tcPr>
          <w:p>
            <w:pPr>
              <w:spacing w:after="0"/>
              <w:rPr>
                <w:sz w:val="16"/>
                <w:szCs w:val="16"/>
                <w:color w:val="auto"/>
              </w:rPr>
            </w:pP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4C4C4E"/>
              </w:rPr>
              <w:t>Interest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4C4C4E"/>
              </w:rPr>
              <w:t>Cost (2)(7)</w:t>
            </w:r>
          </w:p>
        </w:tc>
        <w:tc>
          <w:tcPr>
            <w:tcW w:w="40" w:type="dxa"/>
            <w:vAlign w:val="bottom"/>
          </w:tcPr>
          <w:p>
            <w:pPr>
              <w:spacing w:after="0"/>
              <w:rPr>
                <w:sz w:val="16"/>
                <w:szCs w:val="16"/>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4C4C4E"/>
              </w:rPr>
              <w:t>Fair Value (8) of Net Assets</w:t>
            </w:r>
          </w:p>
        </w:tc>
        <w:tc>
          <w:tcPr>
            <w:tcW w:w="0" w:type="dxa"/>
            <w:vAlign w:val="bottom"/>
          </w:tcPr>
          <w:p>
            <w:pPr>
              <w:spacing w:after="0"/>
              <w:rPr>
                <w:sz w:val="1"/>
                <w:szCs w:val="1"/>
                <w:color w:val="auto"/>
              </w:rPr>
            </w:pPr>
          </w:p>
        </w:tc>
      </w:tr>
      <w:tr>
        <w:trPr>
          <w:trHeight w:val="181"/>
        </w:trPr>
        <w:tc>
          <w:tcPr>
            <w:tcW w:w="2140" w:type="dxa"/>
            <w:vAlign w:val="bottom"/>
            <w:tcBorders>
              <w:top w:val="single" w:sz="8" w:color="4C4C4E"/>
            </w:tcBorders>
          </w:tcPr>
          <w:p>
            <w:pPr>
              <w:spacing w:after="0"/>
              <w:rPr>
                <w:sz w:val="20"/>
                <w:szCs w:val="20"/>
                <w:color w:val="auto"/>
              </w:rPr>
            </w:pPr>
            <w:r>
              <w:rPr>
                <w:rFonts w:ascii="Times New Roman" w:cs="Times New Roman" w:eastAsia="Times New Roman" w:hAnsi="Times New Roman"/>
                <w:sz w:val="15"/>
                <w:szCs w:val="15"/>
                <w:b w:val="1"/>
                <w:bCs w:val="1"/>
                <w:color w:val="4C4C4E"/>
              </w:rPr>
              <w:t>Debt Investments</w:t>
            </w:r>
          </w:p>
        </w:tc>
        <w:tc>
          <w:tcPr>
            <w:tcW w:w="20" w:type="dxa"/>
            <w:vAlign w:val="bottom"/>
          </w:tcPr>
          <w:p>
            <w:pPr>
              <w:spacing w:after="0"/>
              <w:rPr>
                <w:sz w:val="15"/>
                <w:szCs w:val="15"/>
                <w:color w:val="auto"/>
              </w:rPr>
            </w:pPr>
          </w:p>
        </w:tc>
        <w:tc>
          <w:tcPr>
            <w:tcW w:w="1980" w:type="dxa"/>
            <w:vAlign w:val="bottom"/>
            <w:tcBorders>
              <w:top w:val="single" w:sz="8" w:color="4C4C4E"/>
            </w:tcBorders>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4C4C4E"/>
            </w:tcBorders>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4C4C4E"/>
            </w:tcBorders>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Borders>
              <w:top w:val="single" w:sz="8" w:color="4C4C4E"/>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4C4C4E"/>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4C4C4E"/>
            </w:tcBorders>
          </w:tcPr>
          <w:p>
            <w:pPr>
              <w:spacing w:after="0"/>
              <w:rPr>
                <w:sz w:val="15"/>
                <w:szCs w:val="15"/>
                <w:color w:val="auto"/>
              </w:rPr>
            </w:pPr>
          </w:p>
        </w:tc>
        <w:tc>
          <w:tcPr>
            <w:tcW w:w="840" w:type="dxa"/>
            <w:vAlign w:val="bottom"/>
            <w:tcBorders>
              <w:top w:val="single" w:sz="8" w:color="4C4C4E"/>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top w:val="single" w:sz="8" w:color="4C4C4E"/>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4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Automotive</w:t>
            </w:r>
          </w:p>
        </w:tc>
        <w:tc>
          <w:tcPr>
            <w:tcW w:w="20" w:type="dxa"/>
            <w:vAlign w:val="bottom"/>
            <w:shd w:val="clear" w:color="auto" w:fill="D8EEF4"/>
          </w:tcPr>
          <w:p>
            <w:pPr>
              <w:spacing w:after="0"/>
              <w:rPr>
                <w:sz w:val="16"/>
                <w:szCs w:val="16"/>
                <w:color w:val="auto"/>
              </w:rPr>
            </w:pPr>
          </w:p>
        </w:tc>
        <w:tc>
          <w:tcPr>
            <w:tcW w:w="19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Truck-Lite Co., LLC </w:t>
            </w:r>
            <w:r>
              <w:rPr>
                <w:rFonts w:ascii="Times New Roman" w:cs="Times New Roman" w:eastAsia="Times New Roman" w:hAnsi="Times New Roman"/>
                <w:sz w:val="19"/>
                <w:szCs w:val="19"/>
                <w:color w:val="4C4C4E"/>
                <w:vertAlign w:val="superscript"/>
              </w:rPr>
              <w:t>(3)</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($40,134 par, due</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2/13/2024</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10.27%</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   39,707</w:t>
            </w:r>
          </w:p>
        </w:tc>
        <w:tc>
          <w:tcPr>
            <w:tcW w:w="22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5"/>
                <w:szCs w:val="15"/>
                <w:color w:val="4C4C4E"/>
                <w:w w:val="79"/>
              </w:rPr>
              <w:t>$</w:t>
            </w: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40,256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4C4C4E"/>
              </w:rPr>
              <w:t>2/2031)</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4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Business Services</w:t>
            </w:r>
          </w:p>
        </w:tc>
        <w:tc>
          <w:tcPr>
            <w:tcW w:w="20" w:type="dxa"/>
            <w:vAlign w:val="bottom"/>
            <w:shd w:val="clear" w:color="auto" w:fill="D8EEF4"/>
          </w:tcPr>
          <w:p>
            <w:pPr>
              <w:spacing w:after="0"/>
              <w:rPr>
                <w:sz w:val="16"/>
                <w:szCs w:val="16"/>
                <w:color w:val="auto"/>
              </w:rPr>
            </w:pPr>
          </w:p>
        </w:tc>
        <w:tc>
          <w:tcPr>
            <w:tcW w:w="19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Alpha Midco, Inc. </w:t>
            </w:r>
            <w:r>
              <w:rPr>
                <w:rFonts w:ascii="Times New Roman" w:cs="Times New Roman" w:eastAsia="Times New Roman" w:hAnsi="Times New Roman"/>
                <w:sz w:val="19"/>
                <w:szCs w:val="19"/>
                <w:color w:val="4C4C4E"/>
                <w:vertAlign w:val="superscript"/>
              </w:rPr>
              <w:t>(3)(5)</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($69,624 par, due</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8/15/2019</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+ 6.88%</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11.20%</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69,361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69,975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4C4C4E"/>
              </w:rPr>
              <w:t>8/2028)</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Artisan Bidco, Inc.</w:t>
            </w:r>
            <w:r>
              <w:rPr>
                <w:rFonts w:ascii="Times New Roman" w:cs="Times New Roman" w:eastAsia="Times New Roman" w:hAnsi="Times New Roman"/>
                <w:sz w:val="19"/>
                <w:szCs w:val="19"/>
                <w:color w:val="4C4C4E"/>
                <w:vertAlign w:val="superscript"/>
              </w:rPr>
              <w:t>(3)</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($38,830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11/7/2023</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11.39%</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38,090</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38,830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00" w:type="dxa"/>
            <w:vAlign w:val="bottom"/>
            <w:gridSpan w:val="2"/>
            <w:shd w:val="clear" w:color="auto" w:fill="D8EEF4"/>
          </w:tcPr>
          <w:p>
            <w:pPr>
              <w:ind w:left="20"/>
              <w:spacing w:after="0"/>
              <w:rPr>
                <w:sz w:val="20"/>
                <w:szCs w:val="20"/>
                <w:color w:val="auto"/>
              </w:rPr>
            </w:pPr>
            <w:r>
              <w:rPr>
                <w:rFonts w:ascii="Times New Roman" w:cs="Times New Roman" w:eastAsia="Times New Roman" w:hAnsi="Times New Roman"/>
                <w:sz w:val="15"/>
                <w:szCs w:val="15"/>
                <w:color w:val="4C4C4E"/>
              </w:rPr>
              <w:t>11/2029)</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17,558 par,</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11/7/2023</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E + 7.00%</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10.05%</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18,544</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18,181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5"/>
                <w:szCs w:val="15"/>
                <w:color w:val="4C4C4E"/>
              </w:rPr>
              <w:t>due 11/2029)</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(EUR 17,558)</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Azurite Intermediate Holdings,</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($42,750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3/19/2024</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10.86%</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42,029</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42,513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Inc. </w:t>
            </w:r>
            <w:r>
              <w:rPr>
                <w:rFonts w:ascii="Times New Roman" w:cs="Times New Roman" w:eastAsia="Times New Roman" w:hAnsi="Times New Roman"/>
                <w:sz w:val="20"/>
                <w:szCs w:val="20"/>
                <w:color w:val="4C4C4E"/>
                <w:vertAlign w:val="superscript"/>
              </w:rPr>
              <w:t>(3)</w:t>
            </w:r>
          </w:p>
        </w:tc>
        <w:tc>
          <w:tcPr>
            <w:tcW w:w="2000" w:type="dxa"/>
            <w:vAlign w:val="bottom"/>
            <w:gridSpan w:val="2"/>
            <w:shd w:val="clear" w:color="auto" w:fill="D8EEF4"/>
          </w:tcPr>
          <w:p>
            <w:pPr>
              <w:ind w:left="20"/>
              <w:spacing w:after="0"/>
              <w:rPr>
                <w:sz w:val="20"/>
                <w:szCs w:val="20"/>
                <w:color w:val="auto"/>
              </w:rPr>
            </w:pPr>
            <w:r>
              <w:rPr>
                <w:rFonts w:ascii="Times New Roman" w:cs="Times New Roman" w:eastAsia="Times New Roman" w:hAnsi="Times New Roman"/>
                <w:sz w:val="15"/>
                <w:szCs w:val="15"/>
                <w:color w:val="4C4C4E"/>
              </w:rPr>
              <w:t>3/2031)</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BCTO Ignition Purchaser, Inc. </w:t>
            </w:r>
            <w:r>
              <w:rPr>
                <w:rFonts w:ascii="Times New Roman" w:cs="Times New Roman" w:eastAsia="Times New Roman" w:hAnsi="Times New Roman"/>
                <w:sz w:val="19"/>
                <w:szCs w:val="19"/>
                <w:color w:val="4C4C4E"/>
                <w:vertAlign w:val="superscript"/>
              </w:rPr>
              <w:t>(3)</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holdco loan ($36,231</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4/18/2023</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+ 8.50%</w:t>
            </w:r>
          </w:p>
        </w:tc>
        <w:tc>
          <w:tcPr>
            <w:tcW w:w="160" w:type="dxa"/>
            <w:vAlign w:val="bottom"/>
          </w:tcPr>
          <w:p>
            <w:pPr>
              <w:spacing w:after="0"/>
              <w:rPr>
                <w:sz w:val="14"/>
                <w:szCs w:val="14"/>
                <w:color w:val="auto"/>
              </w:rPr>
            </w:pPr>
          </w:p>
        </w:tc>
        <w:tc>
          <w:tcPr>
            <w:tcW w:w="182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5"/>
                <w:szCs w:val="15"/>
                <w:color w:val="4C4C4E"/>
              </w:rPr>
              <w:t>13.13%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35,456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36,955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5"/>
                <w:szCs w:val="15"/>
                <w:color w:val="4C4C4E"/>
              </w:rPr>
              <w:t>par, due 10/2030)</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Crewline Buyer, Inc. </w:t>
            </w:r>
            <w:r>
              <w:rPr>
                <w:rFonts w:ascii="Times New Roman" w:cs="Times New Roman" w:eastAsia="Times New Roman" w:hAnsi="Times New Roman"/>
                <w:sz w:val="19"/>
                <w:szCs w:val="19"/>
                <w:color w:val="4C4C4E"/>
                <w:vertAlign w:val="superscript"/>
              </w:rPr>
              <w:t>(3)</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($58,384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11/8/2023</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+ 6.75%</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11.11%</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56,953</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58,866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00" w:type="dxa"/>
            <w:vAlign w:val="bottom"/>
            <w:gridSpan w:val="2"/>
            <w:shd w:val="clear" w:color="auto" w:fill="D8EEF4"/>
          </w:tcPr>
          <w:p>
            <w:pPr>
              <w:ind w:left="20"/>
              <w:spacing w:after="0"/>
              <w:rPr>
                <w:sz w:val="20"/>
                <w:szCs w:val="20"/>
                <w:color w:val="auto"/>
              </w:rPr>
            </w:pPr>
            <w:r>
              <w:rPr>
                <w:rFonts w:ascii="Times New Roman" w:cs="Times New Roman" w:eastAsia="Times New Roman" w:hAnsi="Times New Roman"/>
                <w:sz w:val="15"/>
                <w:szCs w:val="15"/>
                <w:color w:val="4C4C4E"/>
              </w:rPr>
              <w:t>11/2030)</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Dye &amp; Durham Corp. </w:t>
            </w:r>
            <w:r>
              <w:rPr>
                <w:rFonts w:ascii="Times New Roman" w:cs="Times New Roman" w:eastAsia="Times New Roman" w:hAnsi="Times New Roman"/>
                <w:sz w:val="19"/>
                <w:szCs w:val="19"/>
                <w:color w:val="4C4C4E"/>
                <w:vertAlign w:val="superscript"/>
              </w:rPr>
              <w:t>(3)(4)(9)</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($955 par, due</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4/4/2024</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+ 4.10%</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8.43%</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941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4C4C4E"/>
              </w:rPr>
              <w:t>4/2031)</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Elements Finco Limited </w:t>
            </w:r>
            <w:r>
              <w:rPr>
                <w:rFonts w:ascii="Times New Roman" w:cs="Times New Roman" w:eastAsia="Times New Roman" w:hAnsi="Times New Roman"/>
                <w:sz w:val="19"/>
                <w:szCs w:val="19"/>
                <w:color w:val="4C4C4E"/>
                <w:vertAlign w:val="superscript"/>
              </w:rPr>
              <w:t>(3)(4)</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($4,069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4/29/2024</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+ 4.97%</w:t>
            </w:r>
          </w:p>
        </w:tc>
        <w:tc>
          <w:tcPr>
            <w:tcW w:w="160" w:type="dxa"/>
            <w:vAlign w:val="bottom"/>
            <w:shd w:val="clear" w:color="auto" w:fill="D8EEF4"/>
          </w:tcPr>
          <w:p>
            <w:pPr>
              <w:spacing w:after="0"/>
              <w:rPr>
                <w:sz w:val="14"/>
                <w:szCs w:val="14"/>
                <w:color w:val="auto"/>
              </w:rPr>
            </w:pPr>
          </w:p>
        </w:tc>
        <w:tc>
          <w:tcPr>
            <w:tcW w:w="1820" w:type="dxa"/>
            <w:vAlign w:val="bottom"/>
            <w:gridSpan w:val="2"/>
            <w:shd w:val="clear" w:color="auto" w:fill="D8EEF4"/>
          </w:tcPr>
          <w:p>
            <w:pPr>
              <w:jc w:val="right"/>
              <w:ind w:right="180"/>
              <w:spacing w:after="0" w:line="171" w:lineRule="exact"/>
              <w:rPr>
                <w:sz w:val="20"/>
                <w:szCs w:val="20"/>
                <w:color w:val="auto"/>
              </w:rPr>
            </w:pPr>
            <w:r>
              <w:rPr>
                <w:rFonts w:ascii="Times New Roman" w:cs="Times New Roman" w:eastAsia="Times New Roman" w:hAnsi="Times New Roman"/>
                <w:sz w:val="15"/>
                <w:szCs w:val="15"/>
                <w:color w:val="4C4C4E"/>
              </w:rPr>
              <w:t>9.33% (incl. 1.97% PIK)</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4,045</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4,069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00" w:type="dxa"/>
            <w:vAlign w:val="bottom"/>
            <w:gridSpan w:val="2"/>
            <w:shd w:val="clear" w:color="auto" w:fill="D8EEF4"/>
          </w:tcPr>
          <w:p>
            <w:pPr>
              <w:ind w:left="20"/>
              <w:spacing w:after="0"/>
              <w:rPr>
                <w:sz w:val="20"/>
                <w:szCs w:val="20"/>
                <w:color w:val="auto"/>
              </w:rPr>
            </w:pPr>
            <w:r>
              <w:rPr>
                <w:rFonts w:ascii="Times New Roman" w:cs="Times New Roman" w:eastAsia="Times New Roman" w:hAnsi="Times New Roman"/>
                <w:sz w:val="15"/>
                <w:szCs w:val="15"/>
                <w:color w:val="4C4C4E"/>
              </w:rPr>
              <w:t>4/2031)</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(GBP 10,275 par,</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4/29/2024</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 + 5.25%</w:t>
            </w:r>
          </w:p>
        </w:tc>
        <w:tc>
          <w:tcPr>
            <w:tcW w:w="160" w:type="dxa"/>
            <w:vAlign w:val="bottom"/>
          </w:tcPr>
          <w:p>
            <w:pPr>
              <w:spacing w:after="0"/>
              <w:rPr>
                <w:sz w:val="14"/>
                <w:szCs w:val="14"/>
                <w:color w:val="auto"/>
              </w:rPr>
            </w:pPr>
          </w:p>
        </w:tc>
        <w:tc>
          <w:tcPr>
            <w:tcW w:w="182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5"/>
                <w:szCs w:val="15"/>
                <w:color w:val="4C4C4E"/>
              </w:rPr>
              <w:t>9.95% (incl. 2.25%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12,748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12,869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5"/>
                <w:szCs w:val="15"/>
                <w:color w:val="4C4C4E"/>
              </w:rPr>
              <w:t>due 4/2031)</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(GBP 10,275)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ExtraHop Networks, Inc. </w:t>
            </w:r>
            <w:r>
              <w:rPr>
                <w:rFonts w:ascii="Times New Roman" w:cs="Times New Roman" w:eastAsia="Times New Roman" w:hAnsi="Times New Roman"/>
                <w:sz w:val="19"/>
                <w:szCs w:val="19"/>
                <w:color w:val="4C4C4E"/>
                <w:vertAlign w:val="superscript"/>
              </w:rPr>
              <w:t>(3)(5)</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($74,616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7/22/2021</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+ 7.60%</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11.96%</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73,874</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74,616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00" w:type="dxa"/>
            <w:vAlign w:val="bottom"/>
            <w:gridSpan w:val="2"/>
            <w:shd w:val="clear" w:color="auto" w:fill="D8EEF4"/>
          </w:tcPr>
          <w:p>
            <w:pPr>
              <w:ind w:left="20"/>
              <w:spacing w:after="0"/>
              <w:rPr>
                <w:sz w:val="20"/>
                <w:szCs w:val="20"/>
                <w:color w:val="auto"/>
              </w:rPr>
            </w:pPr>
            <w:r>
              <w:rPr>
                <w:rFonts w:ascii="Times New Roman" w:cs="Times New Roman" w:eastAsia="Times New Roman" w:hAnsi="Times New Roman"/>
                <w:sz w:val="15"/>
                <w:szCs w:val="15"/>
                <w:color w:val="4C4C4E"/>
              </w:rPr>
              <w:t>7/2027)</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ForeScout Technologies, Inc. </w:t>
            </w:r>
            <w:r>
              <w:rPr>
                <w:rFonts w:ascii="Times New Roman" w:cs="Times New Roman" w:eastAsia="Times New Roman" w:hAnsi="Times New Roman"/>
                <w:sz w:val="19"/>
                <w:szCs w:val="19"/>
                <w:color w:val="4C4C4E"/>
                <w:vertAlign w:val="superscript"/>
              </w:rPr>
              <w:t>(3)</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($5,597 par, due</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5/24/2024</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9.52%</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5,541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5,565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4C4C4E"/>
              </w:rPr>
              <w:t>5/2031)</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Galileo Parent, Inc. </w:t>
            </w:r>
            <w:r>
              <w:rPr>
                <w:rFonts w:ascii="Times New Roman" w:cs="Times New Roman" w:eastAsia="Times New Roman" w:hAnsi="Times New Roman"/>
                <w:sz w:val="19"/>
                <w:szCs w:val="19"/>
                <w:color w:val="4C4C4E"/>
                <w:vertAlign w:val="superscript"/>
              </w:rPr>
              <w:t>(3)</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($64,093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5/3/2023</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10.08%</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62,493</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64,093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00" w:type="dxa"/>
            <w:vAlign w:val="bottom"/>
            <w:gridSpan w:val="2"/>
            <w:shd w:val="clear" w:color="auto" w:fill="D8EEF4"/>
          </w:tcPr>
          <w:p>
            <w:pPr>
              <w:ind w:left="20"/>
              <w:spacing w:after="0"/>
              <w:rPr>
                <w:sz w:val="20"/>
                <w:szCs w:val="20"/>
                <w:color w:val="auto"/>
              </w:rPr>
            </w:pPr>
            <w:r>
              <w:rPr>
                <w:rFonts w:ascii="Times New Roman" w:cs="Times New Roman" w:eastAsia="Times New Roman" w:hAnsi="Times New Roman"/>
                <w:sz w:val="15"/>
                <w:szCs w:val="15"/>
                <w:color w:val="4C4C4E"/>
              </w:rPr>
              <w:t>5/2030)</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revolving loan ($4,615</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5/3/2023</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10.08%</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4,397</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4,615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5"/>
                <w:szCs w:val="15"/>
                <w:color w:val="4C4C4E"/>
              </w:rPr>
              <w:t>par, due 5/2030)</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Lynx BidCo </w:t>
            </w:r>
            <w:r>
              <w:rPr>
                <w:rFonts w:ascii="Times New Roman" w:cs="Times New Roman" w:eastAsia="Times New Roman" w:hAnsi="Times New Roman"/>
                <w:sz w:val="19"/>
                <w:szCs w:val="19"/>
                <w:color w:val="4C4C4E"/>
                <w:vertAlign w:val="superscript"/>
              </w:rPr>
              <w:t>(3)(4)</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($1,421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7/5/2024</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+ 7.11%</w:t>
            </w:r>
          </w:p>
        </w:tc>
        <w:tc>
          <w:tcPr>
            <w:tcW w:w="160" w:type="dxa"/>
            <w:vAlign w:val="bottom"/>
            <w:shd w:val="clear" w:color="auto" w:fill="D8EEF4"/>
          </w:tcPr>
          <w:p>
            <w:pPr>
              <w:spacing w:after="0"/>
              <w:rPr>
                <w:sz w:val="14"/>
                <w:szCs w:val="14"/>
                <w:color w:val="auto"/>
              </w:rPr>
            </w:pPr>
          </w:p>
        </w:tc>
        <w:tc>
          <w:tcPr>
            <w:tcW w:w="1820" w:type="dxa"/>
            <w:vAlign w:val="bottom"/>
            <w:gridSpan w:val="2"/>
            <w:shd w:val="clear" w:color="auto" w:fill="D8EEF4"/>
          </w:tcPr>
          <w:p>
            <w:pPr>
              <w:jc w:val="right"/>
              <w:ind w:right="180"/>
              <w:spacing w:after="0" w:line="171" w:lineRule="exact"/>
              <w:rPr>
                <w:sz w:val="20"/>
                <w:szCs w:val="20"/>
                <w:color w:val="auto"/>
              </w:rPr>
            </w:pPr>
            <w:r>
              <w:rPr>
                <w:rFonts w:ascii="Times New Roman" w:cs="Times New Roman" w:eastAsia="Times New Roman" w:hAnsi="Times New Roman"/>
                <w:sz w:val="15"/>
                <w:szCs w:val="15"/>
                <w:color w:val="4C4C4E"/>
              </w:rPr>
              <w:t>11.75% (incl. 5.61% PIK)</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1,385</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1,392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00" w:type="dxa"/>
            <w:vAlign w:val="bottom"/>
            <w:gridSpan w:val="2"/>
            <w:shd w:val="clear" w:color="auto" w:fill="D8EEF4"/>
          </w:tcPr>
          <w:p>
            <w:pPr>
              <w:ind w:left="20"/>
              <w:spacing w:after="0"/>
              <w:rPr>
                <w:sz w:val="20"/>
                <w:szCs w:val="20"/>
                <w:color w:val="auto"/>
              </w:rPr>
            </w:pPr>
            <w:r>
              <w:rPr>
                <w:rFonts w:ascii="Times New Roman" w:cs="Times New Roman" w:eastAsia="Times New Roman" w:hAnsi="Times New Roman"/>
                <w:sz w:val="15"/>
                <w:szCs w:val="15"/>
                <w:color w:val="4C4C4E"/>
              </w:rPr>
              <w:t>7/2031)</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597 par,</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7/5/2024</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E + 7.11%</w:t>
            </w:r>
          </w:p>
        </w:tc>
        <w:tc>
          <w:tcPr>
            <w:tcW w:w="160" w:type="dxa"/>
            <w:vAlign w:val="bottom"/>
          </w:tcPr>
          <w:p>
            <w:pPr>
              <w:spacing w:after="0"/>
              <w:rPr>
                <w:sz w:val="14"/>
                <w:szCs w:val="14"/>
                <w:color w:val="auto"/>
              </w:rPr>
            </w:pPr>
          </w:p>
        </w:tc>
        <w:tc>
          <w:tcPr>
            <w:tcW w:w="182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5"/>
                <w:szCs w:val="15"/>
                <w:color w:val="4C4C4E"/>
              </w:rPr>
              <w:t>10.38% (incl. 5.61%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633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611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5"/>
                <w:szCs w:val="15"/>
                <w:color w:val="4C4C4E"/>
              </w:rPr>
              <w:t>due 7/2031)</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590)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Mitnick Corporate Purchaser, Inc.</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($326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5/2/2022</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+ 4.50%</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9.19%</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326</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68"/>
        </w:trPr>
        <w:tc>
          <w:tcPr>
            <w:tcW w:w="214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0"/>
                <w:szCs w:val="10"/>
                <w:color w:val="4C4C4E"/>
              </w:rPr>
              <w:t>(3)(9)</w:t>
            </w:r>
          </w:p>
        </w:tc>
        <w:tc>
          <w:tcPr>
            <w:tcW w:w="2000" w:type="dxa"/>
            <w:vAlign w:val="bottom"/>
            <w:tcBorders>
              <w:bottom w:val="single" w:sz="8" w:color="D8EEF4"/>
            </w:tcBorders>
            <w:gridSpan w:val="2"/>
            <w:shd w:val="clear" w:color="auto" w:fill="D8EEF4"/>
          </w:tcPr>
          <w:p>
            <w:pPr>
              <w:ind w:left="20"/>
              <w:spacing w:after="0" w:line="168" w:lineRule="exact"/>
              <w:rPr>
                <w:sz w:val="20"/>
                <w:szCs w:val="20"/>
                <w:color w:val="auto"/>
              </w:rPr>
            </w:pPr>
            <w:r>
              <w:rPr>
                <w:rFonts w:ascii="Times New Roman" w:cs="Times New Roman" w:eastAsia="Times New Roman" w:hAnsi="Times New Roman"/>
                <w:sz w:val="15"/>
                <w:szCs w:val="15"/>
                <w:color w:val="4C4C4E"/>
              </w:rPr>
              <w:t>5/2029)</w:t>
            </w:r>
          </w:p>
        </w:tc>
        <w:tc>
          <w:tcPr>
            <w:tcW w:w="20" w:type="dxa"/>
            <w:vAlign w:val="bottom"/>
            <w:tcBorders>
              <w:bottom w:val="single" w:sz="8" w:color="D8EEF4"/>
            </w:tcBorders>
            <w:shd w:val="clear" w:color="auto" w:fill="D8EEF4"/>
          </w:tcPr>
          <w:p>
            <w:pPr>
              <w:spacing w:after="0"/>
              <w:rPr>
                <w:sz w:val="14"/>
                <w:szCs w:val="14"/>
                <w:color w:val="auto"/>
              </w:rPr>
            </w:pPr>
          </w:p>
        </w:tc>
        <w:tc>
          <w:tcPr>
            <w:tcW w:w="740" w:type="dxa"/>
            <w:vAlign w:val="bottom"/>
            <w:tcBorders>
              <w:bottom w:val="single" w:sz="8" w:color="D8EEF4"/>
            </w:tcBorders>
            <w:shd w:val="clear" w:color="auto" w:fill="D8EEF4"/>
          </w:tcPr>
          <w:p>
            <w:pPr>
              <w:spacing w:after="0"/>
              <w:rPr>
                <w:sz w:val="14"/>
                <w:szCs w:val="14"/>
                <w:color w:val="auto"/>
              </w:rPr>
            </w:pPr>
          </w:p>
        </w:tc>
        <w:tc>
          <w:tcPr>
            <w:tcW w:w="20" w:type="dxa"/>
            <w:vAlign w:val="bottom"/>
            <w:tcBorders>
              <w:bottom w:val="single" w:sz="8" w:color="D8EEF4"/>
            </w:tcBorders>
            <w:shd w:val="clear" w:color="auto" w:fill="D8EEF4"/>
          </w:tcPr>
          <w:p>
            <w:pPr>
              <w:spacing w:after="0"/>
              <w:rPr>
                <w:sz w:val="14"/>
                <w:szCs w:val="14"/>
                <w:color w:val="auto"/>
              </w:rPr>
            </w:pPr>
          </w:p>
        </w:tc>
        <w:tc>
          <w:tcPr>
            <w:tcW w:w="1100" w:type="dxa"/>
            <w:vAlign w:val="bottom"/>
            <w:tcBorders>
              <w:bottom w:val="single" w:sz="8" w:color="D8EEF4"/>
            </w:tcBorders>
            <w:shd w:val="clear" w:color="auto" w:fill="D8EEF4"/>
          </w:tcPr>
          <w:p>
            <w:pPr>
              <w:spacing w:after="0"/>
              <w:rPr>
                <w:sz w:val="14"/>
                <w:szCs w:val="14"/>
                <w:color w:val="auto"/>
              </w:rPr>
            </w:pPr>
          </w:p>
        </w:tc>
        <w:tc>
          <w:tcPr>
            <w:tcW w:w="160" w:type="dxa"/>
            <w:vAlign w:val="bottom"/>
            <w:tcBorders>
              <w:bottom w:val="single" w:sz="8" w:color="D8EEF4"/>
            </w:tcBorders>
            <w:shd w:val="clear" w:color="auto" w:fill="D8EEF4"/>
          </w:tcPr>
          <w:p>
            <w:pPr>
              <w:spacing w:after="0"/>
              <w:rPr>
                <w:sz w:val="14"/>
                <w:szCs w:val="14"/>
                <w:color w:val="auto"/>
              </w:rPr>
            </w:pPr>
          </w:p>
        </w:tc>
        <w:tc>
          <w:tcPr>
            <w:tcW w:w="1660" w:type="dxa"/>
            <w:vAlign w:val="bottom"/>
            <w:tcBorders>
              <w:bottom w:val="single" w:sz="8" w:color="D8EEF4"/>
            </w:tcBorders>
            <w:shd w:val="clear" w:color="auto" w:fill="D8EEF4"/>
          </w:tcPr>
          <w:p>
            <w:pPr>
              <w:spacing w:after="0"/>
              <w:rPr>
                <w:sz w:val="14"/>
                <w:szCs w:val="14"/>
                <w:color w:val="auto"/>
              </w:rPr>
            </w:pPr>
          </w:p>
        </w:tc>
        <w:tc>
          <w:tcPr>
            <w:tcW w:w="160" w:type="dxa"/>
            <w:vAlign w:val="bottom"/>
            <w:tcBorders>
              <w:bottom w:val="single" w:sz="8" w:color="D8EEF4"/>
            </w:tcBorders>
            <w:shd w:val="clear" w:color="auto" w:fill="D8EEF4"/>
          </w:tcPr>
          <w:p>
            <w:pPr>
              <w:spacing w:after="0"/>
              <w:rPr>
                <w:sz w:val="14"/>
                <w:szCs w:val="14"/>
                <w:color w:val="auto"/>
              </w:rPr>
            </w:pPr>
          </w:p>
        </w:tc>
        <w:tc>
          <w:tcPr>
            <w:tcW w:w="780" w:type="dxa"/>
            <w:vAlign w:val="bottom"/>
            <w:tcBorders>
              <w:bottom w:val="single" w:sz="8" w:color="D8EEF4"/>
            </w:tcBorders>
            <w:shd w:val="clear" w:color="auto" w:fill="D8EEF4"/>
          </w:tcPr>
          <w:p>
            <w:pPr>
              <w:spacing w:after="0"/>
              <w:rPr>
                <w:sz w:val="14"/>
                <w:szCs w:val="14"/>
                <w:color w:val="auto"/>
              </w:rPr>
            </w:pPr>
          </w:p>
        </w:tc>
        <w:tc>
          <w:tcPr>
            <w:tcW w:w="40" w:type="dxa"/>
            <w:vAlign w:val="bottom"/>
            <w:tcBorders>
              <w:bottom w:val="single" w:sz="8" w:color="D8EEF4"/>
            </w:tcBorders>
            <w:shd w:val="clear" w:color="auto" w:fill="D8EEF4"/>
          </w:tcPr>
          <w:p>
            <w:pPr>
              <w:spacing w:after="0"/>
              <w:rPr>
                <w:sz w:val="14"/>
                <w:szCs w:val="14"/>
                <w:color w:val="auto"/>
              </w:rPr>
            </w:pPr>
          </w:p>
        </w:tc>
        <w:tc>
          <w:tcPr>
            <w:tcW w:w="180" w:type="dxa"/>
            <w:vAlign w:val="bottom"/>
            <w:tcBorders>
              <w:bottom w:val="single" w:sz="8" w:color="D8EEF4"/>
            </w:tcBorders>
            <w:shd w:val="clear" w:color="auto" w:fill="D8EEF4"/>
          </w:tcPr>
          <w:p>
            <w:pPr>
              <w:spacing w:after="0"/>
              <w:rPr>
                <w:sz w:val="14"/>
                <w:szCs w:val="14"/>
                <w:color w:val="auto"/>
              </w:rPr>
            </w:pPr>
          </w:p>
        </w:tc>
        <w:tc>
          <w:tcPr>
            <w:tcW w:w="840" w:type="dxa"/>
            <w:vAlign w:val="bottom"/>
            <w:tcBorders>
              <w:bottom w:val="single" w:sz="8" w:color="D8EEF4"/>
            </w:tcBorders>
            <w:shd w:val="clear" w:color="auto" w:fill="D8EEF4"/>
          </w:tcPr>
          <w:p>
            <w:pPr>
              <w:spacing w:after="0"/>
              <w:rPr>
                <w:sz w:val="14"/>
                <w:szCs w:val="14"/>
                <w:color w:val="auto"/>
              </w:rPr>
            </w:pPr>
          </w:p>
        </w:tc>
        <w:tc>
          <w:tcPr>
            <w:tcW w:w="40" w:type="dxa"/>
            <w:vAlign w:val="bottom"/>
            <w:tcBorders>
              <w:bottom w:val="single" w:sz="8" w:color="D8EEF4"/>
            </w:tcBorders>
            <w:shd w:val="clear" w:color="auto" w:fill="D8EEF4"/>
          </w:tcPr>
          <w:p>
            <w:pPr>
              <w:spacing w:after="0"/>
              <w:rPr>
                <w:sz w:val="14"/>
                <w:szCs w:val="14"/>
                <w:color w:val="auto"/>
              </w:rPr>
            </w:pPr>
          </w:p>
        </w:tc>
        <w:tc>
          <w:tcPr>
            <w:tcW w:w="840" w:type="dxa"/>
            <w:vAlign w:val="bottom"/>
            <w:tcBorders>
              <w:bottom w:val="single" w:sz="8" w:color="D8EEF4"/>
            </w:tcBorders>
            <w:shd w:val="clear" w:color="auto" w:fill="D8EEF4"/>
          </w:tcPr>
          <w:p>
            <w:pPr>
              <w:spacing w:after="0"/>
              <w:rPr>
                <w:sz w:val="14"/>
                <w:szCs w:val="14"/>
                <w:color w:val="auto"/>
              </w:rPr>
            </w:pPr>
          </w:p>
        </w:tc>
        <w:tc>
          <w:tcPr>
            <w:tcW w:w="160" w:type="dxa"/>
            <w:vAlign w:val="bottom"/>
            <w:tcBorders>
              <w:bottom w:val="single" w:sz="8" w:color="D8EEF4"/>
            </w:tcBorders>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Price Fx Inc. </w:t>
            </w:r>
            <w:r>
              <w:rPr>
                <w:rFonts w:ascii="Times New Roman" w:cs="Times New Roman" w:eastAsia="Times New Roman" w:hAnsi="Times New Roman"/>
                <w:sz w:val="19"/>
                <w:szCs w:val="19"/>
                <w:color w:val="4C4C4E"/>
                <w:vertAlign w:val="superscript"/>
              </w:rPr>
              <w:t>(3)(4)</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910 par,</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10/27/2023</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E + 7.00%</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10.06%</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947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5"/>
                <w:szCs w:val="15"/>
                <w:color w:val="4C4C4E"/>
              </w:rPr>
              <w:t>due 10/2029)</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915)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910 par,</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12/19/2024</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E + 6.25%</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9.12%</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921</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919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98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due 10/2029)</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887)</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USA DeBusk, LLC </w:t>
            </w:r>
            <w:r>
              <w:rPr>
                <w:rFonts w:ascii="Times New Roman" w:cs="Times New Roman" w:eastAsia="Times New Roman" w:hAnsi="Times New Roman"/>
                <w:sz w:val="19"/>
                <w:szCs w:val="19"/>
                <w:color w:val="4C4C4E"/>
                <w:vertAlign w:val="superscript"/>
              </w:rPr>
              <w:t>(3)</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($6,899 par, due</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4/30/2024</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9.62%</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6,789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6,899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4C4C4E"/>
              </w:rPr>
              <w:t>4/2031)</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revolving loan ($275</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4/30/2024</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9.59%</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263</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98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par, due 4/2030)</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Wrangler TopCo, LLC </w:t>
            </w:r>
            <w:r>
              <w:rPr>
                <w:rFonts w:ascii="Times New Roman" w:cs="Times New Roman" w:eastAsia="Times New Roman" w:hAnsi="Times New Roman"/>
                <w:sz w:val="19"/>
                <w:szCs w:val="19"/>
                <w:color w:val="4C4C4E"/>
                <w:vertAlign w:val="superscript"/>
              </w:rPr>
              <w:t>(3)</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($5,484 par, due</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7/7/2023</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+ 6.00%</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10.38%</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5,369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5,553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D8EEF4"/>
            </w:tcBorders>
          </w:tcPr>
          <w:p>
            <w:pPr>
              <w:spacing w:after="0"/>
              <w:rPr>
                <w:sz w:val="16"/>
                <w:szCs w:val="16"/>
                <w:color w:val="auto"/>
              </w:rPr>
            </w:pPr>
          </w:p>
        </w:tc>
        <w:tc>
          <w:tcPr>
            <w:tcW w:w="2000" w:type="dxa"/>
            <w:vAlign w:val="bottom"/>
            <w:tcBorders>
              <w:bottom w:val="single" w:sz="8" w:color="D8EEF4"/>
            </w:tcBorders>
            <w:gridSpan w:val="2"/>
          </w:tcPr>
          <w:p>
            <w:pPr>
              <w:ind w:left="20"/>
              <w:spacing w:after="0"/>
              <w:rPr>
                <w:sz w:val="20"/>
                <w:szCs w:val="20"/>
                <w:color w:val="auto"/>
              </w:rPr>
            </w:pPr>
            <w:r>
              <w:rPr>
                <w:rFonts w:ascii="Times New Roman" w:cs="Times New Roman" w:eastAsia="Times New Roman" w:hAnsi="Times New Roman"/>
                <w:sz w:val="15"/>
                <w:szCs w:val="15"/>
                <w:color w:val="4C4C4E"/>
              </w:rPr>
              <w:t>9/2029)</w:t>
            </w:r>
          </w:p>
        </w:tc>
        <w:tc>
          <w:tcPr>
            <w:tcW w:w="20" w:type="dxa"/>
            <w:vAlign w:val="bottom"/>
            <w:tcBorders>
              <w:bottom w:val="single" w:sz="8" w:color="D8EEF4"/>
            </w:tcBorders>
          </w:tcPr>
          <w:p>
            <w:pPr>
              <w:spacing w:after="0"/>
              <w:rPr>
                <w:sz w:val="16"/>
                <w:szCs w:val="16"/>
                <w:color w:val="auto"/>
              </w:rPr>
            </w:pPr>
          </w:p>
        </w:tc>
        <w:tc>
          <w:tcPr>
            <w:tcW w:w="740" w:type="dxa"/>
            <w:vAlign w:val="bottom"/>
            <w:tcBorders>
              <w:bottom w:val="single" w:sz="8" w:color="D8EEF4"/>
            </w:tcBorders>
          </w:tcPr>
          <w:p>
            <w:pPr>
              <w:spacing w:after="0"/>
              <w:rPr>
                <w:sz w:val="16"/>
                <w:szCs w:val="16"/>
                <w:color w:val="auto"/>
              </w:rPr>
            </w:pPr>
          </w:p>
        </w:tc>
        <w:tc>
          <w:tcPr>
            <w:tcW w:w="20" w:type="dxa"/>
            <w:vAlign w:val="bottom"/>
            <w:tcBorders>
              <w:bottom w:val="single" w:sz="8" w:color="D8EEF4"/>
            </w:tcBorders>
          </w:tcPr>
          <w:p>
            <w:pPr>
              <w:spacing w:after="0"/>
              <w:rPr>
                <w:sz w:val="16"/>
                <w:szCs w:val="16"/>
                <w:color w:val="auto"/>
              </w:rPr>
            </w:pPr>
          </w:p>
        </w:tc>
        <w:tc>
          <w:tcPr>
            <w:tcW w:w="1100" w:type="dxa"/>
            <w:vAlign w:val="bottom"/>
            <w:tcBorders>
              <w:bottom w:val="single" w:sz="8" w:color="D8EEF4"/>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1660" w:type="dxa"/>
            <w:vAlign w:val="bottom"/>
            <w:tcBorders>
              <w:bottom w:val="single" w:sz="8" w:color="D8EEF4"/>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78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80" w:type="dxa"/>
            <w:vAlign w:val="bottom"/>
            <w:tcBorders>
              <w:bottom w:val="single" w:sz="8" w:color="4C4C4E"/>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40" w:type="dxa"/>
            <w:vAlign w:val="bottom"/>
            <w:shd w:val="clear" w:color="auto" w:fill="D8EEF4"/>
          </w:tcPr>
          <w:p>
            <w:pPr>
              <w:spacing w:after="0"/>
              <w:rPr>
                <w:sz w:val="15"/>
                <w:szCs w:val="15"/>
                <w:color w:val="auto"/>
              </w:rPr>
            </w:pPr>
          </w:p>
        </w:tc>
        <w:tc>
          <w:tcPr>
            <w:tcW w:w="20" w:type="dxa"/>
            <w:vAlign w:val="bottom"/>
            <w:shd w:val="clear" w:color="auto" w:fill="D8EEF4"/>
          </w:tcPr>
          <w:p>
            <w:pPr>
              <w:spacing w:after="0"/>
              <w:rPr>
                <w:sz w:val="15"/>
                <w:szCs w:val="15"/>
                <w:color w:val="auto"/>
              </w:rPr>
            </w:pPr>
          </w:p>
        </w:tc>
        <w:tc>
          <w:tcPr>
            <w:tcW w:w="1980" w:type="dxa"/>
            <w:vAlign w:val="bottom"/>
            <w:shd w:val="clear" w:color="auto" w:fill="D8EEF4"/>
          </w:tcPr>
          <w:p>
            <w:pPr>
              <w:spacing w:after="0"/>
              <w:rPr>
                <w:sz w:val="15"/>
                <w:szCs w:val="15"/>
                <w:color w:val="auto"/>
              </w:rPr>
            </w:pPr>
          </w:p>
        </w:tc>
        <w:tc>
          <w:tcPr>
            <w:tcW w:w="20" w:type="dxa"/>
            <w:vAlign w:val="bottom"/>
            <w:shd w:val="clear" w:color="auto" w:fill="D8EEF4"/>
          </w:tcPr>
          <w:p>
            <w:pPr>
              <w:spacing w:after="0"/>
              <w:rPr>
                <w:sz w:val="15"/>
                <w:szCs w:val="15"/>
                <w:color w:val="auto"/>
              </w:rPr>
            </w:pPr>
          </w:p>
        </w:tc>
        <w:tc>
          <w:tcPr>
            <w:tcW w:w="740" w:type="dxa"/>
            <w:vAlign w:val="bottom"/>
            <w:shd w:val="clear" w:color="auto" w:fill="D8EEF4"/>
          </w:tcPr>
          <w:p>
            <w:pPr>
              <w:spacing w:after="0"/>
              <w:rPr>
                <w:sz w:val="15"/>
                <w:szCs w:val="15"/>
                <w:color w:val="auto"/>
              </w:rPr>
            </w:pPr>
          </w:p>
        </w:tc>
        <w:tc>
          <w:tcPr>
            <w:tcW w:w="20" w:type="dxa"/>
            <w:vAlign w:val="bottom"/>
            <w:shd w:val="clear" w:color="auto" w:fill="D8EEF4"/>
          </w:tcPr>
          <w:p>
            <w:pPr>
              <w:spacing w:after="0"/>
              <w:rPr>
                <w:sz w:val="15"/>
                <w:szCs w:val="15"/>
                <w:color w:val="auto"/>
              </w:rPr>
            </w:pPr>
          </w:p>
        </w:tc>
        <w:tc>
          <w:tcPr>
            <w:tcW w:w="1100" w:type="dxa"/>
            <w:vAlign w:val="bottom"/>
            <w:shd w:val="clear" w:color="auto" w:fill="D8EEF4"/>
          </w:tcPr>
          <w:p>
            <w:pPr>
              <w:spacing w:after="0"/>
              <w:rPr>
                <w:sz w:val="15"/>
                <w:szCs w:val="15"/>
                <w:color w:val="auto"/>
              </w:rPr>
            </w:pPr>
          </w:p>
        </w:tc>
        <w:tc>
          <w:tcPr>
            <w:tcW w:w="160" w:type="dxa"/>
            <w:vAlign w:val="bottom"/>
            <w:shd w:val="clear" w:color="auto" w:fill="D8EEF4"/>
          </w:tcPr>
          <w:p>
            <w:pPr>
              <w:spacing w:after="0"/>
              <w:rPr>
                <w:sz w:val="15"/>
                <w:szCs w:val="15"/>
                <w:color w:val="auto"/>
              </w:rPr>
            </w:pPr>
          </w:p>
        </w:tc>
        <w:tc>
          <w:tcPr>
            <w:tcW w:w="1660" w:type="dxa"/>
            <w:vAlign w:val="bottom"/>
            <w:shd w:val="clear" w:color="auto" w:fill="D8EEF4"/>
          </w:tcPr>
          <w:p>
            <w:pPr>
              <w:spacing w:after="0"/>
              <w:rPr>
                <w:sz w:val="15"/>
                <w:szCs w:val="15"/>
                <w:color w:val="auto"/>
              </w:rPr>
            </w:pPr>
          </w:p>
        </w:tc>
        <w:tc>
          <w:tcPr>
            <w:tcW w:w="160" w:type="dxa"/>
            <w:vAlign w:val="bottom"/>
            <w:shd w:val="clear" w:color="auto" w:fill="D8EEF4"/>
          </w:tcPr>
          <w:p>
            <w:pPr>
              <w:spacing w:after="0"/>
              <w:rPr>
                <w:sz w:val="15"/>
                <w:szCs w:val="15"/>
                <w:color w:val="auto"/>
              </w:rPr>
            </w:pPr>
          </w:p>
        </w:tc>
        <w:tc>
          <w:tcPr>
            <w:tcW w:w="7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441,124</w:t>
            </w:r>
          </w:p>
        </w:tc>
        <w:tc>
          <w:tcPr>
            <w:tcW w:w="40" w:type="dxa"/>
            <w:vAlign w:val="bottom"/>
            <w:shd w:val="clear" w:color="auto" w:fill="D8EEF4"/>
          </w:tcPr>
          <w:p>
            <w:pPr>
              <w:spacing w:after="0"/>
              <w:rPr>
                <w:sz w:val="15"/>
                <w:szCs w:val="15"/>
                <w:color w:val="auto"/>
              </w:rPr>
            </w:pPr>
          </w:p>
        </w:tc>
        <w:tc>
          <w:tcPr>
            <w:tcW w:w="180" w:type="dxa"/>
            <w:vAlign w:val="bottom"/>
            <w:tcBorders>
              <w:bottom w:val="single" w:sz="8" w:color="4C4C4E"/>
            </w:tcBorders>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449,009</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28.0</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81"/>
        </w:trPr>
        <w:tc>
          <w:tcPr>
            <w:tcW w:w="214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Chemicals</w:t>
            </w: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Erling Lux Bidco SARL </w:t>
            </w:r>
            <w:r>
              <w:rPr>
                <w:rFonts w:ascii="Times New Roman" w:cs="Times New Roman" w:eastAsia="Times New Roman" w:hAnsi="Times New Roman"/>
                <w:sz w:val="19"/>
                <w:szCs w:val="19"/>
                <w:color w:val="4C4C4E"/>
                <w:vertAlign w:val="superscript"/>
              </w:rPr>
              <w:t>(3)(4)</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(EUR 7,239 par,</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9/6/2022</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E + 7.00%</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10.06%</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6,928</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7,650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0.6%</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98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due 9/2028)</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7,388)</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(GBP 19,591 par,</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9/6/2022</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 + 7.00%</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11.70%</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23,020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24,904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5"/>
                <w:szCs w:val="15"/>
                <w:color w:val="4C4C4E"/>
              </w:rPr>
              <w:t>due 9/2028)</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(GBP 19,885)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(NOK 7,428 par,</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9/6/2022</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N + 7.00%</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11.69%</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711</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664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98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due 9/2028)</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tcBorders>
              <w:bottom w:val="single" w:sz="8" w:color="4C4C4E"/>
            </w:tcBorders>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99"/>
              </w:rPr>
              <w:t>(NOK 7,538)</w:t>
            </w:r>
          </w:p>
        </w:tc>
        <w:tc>
          <w:tcPr>
            <w:tcW w:w="40" w:type="dxa"/>
            <w:vAlign w:val="bottom"/>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30,659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33,218</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2.1%</w:t>
            </w:r>
          </w:p>
        </w:tc>
        <w:tc>
          <w:tcPr>
            <w:tcW w:w="0" w:type="dxa"/>
            <w:vAlign w:val="bottom"/>
          </w:tcPr>
          <w:p>
            <w:pPr>
              <w:spacing w:after="0"/>
              <w:rPr>
                <w:sz w:val="1"/>
                <w:szCs w:val="1"/>
                <w:color w:val="auto"/>
              </w:rPr>
            </w:pPr>
          </w:p>
        </w:tc>
      </w:tr>
      <w:tr>
        <w:trPr>
          <w:trHeight w:val="181"/>
        </w:trPr>
        <w:tc>
          <w:tcPr>
            <w:tcW w:w="21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Communications</w:t>
            </w:r>
          </w:p>
        </w:tc>
        <w:tc>
          <w:tcPr>
            <w:tcW w:w="20" w:type="dxa"/>
            <w:vAlign w:val="bottom"/>
            <w:tcBorders>
              <w:top w:val="single" w:sz="8" w:color="D8EEF4"/>
            </w:tcBorders>
            <w:shd w:val="clear" w:color="auto" w:fill="D8EEF4"/>
          </w:tcPr>
          <w:p>
            <w:pPr>
              <w:spacing w:after="0"/>
              <w:rPr>
                <w:sz w:val="15"/>
                <w:szCs w:val="15"/>
                <w:color w:val="auto"/>
              </w:rPr>
            </w:pPr>
          </w:p>
        </w:tc>
        <w:tc>
          <w:tcPr>
            <w:tcW w:w="198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74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10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166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78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80" w:type="dxa"/>
            <w:vAlign w:val="bottom"/>
            <w:tcBorders>
              <w:top w:val="single" w:sz="8" w:color="4C4C4E"/>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gridSpan w:val="3"/>
          </w:tcPr>
          <w:p>
            <w:pPr>
              <w:spacing w:after="0" w:line="171" w:lineRule="exact"/>
              <w:rPr>
                <w:sz w:val="20"/>
                <w:szCs w:val="20"/>
                <w:color w:val="auto"/>
              </w:rPr>
            </w:pPr>
            <w:r>
              <w:rPr>
                <w:rFonts w:ascii="Times New Roman" w:cs="Times New Roman" w:eastAsia="Times New Roman" w:hAnsi="Times New Roman"/>
                <w:sz w:val="15"/>
                <w:szCs w:val="15"/>
                <w:color w:val="4C4C4E"/>
              </w:rPr>
              <w:t>Aurelia Netherlands MidCo 2 B.V. First-lien loan (EUR 32,904 par,</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5/22/2024</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E + 5.75%</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8.93%</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34,915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34,157</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w:t>
            </w:r>
          </w:p>
        </w:tc>
        <w:tc>
          <w:tcPr>
            <w:tcW w:w="0" w:type="dxa"/>
            <w:vAlign w:val="bottom"/>
          </w:tcPr>
          <w:p>
            <w:pPr>
              <w:spacing w:after="0"/>
              <w:rPr>
                <w:sz w:val="1"/>
                <w:szCs w:val="1"/>
                <w:color w:val="auto"/>
              </w:rPr>
            </w:pPr>
          </w:p>
        </w:tc>
      </w:tr>
      <w:tr>
        <w:trPr>
          <w:trHeight w:val="133"/>
        </w:trPr>
        <w:tc>
          <w:tcPr>
            <w:tcW w:w="2140" w:type="dxa"/>
            <w:vAlign w:val="bottom"/>
          </w:tcPr>
          <w:p>
            <w:pPr>
              <w:spacing w:after="0"/>
              <w:rPr>
                <w:sz w:val="20"/>
                <w:szCs w:val="20"/>
                <w:color w:val="auto"/>
              </w:rPr>
            </w:pPr>
            <w:r>
              <w:rPr>
                <w:rFonts w:ascii="Times New Roman" w:cs="Times New Roman" w:eastAsia="Times New Roman" w:hAnsi="Times New Roman"/>
                <w:sz w:val="10"/>
                <w:szCs w:val="10"/>
                <w:color w:val="4C4C4E"/>
              </w:rPr>
              <w:t>(3)(4)</w:t>
            </w:r>
          </w:p>
        </w:tc>
        <w:tc>
          <w:tcPr>
            <w:tcW w:w="20" w:type="dxa"/>
            <w:vAlign w:val="bottom"/>
          </w:tcPr>
          <w:p>
            <w:pPr>
              <w:spacing w:after="0"/>
              <w:rPr>
                <w:sz w:val="11"/>
                <w:szCs w:val="11"/>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5"/>
                <w:szCs w:val="15"/>
                <w:color w:val="4C4C4E"/>
              </w:rPr>
              <w:t>due 5/2031)</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4C4C4E"/>
              </w:rPr>
              <w:t>(EUR 32,986)</w:t>
            </w: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Babylon Finco Limited </w:t>
            </w:r>
            <w:r>
              <w:rPr>
                <w:rFonts w:ascii="Times New Roman" w:cs="Times New Roman" w:eastAsia="Times New Roman" w:hAnsi="Times New Roman"/>
                <w:sz w:val="19"/>
                <w:szCs w:val="19"/>
                <w:color w:val="4C4C4E"/>
                <w:vertAlign w:val="superscript"/>
              </w:rPr>
              <w:t>(3)(4)</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($1,557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1/26/2024</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10.37%</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1,511</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1,557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00" w:type="dxa"/>
            <w:vAlign w:val="bottom"/>
            <w:gridSpan w:val="2"/>
            <w:shd w:val="clear" w:color="auto" w:fill="D8EEF4"/>
          </w:tcPr>
          <w:p>
            <w:pPr>
              <w:ind w:left="20"/>
              <w:spacing w:after="0"/>
              <w:rPr>
                <w:sz w:val="20"/>
                <w:szCs w:val="20"/>
                <w:color w:val="auto"/>
              </w:rPr>
            </w:pPr>
            <w:r>
              <w:rPr>
                <w:rFonts w:ascii="Times New Roman" w:cs="Times New Roman" w:eastAsia="Times New Roman" w:hAnsi="Times New Roman"/>
                <w:sz w:val="15"/>
                <w:szCs w:val="15"/>
                <w:color w:val="4C4C4E"/>
              </w:rPr>
              <w:t>1/2031)</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Banyan Software Holdings, LLC</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($39,386 par, due</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1/27/2023</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+ 7.35%</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11.71%</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38,748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40,173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20"/>
                <w:szCs w:val="20"/>
                <w:color w:val="auto"/>
              </w:rPr>
            </w:pPr>
            <w:r>
              <w:rPr>
                <w:rFonts w:ascii="Times New Roman" w:cs="Times New Roman" w:eastAsia="Times New Roman" w:hAnsi="Times New Roman"/>
                <w:sz w:val="10"/>
                <w:szCs w:val="10"/>
                <w:color w:val="4C4C4E"/>
              </w:rPr>
              <w:t>(3)(4)</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4C4C4E"/>
              </w:rPr>
              <w:t>10/2026)</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First-lien loan ($16,045 par, due</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1/26/2024</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+ 6.25%</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10.61%</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15,768</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16,594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00" w:type="dxa"/>
            <w:vAlign w:val="bottom"/>
            <w:gridSpan w:val="2"/>
            <w:shd w:val="clear" w:color="auto" w:fill="D8EEF4"/>
          </w:tcPr>
          <w:p>
            <w:pPr>
              <w:ind w:left="20"/>
              <w:spacing w:after="0"/>
              <w:rPr>
                <w:sz w:val="20"/>
                <w:szCs w:val="20"/>
                <w:color w:val="auto"/>
              </w:rPr>
            </w:pPr>
            <w:r>
              <w:rPr>
                <w:rFonts w:ascii="Times New Roman" w:cs="Times New Roman" w:eastAsia="Times New Roman" w:hAnsi="Times New Roman"/>
                <w:sz w:val="15"/>
                <w:szCs w:val="15"/>
                <w:color w:val="4C4C4E"/>
              </w:rPr>
              <w:t>10/2026)</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Celtra Technologies, Inc. </w:t>
            </w:r>
            <w:r>
              <w:rPr>
                <w:rFonts w:ascii="Times New Roman" w:cs="Times New Roman" w:eastAsia="Times New Roman" w:hAnsi="Times New Roman"/>
                <w:sz w:val="19"/>
                <w:szCs w:val="19"/>
                <w:color w:val="4C4C4E"/>
                <w:vertAlign w:val="superscript"/>
              </w:rPr>
              <w:t>(3)(5)</w:t>
            </w:r>
          </w:p>
        </w:tc>
        <w:tc>
          <w:tcPr>
            <w:tcW w:w="20" w:type="dxa"/>
            <w:vAlign w:val="bottom"/>
          </w:tcPr>
          <w:p>
            <w:pPr>
              <w:spacing w:after="0"/>
              <w:rPr>
                <w:sz w:val="14"/>
                <w:szCs w:val="14"/>
                <w:color w:val="auto"/>
              </w:rPr>
            </w:pPr>
          </w:p>
        </w:tc>
        <w:tc>
          <w:tcPr>
            <w:tcW w:w="1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First-lien loan ($26,437 par, due</w:t>
            </w:r>
          </w:p>
        </w:tc>
        <w:tc>
          <w:tcPr>
            <w:tcW w:w="7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11/19/2021</w:t>
            </w:r>
          </w:p>
        </w:tc>
        <w:tc>
          <w:tcPr>
            <w:tcW w:w="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980" w:type="dxa"/>
            <w:vAlign w:val="bottom"/>
            <w:gridSpan w:val="3"/>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10.34%</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26,075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26,503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D8EEF4"/>
            </w:tcBorders>
          </w:tcPr>
          <w:p>
            <w:pPr>
              <w:spacing w:after="0"/>
              <w:rPr>
                <w:sz w:val="16"/>
                <w:szCs w:val="16"/>
                <w:color w:val="auto"/>
              </w:rPr>
            </w:pPr>
          </w:p>
        </w:tc>
        <w:tc>
          <w:tcPr>
            <w:tcW w:w="2000" w:type="dxa"/>
            <w:vAlign w:val="bottom"/>
            <w:tcBorders>
              <w:bottom w:val="single" w:sz="8" w:color="D8EEF4"/>
            </w:tcBorders>
            <w:gridSpan w:val="2"/>
          </w:tcPr>
          <w:p>
            <w:pPr>
              <w:ind w:left="20"/>
              <w:spacing w:after="0"/>
              <w:rPr>
                <w:sz w:val="20"/>
                <w:szCs w:val="20"/>
                <w:color w:val="auto"/>
              </w:rPr>
            </w:pPr>
            <w:r>
              <w:rPr>
                <w:rFonts w:ascii="Times New Roman" w:cs="Times New Roman" w:eastAsia="Times New Roman" w:hAnsi="Times New Roman"/>
                <w:sz w:val="15"/>
                <w:szCs w:val="15"/>
                <w:color w:val="4C4C4E"/>
              </w:rPr>
              <w:t>11/2026)</w:t>
            </w:r>
          </w:p>
        </w:tc>
        <w:tc>
          <w:tcPr>
            <w:tcW w:w="20" w:type="dxa"/>
            <w:vAlign w:val="bottom"/>
            <w:tcBorders>
              <w:bottom w:val="single" w:sz="8" w:color="D8EEF4"/>
            </w:tcBorders>
          </w:tcPr>
          <w:p>
            <w:pPr>
              <w:spacing w:after="0"/>
              <w:rPr>
                <w:sz w:val="16"/>
                <w:szCs w:val="16"/>
                <w:color w:val="auto"/>
              </w:rPr>
            </w:pPr>
          </w:p>
        </w:tc>
        <w:tc>
          <w:tcPr>
            <w:tcW w:w="740" w:type="dxa"/>
            <w:vAlign w:val="bottom"/>
            <w:tcBorders>
              <w:bottom w:val="single" w:sz="8" w:color="D8EEF4"/>
            </w:tcBorders>
          </w:tcPr>
          <w:p>
            <w:pPr>
              <w:spacing w:after="0"/>
              <w:rPr>
                <w:sz w:val="16"/>
                <w:szCs w:val="16"/>
                <w:color w:val="auto"/>
              </w:rPr>
            </w:pPr>
          </w:p>
        </w:tc>
        <w:tc>
          <w:tcPr>
            <w:tcW w:w="20" w:type="dxa"/>
            <w:vAlign w:val="bottom"/>
            <w:tcBorders>
              <w:bottom w:val="single" w:sz="8" w:color="D8EEF4"/>
            </w:tcBorders>
          </w:tcPr>
          <w:p>
            <w:pPr>
              <w:spacing w:after="0"/>
              <w:rPr>
                <w:sz w:val="16"/>
                <w:szCs w:val="16"/>
                <w:color w:val="auto"/>
              </w:rPr>
            </w:pPr>
          </w:p>
        </w:tc>
        <w:tc>
          <w:tcPr>
            <w:tcW w:w="1100" w:type="dxa"/>
            <w:vAlign w:val="bottom"/>
            <w:tcBorders>
              <w:bottom w:val="single" w:sz="8" w:color="D8EEF4"/>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1660" w:type="dxa"/>
            <w:vAlign w:val="bottom"/>
            <w:tcBorders>
              <w:bottom w:val="single" w:sz="8" w:color="D8EEF4"/>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78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80" w:type="dxa"/>
            <w:vAlign w:val="bottom"/>
            <w:tcBorders>
              <w:bottom w:val="single" w:sz="8" w:color="4C4C4E"/>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40" w:type="dxa"/>
            <w:vAlign w:val="bottom"/>
            <w:shd w:val="clear" w:color="auto" w:fill="D8EEF4"/>
          </w:tcPr>
          <w:p>
            <w:pPr>
              <w:spacing w:after="0"/>
              <w:rPr>
                <w:sz w:val="15"/>
                <w:szCs w:val="15"/>
                <w:color w:val="auto"/>
              </w:rPr>
            </w:pPr>
          </w:p>
        </w:tc>
        <w:tc>
          <w:tcPr>
            <w:tcW w:w="20" w:type="dxa"/>
            <w:vAlign w:val="bottom"/>
            <w:shd w:val="clear" w:color="auto" w:fill="D8EEF4"/>
          </w:tcPr>
          <w:p>
            <w:pPr>
              <w:spacing w:after="0"/>
              <w:rPr>
                <w:sz w:val="15"/>
                <w:szCs w:val="15"/>
                <w:color w:val="auto"/>
              </w:rPr>
            </w:pPr>
          </w:p>
        </w:tc>
        <w:tc>
          <w:tcPr>
            <w:tcW w:w="1980" w:type="dxa"/>
            <w:vAlign w:val="bottom"/>
            <w:shd w:val="clear" w:color="auto" w:fill="D8EEF4"/>
          </w:tcPr>
          <w:p>
            <w:pPr>
              <w:spacing w:after="0"/>
              <w:rPr>
                <w:sz w:val="15"/>
                <w:szCs w:val="15"/>
                <w:color w:val="auto"/>
              </w:rPr>
            </w:pPr>
          </w:p>
        </w:tc>
        <w:tc>
          <w:tcPr>
            <w:tcW w:w="20" w:type="dxa"/>
            <w:vAlign w:val="bottom"/>
            <w:shd w:val="clear" w:color="auto" w:fill="D8EEF4"/>
          </w:tcPr>
          <w:p>
            <w:pPr>
              <w:spacing w:after="0"/>
              <w:rPr>
                <w:sz w:val="15"/>
                <w:szCs w:val="15"/>
                <w:color w:val="auto"/>
              </w:rPr>
            </w:pPr>
          </w:p>
        </w:tc>
        <w:tc>
          <w:tcPr>
            <w:tcW w:w="740" w:type="dxa"/>
            <w:vAlign w:val="bottom"/>
            <w:shd w:val="clear" w:color="auto" w:fill="D8EEF4"/>
          </w:tcPr>
          <w:p>
            <w:pPr>
              <w:spacing w:after="0"/>
              <w:rPr>
                <w:sz w:val="15"/>
                <w:szCs w:val="15"/>
                <w:color w:val="auto"/>
              </w:rPr>
            </w:pPr>
          </w:p>
        </w:tc>
        <w:tc>
          <w:tcPr>
            <w:tcW w:w="20" w:type="dxa"/>
            <w:vAlign w:val="bottom"/>
            <w:shd w:val="clear" w:color="auto" w:fill="D8EEF4"/>
          </w:tcPr>
          <w:p>
            <w:pPr>
              <w:spacing w:after="0"/>
              <w:rPr>
                <w:sz w:val="15"/>
                <w:szCs w:val="15"/>
                <w:color w:val="auto"/>
              </w:rPr>
            </w:pPr>
          </w:p>
        </w:tc>
        <w:tc>
          <w:tcPr>
            <w:tcW w:w="1100" w:type="dxa"/>
            <w:vAlign w:val="bottom"/>
            <w:shd w:val="clear" w:color="auto" w:fill="D8EEF4"/>
          </w:tcPr>
          <w:p>
            <w:pPr>
              <w:spacing w:after="0"/>
              <w:rPr>
                <w:sz w:val="15"/>
                <w:szCs w:val="15"/>
                <w:color w:val="auto"/>
              </w:rPr>
            </w:pPr>
          </w:p>
        </w:tc>
        <w:tc>
          <w:tcPr>
            <w:tcW w:w="160" w:type="dxa"/>
            <w:vAlign w:val="bottom"/>
            <w:shd w:val="clear" w:color="auto" w:fill="D8EEF4"/>
          </w:tcPr>
          <w:p>
            <w:pPr>
              <w:spacing w:after="0"/>
              <w:rPr>
                <w:sz w:val="15"/>
                <w:szCs w:val="15"/>
                <w:color w:val="auto"/>
              </w:rPr>
            </w:pPr>
          </w:p>
        </w:tc>
        <w:tc>
          <w:tcPr>
            <w:tcW w:w="1660" w:type="dxa"/>
            <w:vAlign w:val="bottom"/>
            <w:shd w:val="clear" w:color="auto" w:fill="D8EEF4"/>
          </w:tcPr>
          <w:p>
            <w:pPr>
              <w:spacing w:after="0"/>
              <w:rPr>
                <w:sz w:val="15"/>
                <w:szCs w:val="15"/>
                <w:color w:val="auto"/>
              </w:rPr>
            </w:pPr>
          </w:p>
        </w:tc>
        <w:tc>
          <w:tcPr>
            <w:tcW w:w="160" w:type="dxa"/>
            <w:vAlign w:val="bottom"/>
            <w:shd w:val="clear" w:color="auto" w:fill="D8EEF4"/>
          </w:tcPr>
          <w:p>
            <w:pPr>
              <w:spacing w:after="0"/>
              <w:rPr>
                <w:sz w:val="15"/>
                <w:szCs w:val="15"/>
                <w:color w:val="auto"/>
              </w:rPr>
            </w:pPr>
          </w:p>
        </w:tc>
        <w:tc>
          <w:tcPr>
            <w:tcW w:w="7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117,017</w:t>
            </w:r>
          </w:p>
        </w:tc>
        <w:tc>
          <w:tcPr>
            <w:tcW w:w="40" w:type="dxa"/>
            <w:vAlign w:val="bottom"/>
            <w:shd w:val="clear" w:color="auto" w:fill="D8EEF4"/>
          </w:tcPr>
          <w:p>
            <w:pPr>
              <w:spacing w:after="0"/>
              <w:rPr>
                <w:sz w:val="15"/>
                <w:szCs w:val="15"/>
                <w:color w:val="auto"/>
              </w:rPr>
            </w:pPr>
          </w:p>
        </w:tc>
        <w:tc>
          <w:tcPr>
            <w:tcW w:w="180" w:type="dxa"/>
            <w:vAlign w:val="bottom"/>
            <w:tcBorders>
              <w:bottom w:val="single" w:sz="8" w:color="4C4C4E"/>
            </w:tcBorders>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118,984</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7.4</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81"/>
        </w:trPr>
        <w:tc>
          <w:tcPr>
            <w:tcW w:w="214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Education</w:t>
            </w: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Astra Acquisition Corp. </w:t>
            </w:r>
            <w:r>
              <w:rPr>
                <w:rFonts w:ascii="Times New Roman" w:cs="Times New Roman" w:eastAsia="Times New Roman" w:hAnsi="Times New Roman"/>
                <w:sz w:val="19"/>
                <w:szCs w:val="19"/>
                <w:color w:val="4C4C4E"/>
                <w:vertAlign w:val="superscript"/>
              </w:rPr>
              <w:t>(3)(14)</w:t>
            </w:r>
          </w:p>
        </w:tc>
        <w:tc>
          <w:tcPr>
            <w:tcW w:w="20" w:type="dxa"/>
            <w:vAlign w:val="bottom"/>
            <w:shd w:val="clear" w:color="auto" w:fill="D8EEF4"/>
          </w:tcPr>
          <w:p>
            <w:pPr>
              <w:spacing w:after="0"/>
              <w:rPr>
                <w:sz w:val="14"/>
                <w:szCs w:val="14"/>
                <w:color w:val="auto"/>
              </w:rPr>
            </w:pPr>
          </w:p>
        </w:tc>
        <w:tc>
          <w:tcPr>
            <w:tcW w:w="19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Second-lien loan ($40,302 par,</w:t>
            </w:r>
          </w:p>
        </w:tc>
        <w:tc>
          <w:tcPr>
            <w:tcW w:w="7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10/22/2021</w:t>
            </w:r>
          </w:p>
        </w:tc>
        <w:tc>
          <w:tcPr>
            <w:tcW w:w="20" w:type="dxa"/>
            <w:vAlign w:val="bottom"/>
            <w:shd w:val="clear" w:color="auto" w:fill="D8EEF4"/>
          </w:tcPr>
          <w:p>
            <w:pPr>
              <w:spacing w:after="0"/>
              <w:rPr>
                <w:sz w:val="14"/>
                <w:szCs w:val="14"/>
                <w:color w:val="auto"/>
              </w:rPr>
            </w:pPr>
          </w:p>
        </w:tc>
        <w:tc>
          <w:tcPr>
            <w:tcW w:w="11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SOFR + 9.14%</w:t>
            </w:r>
          </w:p>
        </w:tc>
        <w:tc>
          <w:tcPr>
            <w:tcW w:w="1980" w:type="dxa"/>
            <w:vAlign w:val="bottom"/>
            <w:gridSpan w:val="3"/>
            <w:shd w:val="clear" w:color="auto" w:fill="D8EEF4"/>
          </w:tcPr>
          <w:p>
            <w:pPr>
              <w:jc w:val="right"/>
              <w:ind w:right="40"/>
              <w:spacing w:after="0" w:line="171" w:lineRule="exact"/>
              <w:rPr>
                <w:sz w:val="20"/>
                <w:szCs w:val="20"/>
                <w:color w:val="auto"/>
              </w:rPr>
            </w:pPr>
            <w:r>
              <w:rPr>
                <w:rFonts w:ascii="Times New Roman" w:cs="Times New Roman" w:eastAsia="Times New Roman" w:hAnsi="Times New Roman"/>
                <w:sz w:val="15"/>
                <w:szCs w:val="15"/>
                <w:color w:val="4C4C4E"/>
              </w:rPr>
              <w:t>13.47%</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39,703</w:t>
            </w:r>
          </w:p>
        </w:tc>
        <w:tc>
          <w:tcPr>
            <w:tcW w:w="40" w:type="dxa"/>
            <w:vAlign w:val="bottom"/>
            <w:shd w:val="clear" w:color="auto" w:fill="D8EEF4"/>
          </w:tcPr>
          <w:p>
            <w:pPr>
              <w:spacing w:after="0"/>
              <w:rPr>
                <w:sz w:val="14"/>
                <w:szCs w:val="14"/>
                <w:color w:val="auto"/>
              </w:rPr>
            </w:pPr>
          </w:p>
        </w:tc>
        <w:tc>
          <w:tcPr>
            <w:tcW w:w="180" w:type="dxa"/>
            <w:vAlign w:val="bottom"/>
            <w:shd w:val="clear" w:color="auto" w:fill="D8EEF4"/>
          </w:tcPr>
          <w:p>
            <w:pPr>
              <w:spacing w:after="0"/>
              <w:rPr>
                <w:sz w:val="14"/>
                <w:szCs w:val="14"/>
                <w:color w:val="auto"/>
              </w:rPr>
            </w:pPr>
          </w:p>
        </w:tc>
        <w:tc>
          <w:tcPr>
            <w:tcW w:w="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6,045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c>
          <w:tcPr>
            <w:tcW w:w="0" w:type="dxa"/>
            <w:vAlign w:val="bottom"/>
          </w:tcPr>
          <w:p>
            <w:pPr>
              <w:spacing w:after="0"/>
              <w:rPr>
                <w:sz w:val="1"/>
                <w:szCs w:val="1"/>
                <w:color w:val="auto"/>
              </w:rPr>
            </w:pPr>
          </w:p>
        </w:tc>
      </w:tr>
      <w:tr>
        <w:trPr>
          <w:trHeight w:val="188"/>
        </w:trPr>
        <w:tc>
          <w:tcPr>
            <w:tcW w:w="21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98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due 10/2029)</w:t>
            </w:r>
          </w:p>
        </w:tc>
        <w:tc>
          <w:tcPr>
            <w:tcW w:w="20" w:type="dxa"/>
            <w:vAlign w:val="bottom"/>
            <w:shd w:val="clear" w:color="auto" w:fill="D8EEF4"/>
          </w:tcPr>
          <w:p>
            <w:pPr>
              <w:spacing w:after="0"/>
              <w:rPr>
                <w:sz w:val="16"/>
                <w:szCs w:val="16"/>
                <w:color w:val="auto"/>
              </w:rPr>
            </w:pPr>
          </w:p>
        </w:tc>
        <w:tc>
          <w:tcPr>
            <w:tcW w:w="7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10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66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8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80"/>
          </w:cols>
          <w:pgMar w:left="500" w:top="766" w:right="500" w:bottom="6"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F-17</w:t>
      </w:r>
    </w:p>
    <w:p>
      <w:pPr>
        <w:sectPr>
          <w:pgSz w:w="11880" w:h="15480" w:orient="portrait"/>
          <w:cols w:equalWidth="0" w:num="1">
            <w:col w:w="10880"/>
          </w:cols>
          <w:pgMar w:left="500" w:top="766" w:right="500" w:bottom="6"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4C4C4E"/>
              </w:rPr>
              <w:t>Destiny Solutions Parent Holding</w:t>
            </w: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First-lien loan ($58,950 par, due</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6/8/2021</w:t>
            </w:r>
          </w:p>
        </w:tc>
        <w:tc>
          <w:tcPr>
            <w:tcW w:w="12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4C4C4E"/>
              </w:rPr>
              <w:t>SOFR + 5.60%</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9.96%</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58,535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58,950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3.7%</w:t>
            </w:r>
          </w:p>
        </w:tc>
      </w:tr>
      <w:tr>
        <w:trPr>
          <w:trHeight w:val="188"/>
        </w:trPr>
        <w:tc>
          <w:tcPr>
            <w:tcW w:w="2080" w:type="dxa"/>
            <w:vAlign w:val="bottom"/>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Company </w:t>
            </w:r>
            <w:r>
              <w:rPr>
                <w:rFonts w:ascii="Times New Roman" w:cs="Times New Roman" w:eastAsia="Times New Roman" w:hAnsi="Times New Roman"/>
                <w:sz w:val="20"/>
                <w:szCs w:val="20"/>
                <w:color w:val="4C4C4E"/>
                <w:vertAlign w:val="superscript"/>
              </w:rPr>
              <w:t>(3)(5)</w:t>
            </w: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6/2026)</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EMS Linq, Inc. </w:t>
            </w:r>
            <w:r>
              <w:rPr>
                <w:rFonts w:ascii="Times New Roman" w:cs="Times New Roman" w:eastAsia="Times New Roman" w:hAnsi="Times New Roman"/>
                <w:sz w:val="19"/>
                <w:szCs w:val="19"/>
                <w:color w:val="4C4C4E"/>
                <w:vertAlign w:val="superscript"/>
              </w:rPr>
              <w:t>(3)</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($56,216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12/22/2021</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+ 6.35%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10.86%</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55,578</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55,935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12/2027)</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rPr>
                <w:sz w:val="14"/>
                <w:szCs w:val="14"/>
                <w:color w:val="auto"/>
              </w:rPr>
            </w:pP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revolving loan ($4,216</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12/22/2021</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+ 6.35%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10.81%</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4,129</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4,172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par, due 12/2027)</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Kangaroo Bidco AS </w:t>
            </w:r>
            <w:r>
              <w:rPr>
                <w:rFonts w:ascii="Times New Roman" w:cs="Times New Roman" w:eastAsia="Times New Roman" w:hAnsi="Times New Roman"/>
                <w:sz w:val="19"/>
                <w:szCs w:val="19"/>
                <w:color w:val="4C4C4E"/>
                <w:vertAlign w:val="superscript"/>
              </w:rPr>
              <w:t>(3)(4)</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($30,625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11/2/2023</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10.66%</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29,804</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30,800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11/2030)</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Severin Acquisition, LLC </w:t>
            </w:r>
            <w:r>
              <w:rPr>
                <w:rFonts w:ascii="Times New Roman" w:cs="Times New Roman" w:eastAsia="Times New Roman" w:hAnsi="Times New Roman"/>
                <w:sz w:val="19"/>
                <w:szCs w:val="19"/>
                <w:color w:val="4C4C4E"/>
                <w:vertAlign w:val="superscript"/>
              </w:rPr>
              <w:t>(3)</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($15,046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10/1/2024</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9.36% (incl. 2.25%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15,028</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15,046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0.9%</w:t>
            </w:r>
          </w:p>
        </w:tc>
      </w:tr>
      <w:tr>
        <w:trPr>
          <w:trHeight w:val="188"/>
        </w:trPr>
        <w:tc>
          <w:tcPr>
            <w:tcW w:w="2080" w:type="dxa"/>
            <w:vAlign w:val="bottom"/>
            <w:tcBorders>
              <w:bottom w:val="single" w:sz="8" w:color="D8EEF4"/>
            </w:tcBorders>
          </w:tcPr>
          <w:p>
            <w:pPr>
              <w:spacing w:after="0"/>
              <w:rPr>
                <w:sz w:val="16"/>
                <w:szCs w:val="16"/>
                <w:color w:val="auto"/>
              </w:rPr>
            </w:pPr>
          </w:p>
        </w:tc>
        <w:tc>
          <w:tcPr>
            <w:tcW w:w="2080" w:type="dxa"/>
            <w:vAlign w:val="bottom"/>
            <w:tcBorders>
              <w:bottom w:val="single" w:sz="8" w:color="D8EEF4"/>
            </w:tcBorders>
          </w:tcPr>
          <w:p>
            <w:pPr>
              <w:ind w:left="80"/>
              <w:spacing w:after="0"/>
              <w:rPr>
                <w:sz w:val="20"/>
                <w:szCs w:val="20"/>
                <w:color w:val="auto"/>
              </w:rPr>
            </w:pPr>
            <w:r>
              <w:rPr>
                <w:rFonts w:ascii="Times New Roman" w:cs="Times New Roman" w:eastAsia="Times New Roman" w:hAnsi="Times New Roman"/>
                <w:sz w:val="15"/>
                <w:szCs w:val="15"/>
                <w:color w:val="4C4C4E"/>
              </w:rPr>
              <w:t>10/2031)</w:t>
            </w:r>
          </w:p>
        </w:tc>
        <w:tc>
          <w:tcPr>
            <w:tcW w:w="780" w:type="dxa"/>
            <w:vAlign w:val="bottom"/>
            <w:tcBorders>
              <w:bottom w:val="single" w:sz="8" w:color="D8EEF4"/>
            </w:tcBorders>
          </w:tcPr>
          <w:p>
            <w:pPr>
              <w:spacing w:after="0"/>
              <w:rPr>
                <w:sz w:val="16"/>
                <w:szCs w:val="16"/>
                <w:color w:val="auto"/>
              </w:rPr>
            </w:pPr>
          </w:p>
        </w:tc>
        <w:tc>
          <w:tcPr>
            <w:tcW w:w="126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78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181"/>
        </w:trPr>
        <w:tc>
          <w:tcPr>
            <w:tcW w:w="2080" w:type="dxa"/>
            <w:vAlign w:val="bottom"/>
            <w:shd w:val="clear" w:color="auto" w:fill="D8EEF4"/>
          </w:tcPr>
          <w:p>
            <w:pPr>
              <w:spacing w:after="0"/>
              <w:rPr>
                <w:sz w:val="15"/>
                <w:szCs w:val="15"/>
                <w:color w:val="auto"/>
              </w:rPr>
            </w:pPr>
          </w:p>
        </w:tc>
        <w:tc>
          <w:tcPr>
            <w:tcW w:w="2080" w:type="dxa"/>
            <w:vAlign w:val="bottom"/>
            <w:shd w:val="clear" w:color="auto" w:fill="D8EEF4"/>
          </w:tcPr>
          <w:p>
            <w:pPr>
              <w:spacing w:after="0"/>
              <w:rPr>
                <w:sz w:val="15"/>
                <w:szCs w:val="15"/>
                <w:color w:val="auto"/>
              </w:rPr>
            </w:pPr>
          </w:p>
        </w:tc>
        <w:tc>
          <w:tcPr>
            <w:tcW w:w="780" w:type="dxa"/>
            <w:vAlign w:val="bottom"/>
            <w:shd w:val="clear" w:color="auto" w:fill="D8EEF4"/>
          </w:tcPr>
          <w:p>
            <w:pPr>
              <w:spacing w:after="0"/>
              <w:rPr>
                <w:sz w:val="15"/>
                <w:szCs w:val="15"/>
                <w:color w:val="auto"/>
              </w:rPr>
            </w:pPr>
          </w:p>
        </w:tc>
        <w:tc>
          <w:tcPr>
            <w:tcW w:w="1260" w:type="dxa"/>
            <w:vAlign w:val="bottom"/>
            <w:shd w:val="clear" w:color="auto" w:fill="D8EEF4"/>
          </w:tcPr>
          <w:p>
            <w:pPr>
              <w:spacing w:after="0"/>
              <w:rPr>
                <w:sz w:val="15"/>
                <w:szCs w:val="15"/>
                <w:color w:val="auto"/>
              </w:rPr>
            </w:pPr>
          </w:p>
        </w:tc>
        <w:tc>
          <w:tcPr>
            <w:tcW w:w="1800" w:type="dxa"/>
            <w:vAlign w:val="bottom"/>
            <w:shd w:val="clear" w:color="auto" w:fill="D8EEF4"/>
          </w:tcPr>
          <w:p>
            <w:pPr>
              <w:spacing w:after="0"/>
              <w:rPr>
                <w:sz w:val="15"/>
                <w:szCs w:val="15"/>
                <w:color w:val="auto"/>
              </w:rPr>
            </w:pPr>
          </w:p>
        </w:tc>
        <w:tc>
          <w:tcPr>
            <w:tcW w:w="7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202,777</w:t>
            </w:r>
          </w:p>
        </w:tc>
        <w:tc>
          <w:tcPr>
            <w:tcW w:w="40" w:type="dxa"/>
            <w:vAlign w:val="bottom"/>
            <w:shd w:val="clear" w:color="auto" w:fill="D8EEF4"/>
          </w:tcPr>
          <w:p>
            <w:pPr>
              <w:spacing w:after="0"/>
              <w:rPr>
                <w:sz w:val="15"/>
                <w:szCs w:val="15"/>
                <w:color w:val="auto"/>
              </w:rPr>
            </w:pPr>
          </w:p>
        </w:tc>
        <w:tc>
          <w:tcPr>
            <w:tcW w:w="10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170,948</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10.6</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81"/>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Electronics</w:t>
            </w:r>
          </w:p>
        </w:tc>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Sapphire Software Buyer, Inc. </w:t>
            </w:r>
            <w:r>
              <w:rPr>
                <w:rFonts w:ascii="Times New Roman" w:cs="Times New Roman" w:eastAsia="Times New Roman" w:hAnsi="Times New Roman"/>
                <w:sz w:val="19"/>
                <w:szCs w:val="19"/>
                <w:color w:val="4C4C4E"/>
                <w:vertAlign w:val="superscript"/>
              </w:rPr>
              <w:t>(3)</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($26,962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9/30/2024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9.75% (incl. 3.0% PIK)</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26,672</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26,811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9/2031)</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86"/>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Financial Services</w:t>
            </w: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Alaska Bidco Oy </w:t>
            </w:r>
            <w:r>
              <w:rPr>
                <w:rFonts w:ascii="Times New Roman" w:cs="Times New Roman" w:eastAsia="Times New Roman" w:hAnsi="Times New Roman"/>
                <w:sz w:val="19"/>
                <w:szCs w:val="19"/>
                <w:color w:val="4C4C4E"/>
                <w:vertAlign w:val="superscript"/>
              </w:rPr>
              <w:t>(3)(4)</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(EUR 727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5/30/2023</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E + 5.75%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8.51%</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759</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765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5/2030)</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739)</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BCTO Bluebill Buyer, Inc. </w:t>
            </w:r>
            <w:r>
              <w:rPr>
                <w:rFonts w:ascii="Times New Roman" w:cs="Times New Roman" w:eastAsia="Times New Roman" w:hAnsi="Times New Roman"/>
                <w:sz w:val="19"/>
                <w:szCs w:val="19"/>
                <w:color w:val="4C4C4E"/>
                <w:vertAlign w:val="superscript"/>
              </w:rPr>
              <w:t>(3)(5)</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($29,532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7/20/2023</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+ 6.25%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10.84%</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28,681</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29,827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7/2029)</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BlueSnap, Inc. </w:t>
            </w:r>
            <w:r>
              <w:rPr>
                <w:rFonts w:ascii="Times New Roman" w:cs="Times New Roman" w:eastAsia="Times New Roman" w:hAnsi="Times New Roman"/>
                <w:sz w:val="19"/>
                <w:szCs w:val="19"/>
                <w:color w:val="4C4C4E"/>
                <w:vertAlign w:val="superscript"/>
              </w:rPr>
              <w:t>(3)(5)</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($45,106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10/25/2019</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+ 9.15%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13.48%</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44,928</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44,749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8/2025)</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BTRS Holdings, Inc. </w:t>
            </w:r>
            <w:r>
              <w:rPr>
                <w:rFonts w:ascii="Times New Roman" w:cs="Times New Roman" w:eastAsia="Times New Roman" w:hAnsi="Times New Roman"/>
                <w:sz w:val="19"/>
                <w:szCs w:val="19"/>
                <w:color w:val="4C4C4E"/>
                <w:vertAlign w:val="superscript"/>
              </w:rPr>
              <w:t>(3)</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($48,983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12/16/2022</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+ 7.25%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11.61%</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48,089</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49,473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12/2028)</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rPr>
                <w:sz w:val="14"/>
                <w:szCs w:val="14"/>
                <w:color w:val="auto"/>
              </w:rPr>
            </w:pP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revolving loan ($1,807</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12/16/2022</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11.76%</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1,712</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1,855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par, due 12/2028)</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CLGF Holdco 2, LLC </w:t>
            </w:r>
            <w:r>
              <w:rPr>
                <w:rFonts w:ascii="Times New Roman" w:cs="Times New Roman" w:eastAsia="Times New Roman" w:hAnsi="Times New Roman"/>
                <w:sz w:val="19"/>
                <w:szCs w:val="19"/>
                <w:color w:val="4C4C4E"/>
                <w:vertAlign w:val="superscript"/>
              </w:rPr>
              <w:t>(3)(4)</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($3,916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11/7/2023</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+ 8.50%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12.83%</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3,860</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3,926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11/2027)</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rPr>
                <w:sz w:val="14"/>
                <w:szCs w:val="14"/>
                <w:color w:val="auto"/>
              </w:rPr>
            </w:pP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Second-lien loan ($3,357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11/7/2023</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+ 12.00%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16.33%</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3,150</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3,357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11/2028)</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Fullsteam Operations, LLC </w:t>
            </w:r>
            <w:r>
              <w:rPr>
                <w:rFonts w:ascii="Times New Roman" w:cs="Times New Roman" w:eastAsia="Times New Roman" w:hAnsi="Times New Roman"/>
                <w:sz w:val="19"/>
                <w:szCs w:val="19"/>
                <w:color w:val="4C4C4E"/>
                <w:vertAlign w:val="superscript"/>
              </w:rPr>
              <w:t>(3)</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($40,048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11/27/2023</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+ 8.38%</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12.89%</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38,946</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40,457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11/2029)</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GreenShoot BidCo B.V </w:t>
            </w:r>
            <w:r>
              <w:rPr>
                <w:rFonts w:ascii="Times New Roman" w:cs="Times New Roman" w:eastAsia="Times New Roman" w:hAnsi="Times New Roman"/>
                <w:sz w:val="19"/>
                <w:szCs w:val="19"/>
                <w:color w:val="4C4C4E"/>
                <w:vertAlign w:val="superscript"/>
              </w:rPr>
              <w:t>(3)(4)</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(EUR 5,107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5/28/2024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E + 5.75%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8.66%</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5,413</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5,246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5/2030)</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5,066)</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Ibis Intermediate Co. </w:t>
            </w:r>
            <w:r>
              <w:rPr>
                <w:rFonts w:ascii="Times New Roman" w:cs="Times New Roman" w:eastAsia="Times New Roman" w:hAnsi="Times New Roman"/>
                <w:sz w:val="19"/>
                <w:szCs w:val="19"/>
                <w:color w:val="4C4C4E"/>
                <w:vertAlign w:val="superscript"/>
              </w:rPr>
              <w:t>(3)(5)</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($1,185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5/28/2021</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+ 4.65%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9.16%</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1,154</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1,191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5/2027)</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Ibis US Blocker Co. </w:t>
            </w:r>
            <w:r>
              <w:rPr>
                <w:rFonts w:ascii="Times New Roman" w:cs="Times New Roman" w:eastAsia="Times New Roman" w:hAnsi="Times New Roman"/>
                <w:sz w:val="19"/>
                <w:szCs w:val="19"/>
                <w:color w:val="4C4C4E"/>
                <w:vertAlign w:val="superscript"/>
              </w:rPr>
              <w:t>(3)</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($18,290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5/28/2021</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+ 8.40%</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12.91% PIK</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18,111</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18,290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5/2028)</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Passport Labs, Inc.</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($24,995,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4/28/2021</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+ 8.40%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12.91%</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24,914</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25,058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4/2026) (3)</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rPr>
                <w:sz w:val="14"/>
                <w:szCs w:val="14"/>
                <w:color w:val="auto"/>
              </w:rPr>
            </w:pP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Convertible Promissory Note A</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3/2/2023</w:t>
            </w:r>
          </w:p>
        </w:tc>
        <w:tc>
          <w:tcPr>
            <w:tcW w:w="126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8.00%</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1,086</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2,076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($1,086 par, due 8/2026)</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TradingScreen, Inc. </w:t>
            </w:r>
            <w:r>
              <w:rPr>
                <w:rFonts w:ascii="Times New Roman" w:cs="Times New Roman" w:eastAsia="Times New Roman" w:hAnsi="Times New Roman"/>
                <w:sz w:val="19"/>
                <w:szCs w:val="19"/>
                <w:color w:val="4C4C4E"/>
                <w:vertAlign w:val="superscript"/>
              </w:rPr>
              <w:t>(3)(5)</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($55,528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4/30/2021</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+ 6.35%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10.93%</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54,788</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55,528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4/2027)</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rPr>
                <w:sz w:val="14"/>
                <w:szCs w:val="14"/>
                <w:color w:val="auto"/>
              </w:rPr>
            </w:pP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revolving loan ($899</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P + 5.25%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12.75%</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876</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899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par, due 5/2027)</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Volante Technologies, Inc.</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($3,072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9/29/2023</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16.50%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16.50%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3,049</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3,141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r>
      <w:tr>
        <w:trPr>
          <w:trHeight w:val="188"/>
        </w:trPr>
        <w:tc>
          <w:tcPr>
            <w:tcW w:w="2080" w:type="dxa"/>
            <w:vAlign w:val="bottom"/>
            <w:tcBorders>
              <w:bottom w:val="single" w:sz="8" w:color="D8EEF4"/>
            </w:tcBorders>
          </w:tcPr>
          <w:p>
            <w:pPr>
              <w:spacing w:after="0"/>
              <w:rPr>
                <w:sz w:val="16"/>
                <w:szCs w:val="16"/>
                <w:color w:val="auto"/>
              </w:rPr>
            </w:pPr>
          </w:p>
        </w:tc>
        <w:tc>
          <w:tcPr>
            <w:tcW w:w="2080" w:type="dxa"/>
            <w:vAlign w:val="bottom"/>
            <w:tcBorders>
              <w:bottom w:val="single" w:sz="8" w:color="D8EEF4"/>
            </w:tcBorders>
          </w:tcPr>
          <w:p>
            <w:pPr>
              <w:ind w:left="80"/>
              <w:spacing w:after="0"/>
              <w:rPr>
                <w:sz w:val="20"/>
                <w:szCs w:val="20"/>
                <w:color w:val="auto"/>
              </w:rPr>
            </w:pPr>
            <w:r>
              <w:rPr>
                <w:rFonts w:ascii="Times New Roman" w:cs="Times New Roman" w:eastAsia="Times New Roman" w:hAnsi="Times New Roman"/>
                <w:sz w:val="15"/>
                <w:szCs w:val="15"/>
                <w:color w:val="4C4C4E"/>
              </w:rPr>
              <w:t>9/2028)</w:t>
            </w:r>
          </w:p>
        </w:tc>
        <w:tc>
          <w:tcPr>
            <w:tcW w:w="780" w:type="dxa"/>
            <w:vAlign w:val="bottom"/>
            <w:tcBorders>
              <w:bottom w:val="single" w:sz="8" w:color="D8EEF4"/>
            </w:tcBorders>
          </w:tcPr>
          <w:p>
            <w:pPr>
              <w:spacing w:after="0"/>
              <w:rPr>
                <w:sz w:val="16"/>
                <w:szCs w:val="16"/>
                <w:color w:val="auto"/>
              </w:rPr>
            </w:pPr>
          </w:p>
        </w:tc>
        <w:tc>
          <w:tcPr>
            <w:tcW w:w="126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78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181"/>
        </w:trPr>
        <w:tc>
          <w:tcPr>
            <w:tcW w:w="2080" w:type="dxa"/>
            <w:vAlign w:val="bottom"/>
            <w:shd w:val="clear" w:color="auto" w:fill="D8EEF4"/>
          </w:tcPr>
          <w:p>
            <w:pPr>
              <w:spacing w:after="0"/>
              <w:rPr>
                <w:sz w:val="15"/>
                <w:szCs w:val="15"/>
                <w:color w:val="auto"/>
              </w:rPr>
            </w:pPr>
          </w:p>
        </w:tc>
        <w:tc>
          <w:tcPr>
            <w:tcW w:w="2080" w:type="dxa"/>
            <w:vAlign w:val="bottom"/>
            <w:shd w:val="clear" w:color="auto" w:fill="D8EEF4"/>
          </w:tcPr>
          <w:p>
            <w:pPr>
              <w:spacing w:after="0"/>
              <w:rPr>
                <w:sz w:val="15"/>
                <w:szCs w:val="15"/>
                <w:color w:val="auto"/>
              </w:rPr>
            </w:pPr>
          </w:p>
        </w:tc>
        <w:tc>
          <w:tcPr>
            <w:tcW w:w="780" w:type="dxa"/>
            <w:vAlign w:val="bottom"/>
            <w:shd w:val="clear" w:color="auto" w:fill="D8EEF4"/>
          </w:tcPr>
          <w:p>
            <w:pPr>
              <w:spacing w:after="0"/>
              <w:rPr>
                <w:sz w:val="15"/>
                <w:szCs w:val="15"/>
                <w:color w:val="auto"/>
              </w:rPr>
            </w:pPr>
          </w:p>
        </w:tc>
        <w:tc>
          <w:tcPr>
            <w:tcW w:w="1260" w:type="dxa"/>
            <w:vAlign w:val="bottom"/>
            <w:shd w:val="clear" w:color="auto" w:fill="D8EEF4"/>
          </w:tcPr>
          <w:p>
            <w:pPr>
              <w:spacing w:after="0"/>
              <w:rPr>
                <w:sz w:val="15"/>
                <w:szCs w:val="15"/>
                <w:color w:val="auto"/>
              </w:rPr>
            </w:pPr>
          </w:p>
        </w:tc>
        <w:tc>
          <w:tcPr>
            <w:tcW w:w="1800" w:type="dxa"/>
            <w:vAlign w:val="bottom"/>
            <w:shd w:val="clear" w:color="auto" w:fill="D8EEF4"/>
          </w:tcPr>
          <w:p>
            <w:pPr>
              <w:spacing w:after="0"/>
              <w:rPr>
                <w:sz w:val="15"/>
                <w:szCs w:val="15"/>
                <w:color w:val="auto"/>
              </w:rPr>
            </w:pPr>
          </w:p>
        </w:tc>
        <w:tc>
          <w:tcPr>
            <w:tcW w:w="7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279,516</w:t>
            </w:r>
          </w:p>
        </w:tc>
        <w:tc>
          <w:tcPr>
            <w:tcW w:w="40" w:type="dxa"/>
            <w:vAlign w:val="bottom"/>
            <w:shd w:val="clear" w:color="auto" w:fill="D8EEF4"/>
          </w:tcPr>
          <w:p>
            <w:pPr>
              <w:spacing w:after="0"/>
              <w:rPr>
                <w:sz w:val="15"/>
                <w:szCs w:val="15"/>
                <w:color w:val="auto"/>
              </w:rPr>
            </w:pPr>
          </w:p>
        </w:tc>
        <w:tc>
          <w:tcPr>
            <w:tcW w:w="10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285,838</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17.8</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81"/>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Healthcare</w:t>
            </w:r>
          </w:p>
        </w:tc>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BCTO Ace Purchaser, Inc. </w:t>
            </w:r>
            <w:r>
              <w:rPr>
                <w:rFonts w:ascii="Times New Roman" w:cs="Times New Roman" w:eastAsia="Times New Roman" w:hAnsi="Times New Roman"/>
                <w:sz w:val="19"/>
                <w:szCs w:val="19"/>
                <w:color w:val="4C4C4E"/>
                <w:vertAlign w:val="superscript"/>
              </w:rPr>
              <w:t>(3)</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($70,154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11/23/2020</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11.01%</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69,484</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71,208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11/2029)</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rPr>
                <w:sz w:val="14"/>
                <w:szCs w:val="14"/>
                <w:color w:val="auto"/>
              </w:rPr>
            </w:pP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Second-lien loan ($6,596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1/23/2023</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+ 10.70%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15.33%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6,488</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6,745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1/2030)</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Edge Bidco B.V. </w:t>
            </w:r>
            <w:r>
              <w:rPr>
                <w:rFonts w:ascii="Times New Roman" w:cs="Times New Roman" w:eastAsia="Times New Roman" w:hAnsi="Times New Roman"/>
                <w:sz w:val="19"/>
                <w:szCs w:val="19"/>
                <w:color w:val="4C4C4E"/>
                <w:vertAlign w:val="superscript"/>
              </w:rPr>
              <w:t>(3)(4)(5)</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(EUR 5,947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2/24/2023</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E + 6.75%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9.43%</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6,219</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6,284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due 2/2029)</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6,068)</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Eventus Buyer, LLC </w:t>
            </w:r>
            <w:r>
              <w:rPr>
                <w:rFonts w:ascii="Times New Roman" w:cs="Times New Roman" w:eastAsia="Times New Roman" w:hAnsi="Times New Roman"/>
                <w:sz w:val="19"/>
                <w:szCs w:val="19"/>
                <w:color w:val="4C4C4E"/>
                <w:vertAlign w:val="superscript"/>
              </w:rPr>
              <w:t>(3)</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($25,900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11/1/2024</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9.86%</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25,472</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25,571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11/2030)</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rPr>
                <w:sz w:val="14"/>
                <w:szCs w:val="14"/>
                <w:color w:val="auto"/>
              </w:rPr>
            </w:pP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revolving loan ($467</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10.03%</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416</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par, due 11/2030)</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Merative L.P. </w:t>
            </w:r>
            <w:r>
              <w:rPr>
                <w:rFonts w:ascii="Times New Roman" w:cs="Times New Roman" w:eastAsia="Times New Roman" w:hAnsi="Times New Roman"/>
                <w:sz w:val="19"/>
                <w:szCs w:val="19"/>
                <w:color w:val="4C4C4E"/>
                <w:vertAlign w:val="superscript"/>
              </w:rPr>
              <w:t>(3)(5)</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($70,103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6/30/2022</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+ 7.25%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11.58%</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68,543</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69,928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6/2028)</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Raptor US Buyer II Corp. </w:t>
            </w:r>
            <w:r>
              <w:rPr>
                <w:rFonts w:ascii="Times New Roman" w:cs="Times New Roman" w:eastAsia="Times New Roman" w:hAnsi="Times New Roman"/>
                <w:sz w:val="19"/>
                <w:szCs w:val="19"/>
                <w:color w:val="4C4C4E"/>
                <w:vertAlign w:val="superscript"/>
              </w:rPr>
              <w:t>(3)(5)</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($18,133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3/24/2023</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10.61%</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17,695</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18,368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3/2029)</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SL Buyer Corp. </w:t>
            </w:r>
            <w:r>
              <w:rPr>
                <w:rFonts w:ascii="Times New Roman" w:cs="Times New Roman" w:eastAsia="Times New Roman" w:hAnsi="Times New Roman"/>
                <w:sz w:val="19"/>
                <w:szCs w:val="19"/>
                <w:color w:val="4C4C4E"/>
                <w:vertAlign w:val="superscript"/>
              </w:rPr>
              <w:t>(3)(5)</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($33,416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7/7/2023</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12.34%</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32,264</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33,215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w:t>
            </w:r>
          </w:p>
        </w:tc>
      </w:tr>
      <w:tr>
        <w:trPr>
          <w:trHeight w:val="188"/>
        </w:trPr>
        <w:tc>
          <w:tcPr>
            <w:tcW w:w="2080" w:type="dxa"/>
            <w:vAlign w:val="bottom"/>
            <w:tcBorders>
              <w:bottom w:val="single" w:sz="8" w:color="D8EEF4"/>
            </w:tcBorders>
          </w:tcPr>
          <w:p>
            <w:pPr>
              <w:spacing w:after="0"/>
              <w:rPr>
                <w:sz w:val="16"/>
                <w:szCs w:val="16"/>
                <w:color w:val="auto"/>
              </w:rPr>
            </w:pPr>
          </w:p>
        </w:tc>
        <w:tc>
          <w:tcPr>
            <w:tcW w:w="2080" w:type="dxa"/>
            <w:vAlign w:val="bottom"/>
            <w:tcBorders>
              <w:bottom w:val="single" w:sz="8" w:color="D8EEF4"/>
            </w:tcBorders>
          </w:tcPr>
          <w:p>
            <w:pPr>
              <w:ind w:left="80"/>
              <w:spacing w:after="0"/>
              <w:rPr>
                <w:sz w:val="20"/>
                <w:szCs w:val="20"/>
                <w:color w:val="auto"/>
              </w:rPr>
            </w:pPr>
            <w:r>
              <w:rPr>
                <w:rFonts w:ascii="Times New Roman" w:cs="Times New Roman" w:eastAsia="Times New Roman" w:hAnsi="Times New Roman"/>
                <w:sz w:val="15"/>
                <w:szCs w:val="15"/>
                <w:color w:val="4C4C4E"/>
              </w:rPr>
              <w:t>7/2029)</w:t>
            </w:r>
          </w:p>
        </w:tc>
        <w:tc>
          <w:tcPr>
            <w:tcW w:w="780" w:type="dxa"/>
            <w:vAlign w:val="bottom"/>
            <w:tcBorders>
              <w:bottom w:val="single" w:sz="8" w:color="D8EEF4"/>
            </w:tcBorders>
          </w:tcPr>
          <w:p>
            <w:pPr>
              <w:spacing w:after="0"/>
              <w:rPr>
                <w:sz w:val="16"/>
                <w:szCs w:val="16"/>
                <w:color w:val="auto"/>
              </w:rPr>
            </w:pPr>
          </w:p>
        </w:tc>
        <w:tc>
          <w:tcPr>
            <w:tcW w:w="126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78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r>
      <w:tr>
        <w:trPr>
          <w:trHeight w:val="181"/>
        </w:trPr>
        <w:tc>
          <w:tcPr>
            <w:tcW w:w="2080" w:type="dxa"/>
            <w:vAlign w:val="bottom"/>
            <w:shd w:val="clear" w:color="auto" w:fill="D8EEF4"/>
          </w:tcPr>
          <w:p>
            <w:pPr>
              <w:spacing w:after="0"/>
              <w:rPr>
                <w:sz w:val="15"/>
                <w:szCs w:val="15"/>
                <w:color w:val="auto"/>
              </w:rPr>
            </w:pPr>
          </w:p>
        </w:tc>
        <w:tc>
          <w:tcPr>
            <w:tcW w:w="2080" w:type="dxa"/>
            <w:vAlign w:val="bottom"/>
            <w:shd w:val="clear" w:color="auto" w:fill="D8EEF4"/>
          </w:tcPr>
          <w:p>
            <w:pPr>
              <w:spacing w:after="0"/>
              <w:rPr>
                <w:sz w:val="15"/>
                <w:szCs w:val="15"/>
                <w:color w:val="auto"/>
              </w:rPr>
            </w:pPr>
          </w:p>
        </w:tc>
        <w:tc>
          <w:tcPr>
            <w:tcW w:w="780" w:type="dxa"/>
            <w:vAlign w:val="bottom"/>
            <w:shd w:val="clear" w:color="auto" w:fill="D8EEF4"/>
          </w:tcPr>
          <w:p>
            <w:pPr>
              <w:spacing w:after="0"/>
              <w:rPr>
                <w:sz w:val="15"/>
                <w:szCs w:val="15"/>
                <w:color w:val="auto"/>
              </w:rPr>
            </w:pPr>
          </w:p>
        </w:tc>
        <w:tc>
          <w:tcPr>
            <w:tcW w:w="1260" w:type="dxa"/>
            <w:vAlign w:val="bottom"/>
            <w:shd w:val="clear" w:color="auto" w:fill="D8EEF4"/>
          </w:tcPr>
          <w:p>
            <w:pPr>
              <w:spacing w:after="0"/>
              <w:rPr>
                <w:sz w:val="15"/>
                <w:szCs w:val="15"/>
                <w:color w:val="auto"/>
              </w:rPr>
            </w:pPr>
          </w:p>
        </w:tc>
        <w:tc>
          <w:tcPr>
            <w:tcW w:w="1800" w:type="dxa"/>
            <w:vAlign w:val="bottom"/>
            <w:shd w:val="clear" w:color="auto" w:fill="D8EEF4"/>
          </w:tcPr>
          <w:p>
            <w:pPr>
              <w:spacing w:after="0"/>
              <w:rPr>
                <w:sz w:val="15"/>
                <w:szCs w:val="15"/>
                <w:color w:val="auto"/>
              </w:rPr>
            </w:pPr>
          </w:p>
        </w:tc>
        <w:tc>
          <w:tcPr>
            <w:tcW w:w="7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226,581</w:t>
            </w:r>
          </w:p>
        </w:tc>
        <w:tc>
          <w:tcPr>
            <w:tcW w:w="40" w:type="dxa"/>
            <w:vAlign w:val="bottom"/>
            <w:shd w:val="clear" w:color="auto" w:fill="D8EEF4"/>
          </w:tcPr>
          <w:p>
            <w:pPr>
              <w:spacing w:after="0"/>
              <w:rPr>
                <w:sz w:val="15"/>
                <w:szCs w:val="15"/>
                <w:color w:val="auto"/>
              </w:rPr>
            </w:pPr>
          </w:p>
        </w:tc>
        <w:tc>
          <w:tcPr>
            <w:tcW w:w="10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231,751</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14.4</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r>
      <w:tr>
        <w:trPr>
          <w:trHeight w:val="181"/>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Hotel, Gaming and Leisure</w:t>
            </w:r>
          </w:p>
        </w:tc>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ASG II, LLC </w:t>
            </w:r>
            <w:r>
              <w:rPr>
                <w:rFonts w:ascii="Times New Roman" w:cs="Times New Roman" w:eastAsia="Times New Roman" w:hAnsi="Times New Roman"/>
                <w:sz w:val="19"/>
                <w:szCs w:val="19"/>
                <w:color w:val="4C4C4E"/>
                <w:vertAlign w:val="superscript"/>
              </w:rPr>
              <w:t>(3)(5)</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($65,000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5/25/2022</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+ 6.40%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10.99%</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63,983</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65,162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rPr>
                <w:sz w:val="20"/>
                <w:szCs w:val="20"/>
                <w:color w:val="auto"/>
              </w:rPr>
            </w:pPr>
            <w:r>
              <w:rPr>
                <w:rFonts w:ascii="Times New Roman" w:cs="Times New Roman" w:eastAsia="Times New Roman" w:hAnsi="Times New Roman"/>
                <w:sz w:val="15"/>
                <w:szCs w:val="15"/>
                <w:color w:val="4C4C4E"/>
              </w:rPr>
              <w:t>5/2028)</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AVSC Holding Corp. </w:t>
            </w:r>
            <w:r>
              <w:rPr>
                <w:rFonts w:ascii="Times New Roman" w:cs="Times New Roman" w:eastAsia="Times New Roman" w:hAnsi="Times New Roman"/>
                <w:sz w:val="19"/>
                <w:szCs w:val="19"/>
                <w:color w:val="4C4C4E"/>
                <w:vertAlign w:val="superscript"/>
              </w:rPr>
              <w:t>(3)</w:t>
            </w: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($45,167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12/5/2024</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9.36%</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44,175</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44,292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w:t>
            </w:r>
          </w:p>
        </w:tc>
      </w:tr>
      <w:tr>
        <w:trPr>
          <w:trHeight w:val="188"/>
        </w:trPr>
        <w:tc>
          <w:tcPr>
            <w:tcW w:w="20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12/2031)</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208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Equinox Holdings, Inc.</w:t>
            </w:r>
          </w:p>
        </w:tc>
        <w:tc>
          <w:tcPr>
            <w:tcW w:w="2080" w:type="dxa"/>
            <w:vAlign w:val="bottom"/>
            <w:shd w:val="clear" w:color="auto" w:fill="D8EEF4"/>
          </w:tcPr>
          <w:p>
            <w:pPr>
              <w:ind w:left="80"/>
              <w:spacing w:after="0" w:line="171" w:lineRule="exact"/>
              <w:rPr>
                <w:sz w:val="20"/>
                <w:szCs w:val="20"/>
                <w:color w:val="auto"/>
              </w:rPr>
            </w:pPr>
            <w:r>
              <w:rPr>
                <w:rFonts w:ascii="Times New Roman" w:cs="Times New Roman" w:eastAsia="Times New Roman" w:hAnsi="Times New Roman"/>
                <w:sz w:val="15"/>
                <w:szCs w:val="15"/>
                <w:color w:val="4C4C4E"/>
              </w:rPr>
              <w:t>First-lien loan ($49,590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+ 8.25%</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12.58% (incl. 4.13% PIK)</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48,934</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49,714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w:t>
            </w:r>
          </w:p>
        </w:tc>
      </w:tr>
      <w:tr>
        <w:trPr>
          <w:trHeight w:val="188"/>
        </w:trPr>
        <w:tc>
          <w:tcPr>
            <w:tcW w:w="2080" w:type="dxa"/>
            <w:vAlign w:val="bottom"/>
            <w:shd w:val="clear" w:color="auto" w:fill="D8EEF4"/>
          </w:tcPr>
          <w:p>
            <w:pPr>
              <w:spacing w:after="0"/>
              <w:rPr>
                <w:sz w:val="16"/>
                <w:szCs w:val="16"/>
                <w:color w:val="auto"/>
              </w:rPr>
            </w:pPr>
          </w:p>
        </w:tc>
        <w:tc>
          <w:tcPr>
            <w:tcW w:w="2080" w:type="dxa"/>
            <w:vAlign w:val="bottom"/>
            <w:shd w:val="clear" w:color="auto" w:fill="D8EEF4"/>
          </w:tcPr>
          <w:p>
            <w:pPr>
              <w:ind w:left="80"/>
              <w:spacing w:after="0" w:line="188" w:lineRule="exact"/>
              <w:rPr>
                <w:sz w:val="20"/>
                <w:szCs w:val="20"/>
                <w:color w:val="auto"/>
              </w:rPr>
            </w:pPr>
            <w:r>
              <w:rPr>
                <w:rFonts w:ascii="Times New Roman" w:cs="Times New Roman" w:eastAsia="Times New Roman" w:hAnsi="Times New Roman"/>
                <w:sz w:val="15"/>
                <w:szCs w:val="15"/>
                <w:color w:val="4C4C4E"/>
              </w:rPr>
              <w:t>3/2029)</w:t>
            </w:r>
            <w:r>
              <w:rPr>
                <w:rFonts w:ascii="Times New Roman" w:cs="Times New Roman" w:eastAsia="Times New Roman" w:hAnsi="Times New Roman"/>
                <w:sz w:val="20"/>
                <w:szCs w:val="20"/>
                <w:color w:val="4C4C4E"/>
                <w:vertAlign w:val="superscript"/>
              </w:rPr>
              <w:t>(3)</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r>
      <w:tr>
        <w:trPr>
          <w:trHeight w:val="171"/>
        </w:trPr>
        <w:tc>
          <w:tcPr>
            <w:tcW w:w="2080" w:type="dxa"/>
            <w:vAlign w:val="bottom"/>
          </w:tcPr>
          <w:p>
            <w:pPr>
              <w:spacing w:after="0"/>
              <w:rPr>
                <w:sz w:val="14"/>
                <w:szCs w:val="14"/>
                <w:color w:val="auto"/>
              </w:rPr>
            </w:pPr>
          </w:p>
        </w:tc>
        <w:tc>
          <w:tcPr>
            <w:tcW w:w="208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4C4C4E"/>
              </w:rPr>
              <w:t>Second-lien loan ($2,347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3/13/2024</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16.00%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16.00%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2,297</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2,388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r>
      <w:tr>
        <w:trPr>
          <w:trHeight w:val="202"/>
        </w:trPr>
        <w:tc>
          <w:tcPr>
            <w:tcW w:w="2080" w:type="dxa"/>
            <w:vAlign w:val="bottom"/>
          </w:tcPr>
          <w:p>
            <w:pPr>
              <w:spacing w:after="0"/>
              <w:rPr>
                <w:sz w:val="17"/>
                <w:szCs w:val="17"/>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5"/>
                <w:szCs w:val="15"/>
                <w:color w:val="4C4C4E"/>
              </w:rPr>
              <w:t>due 6/2027)</w:t>
            </w: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10880"/>
          </w:cols>
          <w:pgMar w:left="500" w:top="768" w:right="500" w:bottom="6" w:gutter="0" w:footer="0" w:header="0"/>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F-18</w:t>
      </w:r>
    </w:p>
    <w:p>
      <w:pPr>
        <w:sectPr>
          <w:pgSz w:w="11880" w:h="15480" w:orient="portrait"/>
          <w:cols w:equalWidth="0" w:num="1">
            <w:col w:w="10880"/>
          </w:cols>
          <w:pgMar w:left="500" w:top="768" w:right="500" w:bottom="6"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 xml:space="preserve">IRGSE Holding Corp. </w:t>
            </w:r>
            <w:r>
              <w:rPr>
                <w:rFonts w:ascii="Times New Roman" w:cs="Times New Roman" w:eastAsia="Times New Roman" w:hAnsi="Times New Roman"/>
                <w:sz w:val="20"/>
                <w:szCs w:val="20"/>
                <w:color w:val="4C4C4E"/>
                <w:vertAlign w:val="superscript"/>
              </w:rPr>
              <w:t>(3)(6)</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First-lien loan ($30,261 par, due</w:t>
            </w: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12/21/2018</w:t>
            </w:r>
          </w:p>
        </w:tc>
        <w:tc>
          <w:tcPr>
            <w:tcW w:w="1260" w:type="dxa"/>
            <w:vAlign w:val="bottom"/>
            <w:shd w:val="clear" w:color="auto" w:fill="D8EEF4"/>
          </w:tcPr>
          <w:p>
            <w:pPr>
              <w:jc w:val="right"/>
              <w:ind w:right="125"/>
              <w:spacing w:after="0"/>
              <w:rPr>
                <w:sz w:val="20"/>
                <w:szCs w:val="20"/>
                <w:color w:val="auto"/>
              </w:rPr>
            </w:pPr>
            <w:r>
              <w:rPr>
                <w:rFonts w:ascii="Times New Roman" w:cs="Times New Roman" w:eastAsia="Times New Roman" w:hAnsi="Times New Roman"/>
                <w:sz w:val="15"/>
                <w:szCs w:val="15"/>
                <w:color w:val="4C4C4E"/>
              </w:rPr>
              <w:t>SOFR + 9.65%</w:t>
            </w:r>
          </w:p>
        </w:tc>
        <w:tc>
          <w:tcPr>
            <w:tcW w:w="1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13.98%</w:t>
            </w: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28,594</w:t>
            </w:r>
          </w:p>
        </w:tc>
        <w:tc>
          <w:tcPr>
            <w:tcW w:w="106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28,823</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1.8%</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6/2025)</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revolving loan</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12/21/2018</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+ 9.65%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14.14%</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37,972</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36,144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($37,972 par, due 6/2025)</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QSR Acquisition Co. </w:t>
            </w:r>
            <w:r>
              <w:rPr>
                <w:rFonts w:ascii="Times New Roman" w:cs="Times New Roman" w:eastAsia="Times New Roman" w:hAnsi="Times New Roman"/>
                <w:sz w:val="19"/>
                <w:szCs w:val="19"/>
                <w:color w:val="4C4C4E"/>
                <w:vertAlign w:val="superscript"/>
              </w:rPr>
              <w:t>(3)(5)</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($30,000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10/31/2024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9.84%</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29,461</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29,550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10/2030)</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Sport Alliance GmbH </w:t>
            </w:r>
            <w:r>
              <w:rPr>
                <w:rFonts w:ascii="Times New Roman" w:cs="Times New Roman" w:eastAsia="Times New Roman" w:hAnsi="Times New Roman"/>
                <w:sz w:val="19"/>
                <w:szCs w:val="19"/>
                <w:color w:val="4C4C4E"/>
                <w:vertAlign w:val="superscript"/>
              </w:rPr>
              <w:t>(3)(4)</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4,494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4/10/2024</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E + 7.25%</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10.15% (incl. 3.88%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4,712</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4,601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00" w:type="dxa"/>
            <w:vAlign w:val="bottom"/>
            <w:tcBorders>
              <w:bottom w:val="single" w:sz="8" w:color="D8EEF4"/>
            </w:tcBorders>
          </w:tcPr>
          <w:p>
            <w:pPr>
              <w:spacing w:after="0"/>
              <w:rPr>
                <w:sz w:val="16"/>
                <w:szCs w:val="16"/>
                <w:color w:val="auto"/>
              </w:rPr>
            </w:pPr>
          </w:p>
        </w:tc>
        <w:tc>
          <w:tcPr>
            <w:tcW w:w="2060" w:type="dxa"/>
            <w:vAlign w:val="bottom"/>
            <w:tcBorders>
              <w:bottom w:val="single" w:sz="8" w:color="D8EEF4"/>
            </w:tcBorders>
          </w:tcPr>
          <w:p>
            <w:pPr>
              <w:ind w:left="60"/>
              <w:spacing w:after="0"/>
              <w:rPr>
                <w:sz w:val="20"/>
                <w:szCs w:val="20"/>
                <w:color w:val="auto"/>
              </w:rPr>
            </w:pPr>
            <w:r>
              <w:rPr>
                <w:rFonts w:ascii="Times New Roman" w:cs="Times New Roman" w:eastAsia="Times New Roman" w:hAnsi="Times New Roman"/>
                <w:sz w:val="15"/>
                <w:szCs w:val="15"/>
                <w:color w:val="4C4C4E"/>
              </w:rPr>
              <w:t>due 4/2030)</w:t>
            </w:r>
          </w:p>
        </w:tc>
        <w:tc>
          <w:tcPr>
            <w:tcW w:w="780" w:type="dxa"/>
            <w:vAlign w:val="bottom"/>
            <w:tcBorders>
              <w:bottom w:val="single" w:sz="8" w:color="D8EEF4"/>
            </w:tcBorders>
          </w:tcPr>
          <w:p>
            <w:pPr>
              <w:spacing w:after="0"/>
              <w:rPr>
                <w:sz w:val="16"/>
                <w:szCs w:val="16"/>
                <w:color w:val="auto"/>
              </w:rPr>
            </w:pPr>
          </w:p>
        </w:tc>
        <w:tc>
          <w:tcPr>
            <w:tcW w:w="126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78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5"/>
                <w:szCs w:val="15"/>
                <w:color w:val="4C4C4E"/>
              </w:rPr>
              <w:t>(EUR 4,443)</w:t>
            </w: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D8EEF4"/>
          </w:tcPr>
          <w:p>
            <w:pPr>
              <w:spacing w:after="0"/>
              <w:rPr>
                <w:sz w:val="15"/>
                <w:szCs w:val="15"/>
                <w:color w:val="auto"/>
              </w:rPr>
            </w:pPr>
          </w:p>
        </w:tc>
        <w:tc>
          <w:tcPr>
            <w:tcW w:w="2060" w:type="dxa"/>
            <w:vAlign w:val="bottom"/>
            <w:shd w:val="clear" w:color="auto" w:fill="D8EEF4"/>
          </w:tcPr>
          <w:p>
            <w:pPr>
              <w:spacing w:after="0"/>
              <w:rPr>
                <w:sz w:val="15"/>
                <w:szCs w:val="15"/>
                <w:color w:val="auto"/>
              </w:rPr>
            </w:pPr>
          </w:p>
        </w:tc>
        <w:tc>
          <w:tcPr>
            <w:tcW w:w="780" w:type="dxa"/>
            <w:vAlign w:val="bottom"/>
            <w:shd w:val="clear" w:color="auto" w:fill="D8EEF4"/>
          </w:tcPr>
          <w:p>
            <w:pPr>
              <w:spacing w:after="0"/>
              <w:rPr>
                <w:sz w:val="15"/>
                <w:szCs w:val="15"/>
                <w:color w:val="auto"/>
              </w:rPr>
            </w:pPr>
          </w:p>
        </w:tc>
        <w:tc>
          <w:tcPr>
            <w:tcW w:w="1260" w:type="dxa"/>
            <w:vAlign w:val="bottom"/>
            <w:shd w:val="clear" w:color="auto" w:fill="D8EEF4"/>
          </w:tcPr>
          <w:p>
            <w:pPr>
              <w:spacing w:after="0"/>
              <w:rPr>
                <w:sz w:val="15"/>
                <w:szCs w:val="15"/>
                <w:color w:val="auto"/>
              </w:rPr>
            </w:pPr>
          </w:p>
        </w:tc>
        <w:tc>
          <w:tcPr>
            <w:tcW w:w="1800" w:type="dxa"/>
            <w:vAlign w:val="bottom"/>
            <w:shd w:val="clear" w:color="auto" w:fill="D8EEF4"/>
          </w:tcPr>
          <w:p>
            <w:pPr>
              <w:spacing w:after="0"/>
              <w:rPr>
                <w:sz w:val="15"/>
                <w:szCs w:val="15"/>
                <w:color w:val="auto"/>
              </w:rPr>
            </w:pPr>
          </w:p>
        </w:tc>
        <w:tc>
          <w:tcPr>
            <w:tcW w:w="7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260,128</w:t>
            </w:r>
          </w:p>
        </w:tc>
        <w:tc>
          <w:tcPr>
            <w:tcW w:w="40" w:type="dxa"/>
            <w:vAlign w:val="bottom"/>
            <w:shd w:val="clear" w:color="auto" w:fill="D8EEF4"/>
          </w:tcPr>
          <w:p>
            <w:pPr>
              <w:spacing w:after="0"/>
              <w:rPr>
                <w:sz w:val="15"/>
                <w:szCs w:val="15"/>
                <w:color w:val="auto"/>
              </w:rPr>
            </w:pPr>
          </w:p>
        </w:tc>
        <w:tc>
          <w:tcPr>
            <w:tcW w:w="10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260,674</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16.2</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64"/>
        </w:trPr>
        <w:tc>
          <w:tcPr>
            <w:tcW w:w="2100" w:type="dxa"/>
            <w:vAlign w:val="bottom"/>
          </w:tcPr>
          <w:p>
            <w:pPr>
              <w:spacing w:after="0" w:line="164" w:lineRule="exact"/>
              <w:rPr>
                <w:sz w:val="20"/>
                <w:szCs w:val="20"/>
                <w:color w:val="auto"/>
              </w:rPr>
            </w:pPr>
            <w:r>
              <w:rPr>
                <w:rFonts w:ascii="Times New Roman" w:cs="Times New Roman" w:eastAsia="Times New Roman" w:hAnsi="Times New Roman"/>
                <w:sz w:val="15"/>
                <w:szCs w:val="15"/>
                <w:b w:val="1"/>
                <w:bCs w:val="1"/>
                <w:color w:val="4C4C4E"/>
              </w:rPr>
              <w:t>Human Resource Support</w:t>
            </w: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Services</w:t>
            </w:r>
          </w:p>
        </w:tc>
        <w:tc>
          <w:tcPr>
            <w:tcW w:w="2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Axonify, Inc. </w:t>
            </w:r>
            <w:r>
              <w:rPr>
                <w:rFonts w:ascii="Times New Roman" w:cs="Times New Roman" w:eastAsia="Times New Roman" w:hAnsi="Times New Roman"/>
                <w:sz w:val="19"/>
                <w:szCs w:val="19"/>
                <w:color w:val="4C4C4E"/>
                <w:vertAlign w:val="superscript"/>
              </w:rPr>
              <w:t>(3)(4)(5)</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($44,419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5/5/2021</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+ 7.65%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12.20%</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43,982</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44,532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5/2026)</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bswift, LLC </w:t>
            </w:r>
            <w:r>
              <w:rPr>
                <w:rFonts w:ascii="Times New Roman" w:cs="Times New Roman" w:eastAsia="Times New Roman" w:hAnsi="Times New Roman"/>
                <w:sz w:val="19"/>
                <w:szCs w:val="19"/>
                <w:color w:val="4C4C4E"/>
                <w:vertAlign w:val="superscript"/>
              </w:rPr>
              <w:t>(3)(5)</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($43,910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11/7/2022</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+ 6.38%</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11.05%</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43,029</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44,569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11/2028)</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Elysian Finco Ltd. </w:t>
            </w:r>
            <w:r>
              <w:rPr>
                <w:rFonts w:ascii="Times New Roman" w:cs="Times New Roman" w:eastAsia="Times New Roman" w:hAnsi="Times New Roman"/>
                <w:sz w:val="19"/>
                <w:szCs w:val="19"/>
                <w:color w:val="4C4C4E"/>
                <w:vertAlign w:val="superscript"/>
              </w:rPr>
              <w:t>(3)(4)(5)</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($21,899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1/31/2021</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+ 6.65%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11.28%</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21,616</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21,954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1/2028)</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revolving loan (GBP</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1/31/2021</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 + 5.00%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9.70%</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361</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325 par, due 1/2028)</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(GBP 316)</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Employment Hero Holdings Pty</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(AUD 60,000</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12/6/2021</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B + 6.25%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10.73%</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41,424</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37,247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Ltd.</w:t>
            </w:r>
            <w:r>
              <w:rPr>
                <w:rFonts w:ascii="Times New Roman" w:cs="Times New Roman" w:eastAsia="Times New Roman" w:hAnsi="Times New Roman"/>
                <w:sz w:val="9"/>
                <w:szCs w:val="9"/>
                <w:color w:val="4C4C4E"/>
              </w:rPr>
              <w:t xml:space="preserve"> (3)(4)</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 due 12/2026)</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(AUD 60,158)</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HireVue, Inc. </w:t>
            </w:r>
            <w:r>
              <w:rPr>
                <w:rFonts w:ascii="Times New Roman" w:cs="Times New Roman" w:eastAsia="Times New Roman" w:hAnsi="Times New Roman"/>
                <w:sz w:val="19"/>
                <w:szCs w:val="19"/>
                <w:color w:val="4C4C4E"/>
                <w:vertAlign w:val="superscript"/>
              </w:rPr>
              <w:t>(3)</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($53,572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5/3/2023</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11.34%</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52,335</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54,240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5/2029)</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revolving loan ($4,378</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5/3/2023</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11.30%</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4,233</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4,464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 due 5/2029)</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Madcap Software, Inc. </w:t>
            </w:r>
            <w:r>
              <w:rPr>
                <w:rFonts w:ascii="Times New Roman" w:cs="Times New Roman" w:eastAsia="Times New Roman" w:hAnsi="Times New Roman"/>
                <w:sz w:val="19"/>
                <w:szCs w:val="19"/>
                <w:color w:val="4C4C4E"/>
                <w:vertAlign w:val="superscript"/>
              </w:rPr>
              <w:t>(3)(5)</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($32,175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12/15/2023</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+ 6.10%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10.35%</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31,657</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32,175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12/2026)</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PayScale Holdings, Inc. </w:t>
            </w:r>
            <w:r>
              <w:rPr>
                <w:rFonts w:ascii="Times New Roman" w:cs="Times New Roman" w:eastAsia="Times New Roman" w:hAnsi="Times New Roman"/>
                <w:sz w:val="19"/>
                <w:szCs w:val="19"/>
                <w:color w:val="4C4C4E"/>
                <w:vertAlign w:val="superscript"/>
              </w:rPr>
              <w:t>(3)(5)</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($70,465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5/3/2019</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+ 5.85%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10.18%</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70,196</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71,170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5/2027)</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PrimePay Intermediate, LLC </w:t>
            </w:r>
            <w:r>
              <w:rPr>
                <w:rFonts w:ascii="Times New Roman" w:cs="Times New Roman" w:eastAsia="Times New Roman" w:hAnsi="Times New Roman"/>
                <w:sz w:val="19"/>
                <w:szCs w:val="19"/>
                <w:color w:val="4C4C4E"/>
                <w:vertAlign w:val="superscript"/>
              </w:rPr>
              <w:t>(3)(5)</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($34,025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12/17/2021</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+ 7.15%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11.63%</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33,466</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34,025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w:t>
            </w:r>
          </w:p>
        </w:tc>
        <w:tc>
          <w:tcPr>
            <w:tcW w:w="0" w:type="dxa"/>
            <w:vAlign w:val="bottom"/>
          </w:tcPr>
          <w:p>
            <w:pPr>
              <w:spacing w:after="0"/>
              <w:rPr>
                <w:sz w:val="1"/>
                <w:szCs w:val="1"/>
                <w:color w:val="auto"/>
              </w:rPr>
            </w:pPr>
          </w:p>
        </w:tc>
      </w:tr>
      <w:tr>
        <w:trPr>
          <w:trHeight w:val="188"/>
        </w:trPr>
        <w:tc>
          <w:tcPr>
            <w:tcW w:w="2100" w:type="dxa"/>
            <w:vAlign w:val="bottom"/>
            <w:tcBorders>
              <w:bottom w:val="single" w:sz="8" w:color="D8EEF4"/>
            </w:tcBorders>
          </w:tcPr>
          <w:p>
            <w:pPr>
              <w:spacing w:after="0"/>
              <w:rPr>
                <w:sz w:val="16"/>
                <w:szCs w:val="16"/>
                <w:color w:val="auto"/>
              </w:rPr>
            </w:pPr>
          </w:p>
        </w:tc>
        <w:tc>
          <w:tcPr>
            <w:tcW w:w="2060" w:type="dxa"/>
            <w:vAlign w:val="bottom"/>
            <w:tcBorders>
              <w:bottom w:val="single" w:sz="8" w:color="D8EEF4"/>
            </w:tcBorders>
          </w:tcPr>
          <w:p>
            <w:pPr>
              <w:ind w:left="60"/>
              <w:spacing w:after="0"/>
              <w:rPr>
                <w:sz w:val="20"/>
                <w:szCs w:val="20"/>
                <w:color w:val="auto"/>
              </w:rPr>
            </w:pPr>
            <w:r>
              <w:rPr>
                <w:rFonts w:ascii="Times New Roman" w:cs="Times New Roman" w:eastAsia="Times New Roman" w:hAnsi="Times New Roman"/>
                <w:sz w:val="15"/>
                <w:szCs w:val="15"/>
                <w:color w:val="4C4C4E"/>
              </w:rPr>
              <w:t>12/2026)</w:t>
            </w:r>
          </w:p>
        </w:tc>
        <w:tc>
          <w:tcPr>
            <w:tcW w:w="780" w:type="dxa"/>
            <w:vAlign w:val="bottom"/>
            <w:tcBorders>
              <w:bottom w:val="single" w:sz="8" w:color="D8EEF4"/>
            </w:tcBorders>
          </w:tcPr>
          <w:p>
            <w:pPr>
              <w:spacing w:after="0"/>
              <w:rPr>
                <w:sz w:val="16"/>
                <w:szCs w:val="16"/>
                <w:color w:val="auto"/>
              </w:rPr>
            </w:pPr>
          </w:p>
        </w:tc>
        <w:tc>
          <w:tcPr>
            <w:tcW w:w="1260" w:type="dxa"/>
            <w:vAlign w:val="bottom"/>
            <w:tcBorders>
              <w:bottom w:val="single" w:sz="8" w:color="D8EEF4"/>
            </w:tcBorders>
          </w:tcPr>
          <w:p>
            <w:pPr>
              <w:spacing w:after="0"/>
              <w:rPr>
                <w:sz w:val="16"/>
                <w:szCs w:val="16"/>
                <w:color w:val="auto"/>
              </w:rPr>
            </w:pPr>
          </w:p>
        </w:tc>
        <w:tc>
          <w:tcPr>
            <w:tcW w:w="1800" w:type="dxa"/>
            <w:vAlign w:val="bottom"/>
            <w:tcBorders>
              <w:bottom w:val="single" w:sz="8" w:color="D8EEF4"/>
            </w:tcBorders>
          </w:tcPr>
          <w:p>
            <w:pPr>
              <w:spacing w:after="0"/>
              <w:rPr>
                <w:sz w:val="16"/>
                <w:szCs w:val="16"/>
                <w:color w:val="auto"/>
              </w:rPr>
            </w:pPr>
          </w:p>
        </w:tc>
        <w:tc>
          <w:tcPr>
            <w:tcW w:w="78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tcBorders>
              <w:bottom w:val="single" w:sz="8" w:color="D8EEF4"/>
            </w:tcBorders>
            <w:shd w:val="clear" w:color="auto" w:fill="D8EEF4"/>
          </w:tcPr>
          <w:p>
            <w:pPr>
              <w:spacing w:after="0"/>
              <w:rPr>
                <w:sz w:val="17"/>
                <w:szCs w:val="17"/>
                <w:color w:val="auto"/>
              </w:rPr>
            </w:pPr>
          </w:p>
        </w:tc>
        <w:tc>
          <w:tcPr>
            <w:tcW w:w="2060" w:type="dxa"/>
            <w:vAlign w:val="bottom"/>
            <w:tcBorders>
              <w:bottom w:val="single" w:sz="8" w:color="D8EEF4"/>
            </w:tcBorders>
            <w:shd w:val="clear" w:color="auto" w:fill="D8EEF4"/>
          </w:tcPr>
          <w:p>
            <w:pPr>
              <w:spacing w:after="0"/>
              <w:rPr>
                <w:sz w:val="17"/>
                <w:szCs w:val="17"/>
                <w:color w:val="auto"/>
              </w:rPr>
            </w:pPr>
          </w:p>
        </w:tc>
        <w:tc>
          <w:tcPr>
            <w:tcW w:w="780" w:type="dxa"/>
            <w:vAlign w:val="bottom"/>
            <w:tcBorders>
              <w:bottom w:val="single" w:sz="8" w:color="D8EEF4"/>
            </w:tcBorders>
            <w:shd w:val="clear" w:color="auto" w:fill="D8EEF4"/>
          </w:tcPr>
          <w:p>
            <w:pPr>
              <w:spacing w:after="0"/>
              <w:rPr>
                <w:sz w:val="17"/>
                <w:szCs w:val="17"/>
                <w:color w:val="auto"/>
              </w:rPr>
            </w:pPr>
          </w:p>
        </w:tc>
        <w:tc>
          <w:tcPr>
            <w:tcW w:w="1260" w:type="dxa"/>
            <w:vAlign w:val="bottom"/>
            <w:tcBorders>
              <w:bottom w:val="single" w:sz="8" w:color="D8EEF4"/>
            </w:tcBorders>
            <w:shd w:val="clear" w:color="auto" w:fill="D8EEF4"/>
          </w:tcPr>
          <w:p>
            <w:pPr>
              <w:spacing w:after="0"/>
              <w:rPr>
                <w:sz w:val="17"/>
                <w:szCs w:val="17"/>
                <w:color w:val="auto"/>
              </w:rPr>
            </w:pPr>
          </w:p>
        </w:tc>
        <w:tc>
          <w:tcPr>
            <w:tcW w:w="1800" w:type="dxa"/>
            <w:vAlign w:val="bottom"/>
            <w:tcBorders>
              <w:bottom w:val="single" w:sz="8" w:color="D8EEF4"/>
            </w:tcBorders>
            <w:shd w:val="clear" w:color="auto" w:fill="D8EEF4"/>
          </w:tcPr>
          <w:p>
            <w:pPr>
              <w:spacing w:after="0"/>
              <w:rPr>
                <w:sz w:val="17"/>
                <w:szCs w:val="17"/>
                <w:color w:val="auto"/>
              </w:rPr>
            </w:pPr>
          </w:p>
        </w:tc>
        <w:tc>
          <w:tcPr>
            <w:tcW w:w="7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342,299</w:t>
            </w:r>
          </w:p>
        </w:tc>
        <w:tc>
          <w:tcPr>
            <w:tcW w:w="40" w:type="dxa"/>
            <w:vAlign w:val="bottom"/>
            <w:tcBorders>
              <w:bottom w:val="single" w:sz="8" w:color="D8EEF4"/>
            </w:tcBorders>
            <w:shd w:val="clear" w:color="auto" w:fill="D8EEF4"/>
          </w:tcPr>
          <w:p>
            <w:pPr>
              <w:spacing w:after="0"/>
              <w:rPr>
                <w:sz w:val="17"/>
                <w:szCs w:val="17"/>
                <w:color w:val="auto"/>
              </w:rPr>
            </w:pPr>
          </w:p>
        </w:tc>
        <w:tc>
          <w:tcPr>
            <w:tcW w:w="10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344,772</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21.4</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61"/>
        </w:trPr>
        <w:tc>
          <w:tcPr>
            <w:tcW w:w="210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Insurance</w:t>
            </w: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Disco Parent, Inc. </w:t>
            </w:r>
            <w:r>
              <w:rPr>
                <w:rFonts w:ascii="Times New Roman" w:cs="Times New Roman" w:eastAsia="Times New Roman" w:hAnsi="Times New Roman"/>
                <w:sz w:val="19"/>
                <w:szCs w:val="19"/>
                <w:color w:val="4C4C4E"/>
                <w:vertAlign w:val="superscript"/>
              </w:rPr>
              <w:t>(3)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($5,319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3/30/2023</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12.01%</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5,216</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5,377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3/2029)</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Internet Services</w:t>
            </w:r>
          </w:p>
        </w:tc>
        <w:tc>
          <w:tcPr>
            <w:tcW w:w="2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Arrow Buyer, Inc. </w:t>
            </w:r>
            <w:r>
              <w:rPr>
                <w:rFonts w:ascii="Times New Roman" w:cs="Times New Roman" w:eastAsia="Times New Roman" w:hAnsi="Times New Roman"/>
                <w:sz w:val="19"/>
                <w:szCs w:val="19"/>
                <w:color w:val="4C4C4E"/>
                <w:vertAlign w:val="superscript"/>
              </w:rPr>
              <w:t>(3)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($34,944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6/30/2023</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10.08%</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34,152</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35,449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7/2030)</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Bayshore Intermediate #2, L.P. </w:t>
            </w:r>
            <w:r>
              <w:rPr>
                <w:rFonts w:ascii="Times New Roman" w:cs="Times New Roman" w:eastAsia="Times New Roman" w:hAnsi="Times New Roman"/>
                <w:sz w:val="19"/>
                <w:szCs w:val="19"/>
                <w:color w:val="4C4C4E"/>
                <w:vertAlign w:val="superscript"/>
              </w:rPr>
              <w:t>(3)</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($40,663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10/1/2021</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+ 6.25%</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10.77% (incl. 3.38%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40,222</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40,774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10/2028)</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Coupa Holdings, LLC </w:t>
            </w:r>
            <w:r>
              <w:rPr>
                <w:rFonts w:ascii="Times New Roman" w:cs="Times New Roman" w:eastAsia="Times New Roman" w:hAnsi="Times New Roman"/>
                <w:sz w:val="19"/>
                <w:szCs w:val="19"/>
                <w:color w:val="4C4C4E"/>
                <w:vertAlign w:val="superscript"/>
              </w:rPr>
              <w:t>(3)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($42,975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2/27/2023</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9.84%</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42,097</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43,722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2/2030)</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6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color w:val="4C4C4E"/>
              </w:rPr>
              <w:t>CrunchTime Information, Systems, First-lien loan ($58,898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6/17/2022</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10.11%</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58,078</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58,898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w:t>
            </w:r>
          </w:p>
        </w:tc>
        <w:tc>
          <w:tcPr>
            <w:tcW w:w="0" w:type="dxa"/>
            <w:vAlign w:val="bottom"/>
          </w:tcPr>
          <w:p>
            <w:pPr>
              <w:spacing w:after="0"/>
              <w:rPr>
                <w:sz w:val="1"/>
                <w:szCs w:val="1"/>
                <w:color w:val="auto"/>
              </w:rPr>
            </w:pPr>
          </w:p>
        </w:tc>
      </w:tr>
      <w:tr>
        <w:trPr>
          <w:trHeight w:val="188"/>
        </w:trPr>
        <w:tc>
          <w:tcPr>
            <w:tcW w:w="2100" w:type="dxa"/>
            <w:vAlign w:val="bottom"/>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Inc.</w:t>
            </w:r>
            <w:r>
              <w:rPr>
                <w:rFonts w:ascii="Times New Roman" w:cs="Times New Roman" w:eastAsia="Times New Roman" w:hAnsi="Times New Roman"/>
                <w:sz w:val="9"/>
                <w:szCs w:val="9"/>
                <w:color w:val="4C4C4E"/>
              </w:rPr>
              <w:t xml:space="preserve"> (3)(5)</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6/2028)</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EDB Parent, LLC </w:t>
            </w:r>
            <w:r>
              <w:rPr>
                <w:rFonts w:ascii="Times New Roman" w:cs="Times New Roman" w:eastAsia="Times New Roman" w:hAnsi="Times New Roman"/>
                <w:sz w:val="19"/>
                <w:szCs w:val="19"/>
                <w:color w:val="4C4C4E"/>
                <w:vertAlign w:val="superscript"/>
              </w:rPr>
              <w:t>(3)(5)</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($69,873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7/7/2022</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11.26%</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68,832</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69,349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7/2028)</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Flight Intermediate HoldCo, Inc.</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($40,000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10/3/2024</w:t>
            </w:r>
          </w:p>
        </w:tc>
        <w:tc>
          <w:tcPr>
            <w:tcW w:w="12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11.50%</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38,851</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38,900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4/2030)</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Higher Logic, LLC </w:t>
            </w:r>
            <w:r>
              <w:rPr>
                <w:rFonts w:ascii="Times New Roman" w:cs="Times New Roman" w:eastAsia="Times New Roman" w:hAnsi="Times New Roman"/>
                <w:sz w:val="19"/>
                <w:szCs w:val="19"/>
                <w:color w:val="4C4C4E"/>
                <w:vertAlign w:val="superscript"/>
              </w:rPr>
              <w:t>(3)(5)</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($50,054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6/18/2018</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+ 6.25%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10.61%</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50,047</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50,054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1/2025)</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Hippo XPA Bidco AB </w:t>
            </w:r>
            <w:r>
              <w:rPr>
                <w:rFonts w:ascii="Times New Roman" w:cs="Times New Roman" w:eastAsia="Times New Roman" w:hAnsi="Times New Roman"/>
                <w:sz w:val="19"/>
                <w:szCs w:val="19"/>
                <w:color w:val="4C4C4E"/>
                <w:vertAlign w:val="superscript"/>
              </w:rPr>
              <w:t>(3)(4)</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(SEK 80,225 par,</w:t>
            </w:r>
          </w:p>
        </w:tc>
        <w:tc>
          <w:tcPr>
            <w:tcW w:w="2040" w:type="dxa"/>
            <w:vAlign w:val="bottom"/>
            <w:gridSpan w:val="2"/>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2/20/2024 STIBOR + 6.50%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9.16% (incl. 3.50%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7,557</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7,238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0.5%</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2/2031)</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(SEK 79,977)</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2,472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2/20/2024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E + 6.50%</w:t>
            </w:r>
          </w:p>
        </w:tc>
        <w:tc>
          <w:tcPr>
            <w:tcW w:w="1800" w:type="dxa"/>
            <w:vAlign w:val="bottom"/>
            <w:shd w:val="clear" w:color="auto" w:fill="D8EEF4"/>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9.87% (incl. 3.50% PIK)</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2,636</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2,554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2/2031)</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2,466)</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Kryptona BidCo US, LLC </w:t>
            </w:r>
            <w:r>
              <w:rPr>
                <w:rFonts w:ascii="Times New Roman" w:cs="Times New Roman" w:eastAsia="Times New Roman" w:hAnsi="Times New Roman"/>
                <w:sz w:val="19"/>
                <w:szCs w:val="19"/>
                <w:color w:val="4C4C4E"/>
                <w:vertAlign w:val="superscript"/>
              </w:rPr>
              <w:t>(3)</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($19,912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12/18/2024</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10.10%</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19,472</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19,526</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12/2031)</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4,608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12/18/2024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E + 5.75%</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8.61%</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4,729</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4,688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12/2031)</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4,527)</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LeanTaaS Holdings, Inc. </w:t>
            </w:r>
            <w:r>
              <w:rPr>
                <w:rFonts w:ascii="Times New Roman" w:cs="Times New Roman" w:eastAsia="Times New Roman" w:hAnsi="Times New Roman"/>
                <w:sz w:val="19"/>
                <w:szCs w:val="19"/>
                <w:color w:val="4C4C4E"/>
                <w:vertAlign w:val="superscript"/>
              </w:rPr>
              <w:t>(3)(5)</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($56,156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7/12/2022</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11.83%</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55,388</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56,437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7/2028)</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Lithium Technologies, LLC </w:t>
            </w:r>
            <w:r>
              <w:rPr>
                <w:rFonts w:ascii="Times New Roman" w:cs="Times New Roman" w:eastAsia="Times New Roman" w:hAnsi="Times New Roman"/>
                <w:sz w:val="19"/>
                <w:szCs w:val="19"/>
                <w:color w:val="4C4C4E"/>
                <w:vertAlign w:val="superscript"/>
              </w:rPr>
              <w:t>(3)(14)</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($61,483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10/3/2017</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+ 11.00%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15.59%</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61,483</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22,287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1/2025)</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Lucidworks, Inc. </w:t>
            </w:r>
            <w:r>
              <w:rPr>
                <w:rFonts w:ascii="Times New Roman" w:cs="Times New Roman" w:eastAsia="Times New Roman" w:hAnsi="Times New Roman"/>
                <w:sz w:val="19"/>
                <w:szCs w:val="19"/>
                <w:color w:val="4C4C4E"/>
                <w:vertAlign w:val="superscript"/>
              </w:rPr>
              <w:t>(3)(5)</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($9,477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2/11/2022</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+ 7.50%</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11.86% (incl. 3.5%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9,477</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9,501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0.6%</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2/2027)</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Merit Software Finance Holdings,</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($43,214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6/20/2024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+ 7.50%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11.85%</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41,939</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42,389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LLC </w:t>
            </w:r>
            <w:r>
              <w:rPr>
                <w:rFonts w:ascii="Times New Roman" w:cs="Times New Roman" w:eastAsia="Times New Roman" w:hAnsi="Times New Roman"/>
                <w:sz w:val="20"/>
                <w:szCs w:val="20"/>
                <w:color w:val="4C4C4E"/>
                <w:vertAlign w:val="superscript"/>
              </w:rPr>
              <w:t>(3)</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6/2029)</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6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color w:val="4C4C4E"/>
              </w:rPr>
              <w:t>SMA Technologies Holdings, LLC First-lien loan ($53,991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10/31/2022</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11.01%</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52,542</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54,678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w:t>
            </w:r>
          </w:p>
        </w:tc>
        <w:tc>
          <w:tcPr>
            <w:tcW w:w="0" w:type="dxa"/>
            <w:vAlign w:val="bottom"/>
          </w:tcPr>
          <w:p>
            <w:pPr>
              <w:spacing w:after="0"/>
              <w:rPr>
                <w:sz w:val="1"/>
                <w:szCs w:val="1"/>
                <w:color w:val="auto"/>
              </w:rPr>
            </w:pPr>
          </w:p>
        </w:tc>
      </w:tr>
      <w:tr>
        <w:trPr>
          <w:trHeight w:val="133"/>
        </w:trPr>
        <w:tc>
          <w:tcPr>
            <w:tcW w:w="2100" w:type="dxa"/>
            <w:vAlign w:val="bottom"/>
          </w:tcPr>
          <w:p>
            <w:pPr>
              <w:spacing w:after="0"/>
              <w:rPr>
                <w:sz w:val="20"/>
                <w:szCs w:val="20"/>
                <w:color w:val="auto"/>
              </w:rPr>
            </w:pPr>
            <w:r>
              <w:rPr>
                <w:rFonts w:ascii="Times New Roman" w:cs="Times New Roman" w:eastAsia="Times New Roman" w:hAnsi="Times New Roman"/>
                <w:sz w:val="10"/>
                <w:szCs w:val="10"/>
                <w:color w:val="4C4C4E"/>
              </w:rPr>
              <w:t>(3)(5)</w:t>
            </w:r>
          </w:p>
        </w:tc>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4C4C4E"/>
              </w:rPr>
              <w:t>10/2028)</w:t>
            </w:r>
          </w:p>
        </w:tc>
        <w:tc>
          <w:tcPr>
            <w:tcW w:w="7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100" w:type="dxa"/>
            <w:vAlign w:val="bottom"/>
            <w:tcBorders>
              <w:bottom w:val="single" w:sz="8" w:color="D8EEF4"/>
            </w:tcBorders>
          </w:tcPr>
          <w:p>
            <w:pPr>
              <w:spacing w:after="0"/>
              <w:rPr>
                <w:sz w:val="4"/>
                <w:szCs w:val="4"/>
                <w:color w:val="auto"/>
              </w:rPr>
            </w:pPr>
          </w:p>
        </w:tc>
        <w:tc>
          <w:tcPr>
            <w:tcW w:w="2060" w:type="dxa"/>
            <w:vAlign w:val="bottom"/>
            <w:tcBorders>
              <w:bottom w:val="single" w:sz="8" w:color="D8EEF4"/>
            </w:tcBorders>
            <w:vMerge w:val="continue"/>
          </w:tcPr>
          <w:p>
            <w:pPr>
              <w:spacing w:after="0"/>
              <w:rPr>
                <w:sz w:val="4"/>
                <w:szCs w:val="4"/>
                <w:color w:val="auto"/>
              </w:rPr>
            </w:pPr>
          </w:p>
        </w:tc>
        <w:tc>
          <w:tcPr>
            <w:tcW w:w="780" w:type="dxa"/>
            <w:vAlign w:val="bottom"/>
            <w:tcBorders>
              <w:bottom w:val="single" w:sz="8" w:color="D8EEF4"/>
            </w:tcBorders>
          </w:tcPr>
          <w:p>
            <w:pPr>
              <w:spacing w:after="0"/>
              <w:rPr>
                <w:sz w:val="4"/>
                <w:szCs w:val="4"/>
                <w:color w:val="auto"/>
              </w:rPr>
            </w:pPr>
          </w:p>
        </w:tc>
        <w:tc>
          <w:tcPr>
            <w:tcW w:w="1260" w:type="dxa"/>
            <w:vAlign w:val="bottom"/>
            <w:tcBorders>
              <w:bottom w:val="single" w:sz="8" w:color="D8EEF4"/>
            </w:tcBorders>
          </w:tcPr>
          <w:p>
            <w:pPr>
              <w:spacing w:after="0"/>
              <w:rPr>
                <w:sz w:val="4"/>
                <w:szCs w:val="4"/>
                <w:color w:val="auto"/>
              </w:rPr>
            </w:pPr>
          </w:p>
        </w:tc>
        <w:tc>
          <w:tcPr>
            <w:tcW w:w="1800" w:type="dxa"/>
            <w:vAlign w:val="bottom"/>
            <w:tcBorders>
              <w:bottom w:val="single" w:sz="8" w:color="D8EEF4"/>
            </w:tcBorders>
          </w:tcPr>
          <w:p>
            <w:pPr>
              <w:spacing w:after="0"/>
              <w:rPr>
                <w:sz w:val="4"/>
                <w:szCs w:val="4"/>
                <w:color w:val="auto"/>
              </w:rPr>
            </w:pPr>
          </w:p>
        </w:tc>
        <w:tc>
          <w:tcPr>
            <w:tcW w:w="780" w:type="dxa"/>
            <w:vAlign w:val="bottom"/>
            <w:tcBorders>
              <w:bottom w:val="single" w:sz="8" w:color="4C4C4E"/>
            </w:tcBorders>
          </w:tcPr>
          <w:p>
            <w:pPr>
              <w:spacing w:after="0"/>
              <w:rPr>
                <w:sz w:val="4"/>
                <w:szCs w:val="4"/>
                <w:color w:val="auto"/>
              </w:rPr>
            </w:pPr>
          </w:p>
        </w:tc>
        <w:tc>
          <w:tcPr>
            <w:tcW w:w="40" w:type="dxa"/>
            <w:vAlign w:val="bottom"/>
            <w:tcBorders>
              <w:bottom w:val="single" w:sz="8" w:color="D8EEF4"/>
            </w:tcBorders>
          </w:tcPr>
          <w:p>
            <w:pPr>
              <w:spacing w:after="0"/>
              <w:rPr>
                <w:sz w:val="4"/>
                <w:szCs w:val="4"/>
                <w:color w:val="auto"/>
              </w:rPr>
            </w:pPr>
          </w:p>
        </w:tc>
        <w:tc>
          <w:tcPr>
            <w:tcW w:w="1020" w:type="dxa"/>
            <w:vAlign w:val="bottom"/>
            <w:tcBorders>
              <w:bottom w:val="single" w:sz="8" w:color="4C4C4E"/>
            </w:tcBorders>
          </w:tcPr>
          <w:p>
            <w:pPr>
              <w:spacing w:after="0"/>
              <w:rPr>
                <w:sz w:val="4"/>
                <w:szCs w:val="4"/>
                <w:color w:val="auto"/>
              </w:rPr>
            </w:pPr>
          </w:p>
        </w:tc>
        <w:tc>
          <w:tcPr>
            <w:tcW w:w="40" w:type="dxa"/>
            <w:vAlign w:val="bottom"/>
            <w:tcBorders>
              <w:bottom w:val="single" w:sz="8" w:color="D8EEF4"/>
            </w:tcBorders>
          </w:tcPr>
          <w:p>
            <w:pPr>
              <w:spacing w:after="0"/>
              <w:rPr>
                <w:sz w:val="4"/>
                <w:szCs w:val="4"/>
                <w:color w:val="auto"/>
              </w:rPr>
            </w:pPr>
          </w:p>
        </w:tc>
        <w:tc>
          <w:tcPr>
            <w:tcW w:w="840" w:type="dxa"/>
            <w:vAlign w:val="bottom"/>
            <w:tcBorders>
              <w:bottom w:val="single" w:sz="8" w:color="4C4C4E"/>
            </w:tcBorders>
          </w:tcPr>
          <w:p>
            <w:pPr>
              <w:spacing w:after="0"/>
              <w:rPr>
                <w:sz w:val="4"/>
                <w:szCs w:val="4"/>
                <w:color w:val="auto"/>
              </w:rPr>
            </w:pPr>
          </w:p>
        </w:tc>
        <w:tc>
          <w:tcPr>
            <w:tcW w:w="160" w:type="dxa"/>
            <w:vAlign w:val="bottom"/>
            <w:tcBorders>
              <w:bottom w:val="single" w:sz="8" w:color="D8EEF4"/>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D8EEF4"/>
          </w:tcPr>
          <w:p>
            <w:pPr>
              <w:spacing w:after="0"/>
              <w:rPr>
                <w:sz w:val="15"/>
                <w:szCs w:val="15"/>
                <w:color w:val="auto"/>
              </w:rPr>
            </w:pPr>
          </w:p>
        </w:tc>
        <w:tc>
          <w:tcPr>
            <w:tcW w:w="2060" w:type="dxa"/>
            <w:vAlign w:val="bottom"/>
            <w:shd w:val="clear" w:color="auto" w:fill="D8EEF4"/>
          </w:tcPr>
          <w:p>
            <w:pPr>
              <w:spacing w:after="0"/>
              <w:rPr>
                <w:sz w:val="15"/>
                <w:szCs w:val="15"/>
                <w:color w:val="auto"/>
              </w:rPr>
            </w:pPr>
          </w:p>
        </w:tc>
        <w:tc>
          <w:tcPr>
            <w:tcW w:w="780" w:type="dxa"/>
            <w:vAlign w:val="bottom"/>
            <w:shd w:val="clear" w:color="auto" w:fill="D8EEF4"/>
          </w:tcPr>
          <w:p>
            <w:pPr>
              <w:spacing w:after="0"/>
              <w:rPr>
                <w:sz w:val="15"/>
                <w:szCs w:val="15"/>
                <w:color w:val="auto"/>
              </w:rPr>
            </w:pPr>
          </w:p>
        </w:tc>
        <w:tc>
          <w:tcPr>
            <w:tcW w:w="1260" w:type="dxa"/>
            <w:vAlign w:val="bottom"/>
            <w:shd w:val="clear" w:color="auto" w:fill="D8EEF4"/>
          </w:tcPr>
          <w:p>
            <w:pPr>
              <w:spacing w:after="0"/>
              <w:rPr>
                <w:sz w:val="15"/>
                <w:szCs w:val="15"/>
                <w:color w:val="auto"/>
              </w:rPr>
            </w:pPr>
          </w:p>
        </w:tc>
        <w:tc>
          <w:tcPr>
            <w:tcW w:w="1800" w:type="dxa"/>
            <w:vAlign w:val="bottom"/>
            <w:shd w:val="clear" w:color="auto" w:fill="D8EEF4"/>
          </w:tcPr>
          <w:p>
            <w:pPr>
              <w:spacing w:after="0"/>
              <w:rPr>
                <w:sz w:val="15"/>
                <w:szCs w:val="15"/>
                <w:color w:val="auto"/>
              </w:rPr>
            </w:pPr>
          </w:p>
        </w:tc>
        <w:tc>
          <w:tcPr>
            <w:tcW w:w="7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587,502</w:t>
            </w:r>
          </w:p>
        </w:tc>
        <w:tc>
          <w:tcPr>
            <w:tcW w:w="40" w:type="dxa"/>
            <w:vAlign w:val="bottom"/>
            <w:shd w:val="clear" w:color="auto" w:fill="D8EEF4"/>
          </w:tcPr>
          <w:p>
            <w:pPr>
              <w:spacing w:after="0"/>
              <w:rPr>
                <w:sz w:val="15"/>
                <w:szCs w:val="15"/>
                <w:color w:val="auto"/>
              </w:rPr>
            </w:pPr>
          </w:p>
        </w:tc>
        <w:tc>
          <w:tcPr>
            <w:tcW w:w="10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556,444</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34.7</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81"/>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Manufacturing</w:t>
            </w: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Aptean, Inc. </w:t>
            </w:r>
            <w:r>
              <w:rPr>
                <w:rFonts w:ascii="Times New Roman" w:cs="Times New Roman" w:eastAsia="Times New Roman" w:hAnsi="Times New Roman"/>
                <w:sz w:val="19"/>
                <w:szCs w:val="19"/>
                <w:color w:val="4C4C4E"/>
                <w:vertAlign w:val="superscript"/>
              </w:rPr>
              <w:t>(3)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($8,835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1/30/2024</w:t>
            </w:r>
          </w:p>
        </w:tc>
        <w:tc>
          <w:tcPr>
            <w:tcW w:w="1260" w:type="dxa"/>
            <w:vAlign w:val="bottom"/>
            <w:shd w:val="clear" w:color="auto" w:fill="D8EEF4"/>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9.58%</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8,748</w:t>
            </w:r>
          </w:p>
        </w:tc>
        <w:tc>
          <w:tcPr>
            <w:tcW w:w="1060" w:type="dxa"/>
            <w:vAlign w:val="bottom"/>
            <w:gridSpan w:val="2"/>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8,860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0.6%</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1/2031)</w:t>
            </w:r>
          </w:p>
        </w:tc>
        <w:tc>
          <w:tcPr>
            <w:tcW w:w="780" w:type="dxa"/>
            <w:vAlign w:val="bottom"/>
            <w:shd w:val="clear" w:color="auto" w:fill="D8EEF4"/>
          </w:tcPr>
          <w:p>
            <w:pPr>
              <w:spacing w:after="0"/>
              <w:rPr>
                <w:sz w:val="16"/>
                <w:szCs w:val="16"/>
                <w:color w:val="auto"/>
              </w:rPr>
            </w:pPr>
          </w:p>
        </w:tc>
        <w:tc>
          <w:tcPr>
            <w:tcW w:w="1260" w:type="dxa"/>
            <w:vAlign w:val="bottom"/>
            <w:shd w:val="clear" w:color="auto" w:fill="D8EEF4"/>
          </w:tcPr>
          <w:p>
            <w:pPr>
              <w:spacing w:after="0"/>
              <w:rPr>
                <w:sz w:val="16"/>
                <w:szCs w:val="16"/>
                <w:color w:val="auto"/>
              </w:rPr>
            </w:pPr>
          </w:p>
        </w:tc>
        <w:tc>
          <w:tcPr>
            <w:tcW w:w="180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ASP Unifrax Holdings, Inc. </w:t>
            </w:r>
            <w:r>
              <w:rPr>
                <w:rFonts w:ascii="Times New Roman" w:cs="Times New Roman" w:eastAsia="Times New Roman" w:hAnsi="Times New Roman"/>
                <w:sz w:val="19"/>
                <w:szCs w:val="19"/>
                <w:color w:val="4C4C4E"/>
                <w:vertAlign w:val="superscript"/>
              </w:rPr>
              <w:t>(9)</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($3,449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9/30/2024</w:t>
            </w:r>
          </w:p>
        </w:tc>
        <w:tc>
          <w:tcPr>
            <w:tcW w:w="1260" w:type="dxa"/>
            <w:vAlign w:val="bottom"/>
          </w:tcPr>
          <w:p>
            <w:pPr>
              <w:jc w:val="right"/>
              <w:ind w:right="125"/>
              <w:spacing w:after="0" w:line="171" w:lineRule="exact"/>
              <w:rPr>
                <w:sz w:val="20"/>
                <w:szCs w:val="20"/>
                <w:color w:val="auto"/>
              </w:rPr>
            </w:pPr>
            <w:r>
              <w:rPr>
                <w:rFonts w:ascii="Times New Roman" w:cs="Times New Roman" w:eastAsia="Times New Roman" w:hAnsi="Times New Roman"/>
                <w:sz w:val="15"/>
                <w:szCs w:val="15"/>
                <w:color w:val="4C4C4E"/>
              </w:rPr>
              <w:t>SOFR + 7.75%</w:t>
            </w:r>
          </w:p>
        </w:tc>
        <w:tc>
          <w:tcPr>
            <w:tcW w:w="1800" w:type="dxa"/>
            <w:vAlign w:val="bottom"/>
          </w:tcPr>
          <w:p>
            <w:pPr>
              <w:jc w:val="right"/>
              <w:ind w:right="105"/>
              <w:spacing w:after="0" w:line="171" w:lineRule="exact"/>
              <w:rPr>
                <w:sz w:val="20"/>
                <w:szCs w:val="20"/>
                <w:color w:val="auto"/>
              </w:rPr>
            </w:pPr>
            <w:r>
              <w:rPr>
                <w:rFonts w:ascii="Times New Roman" w:cs="Times New Roman" w:eastAsia="Times New Roman" w:hAnsi="Times New Roman"/>
                <w:sz w:val="15"/>
                <w:szCs w:val="15"/>
                <w:color w:val="4C4C4E"/>
              </w:rPr>
              <w:t>12.08% (incl. 4.75% PIK)</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3,376</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3,484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267"/>
        </w:trPr>
        <w:tc>
          <w:tcPr>
            <w:tcW w:w="2100" w:type="dxa"/>
            <w:vAlign w:val="bottom"/>
          </w:tcPr>
          <w:p>
            <w:pPr>
              <w:spacing w:after="0"/>
              <w:rPr>
                <w:sz w:val="23"/>
                <w:szCs w:val="23"/>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9/2029)</w:t>
            </w:r>
            <w:r>
              <w:rPr>
                <w:rFonts w:ascii="Times New Roman" w:cs="Times New Roman" w:eastAsia="Times New Roman" w:hAnsi="Times New Roman"/>
                <w:sz w:val="20"/>
                <w:szCs w:val="20"/>
                <w:color w:val="4C4C4E"/>
                <w:vertAlign w:val="superscript"/>
              </w:rPr>
              <w:t>(3)</w:t>
            </w:r>
          </w:p>
        </w:tc>
        <w:tc>
          <w:tcPr>
            <w:tcW w:w="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80"/>
          </w:cols>
          <w:pgMar w:left="500" w:top="710" w:right="500" w:bottom="6"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F-19</w:t>
      </w:r>
    </w:p>
    <w:p>
      <w:pPr>
        <w:sectPr>
          <w:pgSz w:w="11880" w:h="15480" w:orient="portrait"/>
          <w:cols w:equalWidth="0" w:num="1">
            <w:col w:w="10880"/>
          </w:cols>
          <w:pgMar w:left="500" w:top="710" w:right="500" w:bottom="6"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72"/>
        </w:trPr>
        <w:tc>
          <w:tcPr>
            <w:tcW w:w="2100" w:type="dxa"/>
            <w:vAlign w:val="bottom"/>
            <w:shd w:val="clear" w:color="auto" w:fill="D8EEF4"/>
          </w:tcPr>
          <w:p>
            <w:pPr>
              <w:spacing w:after="0"/>
              <w:rPr>
                <w:sz w:val="15"/>
                <w:szCs w:val="15"/>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Second-lien note ($1,999 par,</w:t>
            </w: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8/31/2023</w:t>
            </w:r>
          </w:p>
        </w:tc>
        <w:tc>
          <w:tcPr>
            <w:tcW w:w="12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7.10%</w:t>
            </w:r>
          </w:p>
        </w:tc>
        <w:tc>
          <w:tcPr>
            <w:tcW w:w="1920" w:type="dxa"/>
            <w:vAlign w:val="bottom"/>
            <w:gridSpan w:val="2"/>
            <w:shd w:val="clear" w:color="auto" w:fill="D8EEF4"/>
          </w:tcPr>
          <w:p>
            <w:pPr>
              <w:jc w:val="right"/>
              <w:ind w:right="260"/>
              <w:spacing w:after="0"/>
              <w:rPr>
                <w:sz w:val="20"/>
                <w:szCs w:val="20"/>
                <w:color w:val="auto"/>
              </w:rPr>
            </w:pPr>
            <w:r>
              <w:rPr>
                <w:rFonts w:ascii="Times New Roman" w:cs="Times New Roman" w:eastAsia="Times New Roman" w:hAnsi="Times New Roman"/>
                <w:sz w:val="15"/>
                <w:szCs w:val="15"/>
                <w:color w:val="4C4C4E"/>
              </w:rPr>
              <w:t>7.10% (incl. 1.25% PIK)</w:t>
            </w: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1,513</w:t>
            </w:r>
          </w:p>
        </w:tc>
        <w:tc>
          <w:tcPr>
            <w:tcW w:w="106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1,309</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9/2029)</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Avalara, Inc. </w:t>
            </w:r>
            <w:r>
              <w:rPr>
                <w:rFonts w:ascii="Times New Roman" w:cs="Times New Roman" w:eastAsia="Times New Roman" w:hAnsi="Times New Roman"/>
                <w:sz w:val="19"/>
                <w:szCs w:val="19"/>
                <w:color w:val="4C4C4E"/>
                <w:vertAlign w:val="superscript"/>
              </w:rPr>
              <w:t>(3)</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($38,636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10/19/2022</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+ 6.25%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10.58%</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37,889</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38,955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10/2028)</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Heritage Environmental Services,</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($12,284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1/31/2024</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9.84%</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12,221</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12,425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Inc. </w:t>
            </w:r>
            <w:r>
              <w:rPr>
                <w:rFonts w:ascii="Times New Roman" w:cs="Times New Roman" w:eastAsia="Times New Roman" w:hAnsi="Times New Roman"/>
                <w:sz w:val="20"/>
                <w:szCs w:val="20"/>
                <w:color w:val="4C4C4E"/>
                <w:vertAlign w:val="superscript"/>
              </w:rPr>
              <w:t>(3)</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1/2031)</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($1,329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1/31/2024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+ 5.00%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9.33%</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1,323</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1,329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1/2031)</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Skylark UK DebtCo Limited </w:t>
            </w:r>
            <w:r>
              <w:rPr>
                <w:rFonts w:ascii="Times New Roman" w:cs="Times New Roman" w:eastAsia="Times New Roman" w:hAnsi="Times New Roman"/>
                <w:sz w:val="19"/>
                <w:szCs w:val="19"/>
                <w:color w:val="4C4C4E"/>
                <w:vertAlign w:val="superscript"/>
              </w:rPr>
              <w:t>(3)(4)</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($16,340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9/7/2023</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+ 5.66%</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9.99%</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15,951</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16,503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9/2030)</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4,851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9/7/2023</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E + 5.66%</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8.35%</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5,071</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5,074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9/2030)</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4,900)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(GBP 16,640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9/7/2023</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 + 5.66%</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10.36%</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20,115</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21,117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9/2030)</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(GBP 16,861)</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Varinem German BidCo GMBH</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12,696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7/11/2024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E + 5.75%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9.42%</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13,681</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13,105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0" w:type="dxa"/>
            <w:vAlign w:val="bottom"/>
          </w:tcPr>
          <w:p>
            <w:pPr>
              <w:spacing w:after="0"/>
              <w:rPr>
                <w:sz w:val="1"/>
                <w:szCs w:val="1"/>
                <w:color w:val="auto"/>
              </w:rPr>
            </w:pPr>
          </w:p>
        </w:tc>
      </w:tr>
      <w:tr>
        <w:trPr>
          <w:trHeight w:val="133"/>
        </w:trPr>
        <w:tc>
          <w:tcPr>
            <w:tcW w:w="2100" w:type="dxa"/>
            <w:vAlign w:val="bottom"/>
          </w:tcPr>
          <w:p>
            <w:pPr>
              <w:spacing w:after="0"/>
              <w:rPr>
                <w:sz w:val="20"/>
                <w:szCs w:val="20"/>
                <w:color w:val="auto"/>
              </w:rPr>
            </w:pPr>
            <w:r>
              <w:rPr>
                <w:rFonts w:ascii="Times New Roman" w:cs="Times New Roman" w:eastAsia="Times New Roman" w:hAnsi="Times New Roman"/>
                <w:sz w:val="10"/>
                <w:szCs w:val="10"/>
                <w:color w:val="4C4C4E"/>
              </w:rPr>
              <w:t>(3)(4)</w:t>
            </w:r>
          </w:p>
        </w:tc>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4C4C4E"/>
              </w:rPr>
              <w:t>due 7/2031)</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4C4C4E"/>
              </w:rPr>
              <w:t>(EUR 12,656)</w:t>
            </w: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100" w:type="dxa"/>
            <w:vAlign w:val="bottom"/>
            <w:tcBorders>
              <w:bottom w:val="single" w:sz="8" w:color="D8EEF4"/>
            </w:tcBorders>
          </w:tcPr>
          <w:p>
            <w:pPr>
              <w:spacing w:after="0"/>
              <w:rPr>
                <w:sz w:val="4"/>
                <w:szCs w:val="4"/>
                <w:color w:val="auto"/>
              </w:rPr>
            </w:pPr>
          </w:p>
        </w:tc>
        <w:tc>
          <w:tcPr>
            <w:tcW w:w="2060" w:type="dxa"/>
            <w:vAlign w:val="bottom"/>
            <w:tcBorders>
              <w:bottom w:val="single" w:sz="8" w:color="D8EEF4"/>
            </w:tcBorders>
            <w:vMerge w:val="continue"/>
          </w:tcPr>
          <w:p>
            <w:pPr>
              <w:spacing w:after="0"/>
              <w:rPr>
                <w:sz w:val="4"/>
                <w:szCs w:val="4"/>
                <w:color w:val="auto"/>
              </w:rPr>
            </w:pPr>
          </w:p>
        </w:tc>
        <w:tc>
          <w:tcPr>
            <w:tcW w:w="780" w:type="dxa"/>
            <w:vAlign w:val="bottom"/>
            <w:tcBorders>
              <w:bottom w:val="single" w:sz="8" w:color="D8EEF4"/>
            </w:tcBorders>
          </w:tcPr>
          <w:p>
            <w:pPr>
              <w:spacing w:after="0"/>
              <w:rPr>
                <w:sz w:val="4"/>
                <w:szCs w:val="4"/>
                <w:color w:val="auto"/>
              </w:rPr>
            </w:pPr>
          </w:p>
        </w:tc>
        <w:tc>
          <w:tcPr>
            <w:tcW w:w="1220" w:type="dxa"/>
            <w:vAlign w:val="bottom"/>
            <w:tcBorders>
              <w:bottom w:val="single" w:sz="8" w:color="D8EEF4"/>
            </w:tcBorders>
          </w:tcPr>
          <w:p>
            <w:pPr>
              <w:spacing w:after="0"/>
              <w:rPr>
                <w:sz w:val="4"/>
                <w:szCs w:val="4"/>
                <w:color w:val="auto"/>
              </w:rPr>
            </w:pPr>
          </w:p>
        </w:tc>
        <w:tc>
          <w:tcPr>
            <w:tcW w:w="1840" w:type="dxa"/>
            <w:vAlign w:val="bottom"/>
            <w:tcBorders>
              <w:bottom w:val="single" w:sz="8" w:color="D8EEF4"/>
            </w:tcBorders>
          </w:tcPr>
          <w:p>
            <w:pPr>
              <w:spacing w:after="0"/>
              <w:rPr>
                <w:sz w:val="4"/>
                <w:szCs w:val="4"/>
                <w:color w:val="auto"/>
              </w:rPr>
            </w:pPr>
          </w:p>
        </w:tc>
        <w:tc>
          <w:tcPr>
            <w:tcW w:w="80" w:type="dxa"/>
            <w:vAlign w:val="bottom"/>
            <w:tcBorders>
              <w:bottom w:val="single" w:sz="8" w:color="D8EEF4"/>
            </w:tcBorders>
          </w:tcPr>
          <w:p>
            <w:pPr>
              <w:spacing w:after="0"/>
              <w:rPr>
                <w:sz w:val="4"/>
                <w:szCs w:val="4"/>
                <w:color w:val="auto"/>
              </w:rPr>
            </w:pPr>
          </w:p>
        </w:tc>
        <w:tc>
          <w:tcPr>
            <w:tcW w:w="700" w:type="dxa"/>
            <w:vAlign w:val="bottom"/>
            <w:tcBorders>
              <w:bottom w:val="single" w:sz="8" w:color="4C4C4E"/>
            </w:tcBorders>
          </w:tcPr>
          <w:p>
            <w:pPr>
              <w:spacing w:after="0"/>
              <w:rPr>
                <w:sz w:val="4"/>
                <w:szCs w:val="4"/>
                <w:color w:val="auto"/>
              </w:rPr>
            </w:pPr>
          </w:p>
        </w:tc>
        <w:tc>
          <w:tcPr>
            <w:tcW w:w="40" w:type="dxa"/>
            <w:vAlign w:val="bottom"/>
            <w:tcBorders>
              <w:bottom w:val="single" w:sz="8" w:color="D8EEF4"/>
            </w:tcBorders>
          </w:tcPr>
          <w:p>
            <w:pPr>
              <w:spacing w:after="0"/>
              <w:rPr>
                <w:sz w:val="4"/>
                <w:szCs w:val="4"/>
                <w:color w:val="auto"/>
              </w:rPr>
            </w:pPr>
          </w:p>
        </w:tc>
        <w:tc>
          <w:tcPr>
            <w:tcW w:w="100" w:type="dxa"/>
            <w:vAlign w:val="bottom"/>
            <w:tcBorders>
              <w:bottom w:val="single" w:sz="8" w:color="4C4C4E"/>
            </w:tcBorders>
          </w:tcPr>
          <w:p>
            <w:pPr>
              <w:spacing w:after="0"/>
              <w:rPr>
                <w:sz w:val="4"/>
                <w:szCs w:val="4"/>
                <w:color w:val="auto"/>
              </w:rPr>
            </w:pPr>
          </w:p>
        </w:tc>
        <w:tc>
          <w:tcPr>
            <w:tcW w:w="920" w:type="dxa"/>
            <w:vAlign w:val="bottom"/>
            <w:tcBorders>
              <w:bottom w:val="single" w:sz="8" w:color="4C4C4E"/>
            </w:tcBorders>
            <w:vMerge w:val="continue"/>
          </w:tcPr>
          <w:p>
            <w:pPr>
              <w:spacing w:after="0"/>
              <w:rPr>
                <w:sz w:val="4"/>
                <w:szCs w:val="4"/>
                <w:color w:val="auto"/>
              </w:rPr>
            </w:pPr>
          </w:p>
        </w:tc>
        <w:tc>
          <w:tcPr>
            <w:tcW w:w="40" w:type="dxa"/>
            <w:vAlign w:val="bottom"/>
            <w:tcBorders>
              <w:bottom w:val="single" w:sz="8" w:color="D8EEF4"/>
            </w:tcBorders>
          </w:tcPr>
          <w:p>
            <w:pPr>
              <w:spacing w:after="0"/>
              <w:rPr>
                <w:sz w:val="4"/>
                <w:szCs w:val="4"/>
                <w:color w:val="auto"/>
              </w:rPr>
            </w:pPr>
          </w:p>
        </w:tc>
        <w:tc>
          <w:tcPr>
            <w:tcW w:w="840" w:type="dxa"/>
            <w:vAlign w:val="bottom"/>
            <w:tcBorders>
              <w:bottom w:val="single" w:sz="8" w:color="4C4C4E"/>
            </w:tcBorders>
          </w:tcPr>
          <w:p>
            <w:pPr>
              <w:spacing w:after="0"/>
              <w:rPr>
                <w:sz w:val="4"/>
                <w:szCs w:val="4"/>
                <w:color w:val="auto"/>
              </w:rPr>
            </w:pPr>
          </w:p>
        </w:tc>
        <w:tc>
          <w:tcPr>
            <w:tcW w:w="160" w:type="dxa"/>
            <w:vAlign w:val="bottom"/>
            <w:tcBorders>
              <w:bottom w:val="single" w:sz="8" w:color="D8EEF4"/>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D8EEF4"/>
          </w:tcPr>
          <w:p>
            <w:pPr>
              <w:spacing w:after="0"/>
              <w:rPr>
                <w:sz w:val="15"/>
                <w:szCs w:val="15"/>
                <w:color w:val="auto"/>
              </w:rPr>
            </w:pPr>
          </w:p>
        </w:tc>
        <w:tc>
          <w:tcPr>
            <w:tcW w:w="2060" w:type="dxa"/>
            <w:vAlign w:val="bottom"/>
            <w:shd w:val="clear" w:color="auto" w:fill="D8EEF4"/>
          </w:tcPr>
          <w:p>
            <w:pPr>
              <w:spacing w:after="0"/>
              <w:rPr>
                <w:sz w:val="15"/>
                <w:szCs w:val="15"/>
                <w:color w:val="auto"/>
              </w:rPr>
            </w:pPr>
          </w:p>
        </w:tc>
        <w:tc>
          <w:tcPr>
            <w:tcW w:w="780" w:type="dxa"/>
            <w:vAlign w:val="bottom"/>
            <w:shd w:val="clear" w:color="auto" w:fill="D8EEF4"/>
          </w:tcPr>
          <w:p>
            <w:pPr>
              <w:spacing w:after="0"/>
              <w:rPr>
                <w:sz w:val="15"/>
                <w:szCs w:val="15"/>
                <w:color w:val="auto"/>
              </w:rPr>
            </w:pPr>
          </w:p>
        </w:tc>
        <w:tc>
          <w:tcPr>
            <w:tcW w:w="1220" w:type="dxa"/>
            <w:vAlign w:val="bottom"/>
            <w:shd w:val="clear" w:color="auto" w:fill="D8EEF4"/>
          </w:tcPr>
          <w:p>
            <w:pPr>
              <w:spacing w:after="0"/>
              <w:rPr>
                <w:sz w:val="15"/>
                <w:szCs w:val="15"/>
                <w:color w:val="auto"/>
              </w:rPr>
            </w:pPr>
          </w:p>
        </w:tc>
        <w:tc>
          <w:tcPr>
            <w:tcW w:w="1840" w:type="dxa"/>
            <w:vAlign w:val="bottom"/>
            <w:shd w:val="clear" w:color="auto" w:fill="D8EEF4"/>
          </w:tcPr>
          <w:p>
            <w:pPr>
              <w:spacing w:after="0"/>
              <w:rPr>
                <w:sz w:val="15"/>
                <w:szCs w:val="15"/>
                <w:color w:val="auto"/>
              </w:rPr>
            </w:pPr>
          </w:p>
        </w:tc>
        <w:tc>
          <w:tcPr>
            <w:tcW w:w="80" w:type="dxa"/>
            <w:vAlign w:val="bottom"/>
            <w:shd w:val="clear" w:color="auto" w:fill="D8EEF4"/>
          </w:tcPr>
          <w:p>
            <w:pPr>
              <w:spacing w:after="0"/>
              <w:rPr>
                <w:sz w:val="15"/>
                <w:szCs w:val="15"/>
                <w:color w:val="auto"/>
              </w:rPr>
            </w:pPr>
          </w:p>
        </w:tc>
        <w:tc>
          <w:tcPr>
            <w:tcW w:w="7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119,888</w:t>
            </w:r>
          </w:p>
        </w:tc>
        <w:tc>
          <w:tcPr>
            <w:tcW w:w="40" w:type="dxa"/>
            <w:vAlign w:val="bottom"/>
            <w:shd w:val="clear" w:color="auto" w:fill="D8EEF4"/>
          </w:tcPr>
          <w:p>
            <w:pPr>
              <w:spacing w:after="0"/>
              <w:rPr>
                <w:sz w:val="15"/>
                <w:szCs w:val="15"/>
                <w:color w:val="auto"/>
              </w:rPr>
            </w:pPr>
          </w:p>
        </w:tc>
        <w:tc>
          <w:tcPr>
            <w:tcW w:w="102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122,161</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7.6</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81"/>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Office Products</w:t>
            </w: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USR Parent, Inc. </w:t>
            </w:r>
            <w:r>
              <w:rPr>
                <w:rFonts w:ascii="Times New Roman" w:cs="Times New Roman" w:eastAsia="Times New Roman" w:hAnsi="Times New Roman"/>
                <w:sz w:val="19"/>
                <w:szCs w:val="19"/>
                <w:color w:val="4C4C4E"/>
                <w:vertAlign w:val="superscript"/>
              </w:rPr>
              <w:t>(3)(5)</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ABL FILO term loan ($15,000</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4/25/2022</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+ 6.50%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11.05%</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14,781</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15,000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0.9%</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 due 4/2027)</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Oil, Gas and Consumable Fuels</w:t>
            </w:r>
          </w:p>
        </w:tc>
        <w:tc>
          <w:tcPr>
            <w:tcW w:w="2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Laramie Energy, LLC </w:t>
            </w:r>
            <w:r>
              <w:rPr>
                <w:rFonts w:ascii="Times New Roman" w:cs="Times New Roman" w:eastAsia="Times New Roman" w:hAnsi="Times New Roman"/>
                <w:sz w:val="19"/>
                <w:szCs w:val="19"/>
                <w:color w:val="4C4C4E"/>
                <w:vertAlign w:val="superscript"/>
              </w:rPr>
              <w:t>(3)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($27,317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2/21/2023</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+ 7.10%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11.46%</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27,025</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27,590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2/2027)</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Mach Natural Resources LP </w:t>
            </w:r>
            <w:r>
              <w:rPr>
                <w:rFonts w:ascii="Times New Roman" w:cs="Times New Roman" w:eastAsia="Times New Roman" w:hAnsi="Times New Roman"/>
                <w:sz w:val="19"/>
                <w:szCs w:val="19"/>
                <w:color w:val="4C4C4E"/>
                <w:vertAlign w:val="superscript"/>
              </w:rPr>
              <w:t>(3)(4)</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($4,625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12/28/2023</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+ 6.65%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10.98%</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4,561</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4,660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12/2026)</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TRP Assets, LLC </w:t>
            </w:r>
            <w:r>
              <w:rPr>
                <w:rFonts w:ascii="Times New Roman" w:cs="Times New Roman" w:eastAsia="Times New Roman" w:hAnsi="Times New Roman"/>
                <w:sz w:val="19"/>
                <w:szCs w:val="19"/>
                <w:color w:val="4C4C4E"/>
                <w:vertAlign w:val="superscript"/>
              </w:rPr>
              <w:t>(3)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($54,834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12/20/2024</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11.33%</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53,540</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54,834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w:t>
            </w:r>
          </w:p>
        </w:tc>
        <w:tc>
          <w:tcPr>
            <w:tcW w:w="0" w:type="dxa"/>
            <w:vAlign w:val="bottom"/>
          </w:tcPr>
          <w:p>
            <w:pPr>
              <w:spacing w:after="0"/>
              <w:rPr>
                <w:sz w:val="1"/>
                <w:szCs w:val="1"/>
                <w:color w:val="auto"/>
              </w:rPr>
            </w:pPr>
          </w:p>
        </w:tc>
      </w:tr>
      <w:tr>
        <w:trPr>
          <w:trHeight w:val="208"/>
        </w:trPr>
        <w:tc>
          <w:tcPr>
            <w:tcW w:w="2100" w:type="dxa"/>
            <w:vAlign w:val="bottom"/>
            <w:tcBorders>
              <w:bottom w:val="single" w:sz="8" w:color="D8EEF4"/>
            </w:tcBorders>
            <w:shd w:val="clear" w:color="auto" w:fill="D8EEF4"/>
          </w:tcPr>
          <w:p>
            <w:pPr>
              <w:spacing w:after="0"/>
              <w:rPr>
                <w:sz w:val="18"/>
                <w:szCs w:val="18"/>
                <w:color w:val="auto"/>
              </w:rPr>
            </w:pPr>
          </w:p>
        </w:tc>
        <w:tc>
          <w:tcPr>
            <w:tcW w:w="2060" w:type="dxa"/>
            <w:vAlign w:val="bottom"/>
            <w:tcBorders>
              <w:bottom w:val="single" w:sz="8" w:color="D8EEF4"/>
            </w:tcBorders>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12/2029)</w:t>
            </w:r>
          </w:p>
        </w:tc>
        <w:tc>
          <w:tcPr>
            <w:tcW w:w="780" w:type="dxa"/>
            <w:vAlign w:val="bottom"/>
            <w:tcBorders>
              <w:bottom w:val="single" w:sz="8" w:color="D8EEF4"/>
            </w:tcBorders>
            <w:shd w:val="clear" w:color="auto" w:fill="D8EEF4"/>
          </w:tcPr>
          <w:p>
            <w:pPr>
              <w:spacing w:after="0"/>
              <w:rPr>
                <w:sz w:val="18"/>
                <w:szCs w:val="18"/>
                <w:color w:val="auto"/>
              </w:rPr>
            </w:pPr>
          </w:p>
        </w:tc>
        <w:tc>
          <w:tcPr>
            <w:tcW w:w="1220" w:type="dxa"/>
            <w:vAlign w:val="bottom"/>
            <w:tcBorders>
              <w:bottom w:val="single" w:sz="8" w:color="D8EEF4"/>
            </w:tcBorders>
            <w:shd w:val="clear" w:color="auto" w:fill="D8EEF4"/>
          </w:tcPr>
          <w:p>
            <w:pPr>
              <w:spacing w:after="0"/>
              <w:rPr>
                <w:sz w:val="18"/>
                <w:szCs w:val="18"/>
                <w:color w:val="auto"/>
              </w:rPr>
            </w:pPr>
          </w:p>
        </w:tc>
        <w:tc>
          <w:tcPr>
            <w:tcW w:w="184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4C4C4E"/>
            </w:tcBorders>
            <w:shd w:val="clear" w:color="auto" w:fill="D8EEF4"/>
          </w:tcPr>
          <w:p>
            <w:pPr>
              <w:spacing w:after="0"/>
              <w:rPr>
                <w:sz w:val="18"/>
                <w:szCs w:val="18"/>
                <w:color w:val="auto"/>
              </w:rPr>
            </w:pPr>
          </w:p>
        </w:tc>
        <w:tc>
          <w:tcPr>
            <w:tcW w:w="70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92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85,126</w:t>
            </w:r>
          </w:p>
        </w:tc>
        <w:tc>
          <w:tcPr>
            <w:tcW w:w="40" w:type="dxa"/>
            <w:vAlign w:val="bottom"/>
          </w:tcPr>
          <w:p>
            <w:pPr>
              <w:spacing w:after="0"/>
              <w:rPr>
                <w:sz w:val="14"/>
                <w:szCs w:val="14"/>
                <w:color w:val="auto"/>
              </w:rPr>
            </w:pPr>
          </w:p>
        </w:tc>
        <w:tc>
          <w:tcPr>
            <w:tcW w:w="10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87,084</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5.4%</w:t>
            </w: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Other</w:t>
            </w:r>
          </w:p>
        </w:tc>
        <w:tc>
          <w:tcPr>
            <w:tcW w:w="2060" w:type="dxa"/>
            <w:vAlign w:val="bottom"/>
            <w:tcBorders>
              <w:top w:val="single" w:sz="8" w:color="D8EEF4"/>
            </w:tcBorders>
            <w:shd w:val="clear" w:color="auto" w:fill="D8EEF4"/>
          </w:tcPr>
          <w:p>
            <w:pPr>
              <w:spacing w:after="0"/>
              <w:rPr>
                <w:sz w:val="15"/>
                <w:szCs w:val="15"/>
                <w:color w:val="auto"/>
              </w:rPr>
            </w:pPr>
          </w:p>
        </w:tc>
        <w:tc>
          <w:tcPr>
            <w:tcW w:w="780" w:type="dxa"/>
            <w:vAlign w:val="bottom"/>
            <w:tcBorders>
              <w:top w:val="single" w:sz="8" w:color="D8EEF4"/>
            </w:tcBorders>
            <w:shd w:val="clear" w:color="auto" w:fill="D8EEF4"/>
          </w:tcPr>
          <w:p>
            <w:pPr>
              <w:spacing w:after="0"/>
              <w:rPr>
                <w:sz w:val="15"/>
                <w:szCs w:val="15"/>
                <w:color w:val="auto"/>
              </w:rPr>
            </w:pPr>
          </w:p>
        </w:tc>
        <w:tc>
          <w:tcPr>
            <w:tcW w:w="12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4C4C4E"/>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Omnigo Software, LLC </w:t>
            </w:r>
            <w:r>
              <w:rPr>
                <w:rFonts w:ascii="Times New Roman" w:cs="Times New Roman" w:eastAsia="Times New Roman" w:hAnsi="Times New Roman"/>
                <w:sz w:val="19"/>
                <w:szCs w:val="19"/>
                <w:color w:val="4C4C4E"/>
                <w:vertAlign w:val="superscript"/>
              </w:rPr>
              <w:t>(3)(5)</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($39,533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3/31/2021</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9.86%</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39,244</w:t>
            </w:r>
          </w:p>
        </w:tc>
        <w:tc>
          <w:tcPr>
            <w:tcW w:w="40" w:type="dxa"/>
            <w:vAlign w:val="bottom"/>
          </w:tcPr>
          <w:p>
            <w:pPr>
              <w:spacing w:after="0"/>
              <w:rPr>
                <w:sz w:val="14"/>
                <w:szCs w:val="14"/>
                <w:color w:val="auto"/>
              </w:rPr>
            </w:pPr>
          </w:p>
        </w:tc>
        <w:tc>
          <w:tcPr>
            <w:tcW w:w="10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39,533</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3/2027)</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Scorpio Bidco </w:t>
            </w:r>
            <w:r>
              <w:rPr>
                <w:rFonts w:ascii="Times New Roman" w:cs="Times New Roman" w:eastAsia="Times New Roman" w:hAnsi="Times New Roman"/>
                <w:sz w:val="19"/>
                <w:szCs w:val="19"/>
                <w:color w:val="4C4C4E"/>
                <w:vertAlign w:val="superscript"/>
              </w:rPr>
              <w:t>(3)(4)</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2,511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4/4/2024</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E + 5.75%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8.43%</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2,671</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2,584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4/2031)</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2,496)</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Sky Bidco S.p.A. </w:t>
            </w:r>
            <w:r>
              <w:rPr>
                <w:rFonts w:ascii="Times New Roman" w:cs="Times New Roman" w:eastAsia="Times New Roman" w:hAnsi="Times New Roman"/>
                <w:sz w:val="19"/>
                <w:szCs w:val="19"/>
                <w:color w:val="4C4C4E"/>
                <w:vertAlign w:val="superscript"/>
              </w:rPr>
              <w:t>(3)(4)</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note (EUR 6,368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10/29/2024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E + 5.25%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8.20%</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6,671</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6,415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10/2031)</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6,195)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note ($14,085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10/29/2024</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10.51%</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13,810</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13,838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0" w:type="dxa"/>
            <w:vAlign w:val="bottom"/>
          </w:tcPr>
          <w:p>
            <w:pPr>
              <w:spacing w:after="0"/>
              <w:rPr>
                <w:sz w:val="1"/>
                <w:szCs w:val="1"/>
                <w:color w:val="auto"/>
              </w:rPr>
            </w:pPr>
          </w:p>
        </w:tc>
      </w:tr>
      <w:tr>
        <w:trPr>
          <w:trHeight w:val="208"/>
        </w:trPr>
        <w:tc>
          <w:tcPr>
            <w:tcW w:w="2100" w:type="dxa"/>
            <w:vAlign w:val="bottom"/>
            <w:tcBorders>
              <w:bottom w:val="single" w:sz="8" w:color="D8EEF4"/>
            </w:tcBorders>
            <w:shd w:val="clear" w:color="auto" w:fill="D8EEF4"/>
          </w:tcPr>
          <w:p>
            <w:pPr>
              <w:spacing w:after="0"/>
              <w:rPr>
                <w:sz w:val="18"/>
                <w:szCs w:val="18"/>
                <w:color w:val="auto"/>
              </w:rPr>
            </w:pPr>
          </w:p>
        </w:tc>
        <w:tc>
          <w:tcPr>
            <w:tcW w:w="2060" w:type="dxa"/>
            <w:vAlign w:val="bottom"/>
            <w:tcBorders>
              <w:bottom w:val="single" w:sz="8" w:color="D8EEF4"/>
            </w:tcBorders>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10/2031)</w:t>
            </w:r>
          </w:p>
        </w:tc>
        <w:tc>
          <w:tcPr>
            <w:tcW w:w="780" w:type="dxa"/>
            <w:vAlign w:val="bottom"/>
            <w:tcBorders>
              <w:bottom w:val="single" w:sz="8" w:color="D8EEF4"/>
            </w:tcBorders>
            <w:shd w:val="clear" w:color="auto" w:fill="D8EEF4"/>
          </w:tcPr>
          <w:p>
            <w:pPr>
              <w:spacing w:after="0"/>
              <w:rPr>
                <w:sz w:val="18"/>
                <w:szCs w:val="18"/>
                <w:color w:val="auto"/>
              </w:rPr>
            </w:pPr>
          </w:p>
        </w:tc>
        <w:tc>
          <w:tcPr>
            <w:tcW w:w="1220" w:type="dxa"/>
            <w:vAlign w:val="bottom"/>
            <w:tcBorders>
              <w:bottom w:val="single" w:sz="8" w:color="D8EEF4"/>
            </w:tcBorders>
            <w:shd w:val="clear" w:color="auto" w:fill="D8EEF4"/>
          </w:tcPr>
          <w:p>
            <w:pPr>
              <w:spacing w:after="0"/>
              <w:rPr>
                <w:sz w:val="18"/>
                <w:szCs w:val="18"/>
                <w:color w:val="auto"/>
              </w:rPr>
            </w:pPr>
          </w:p>
        </w:tc>
        <w:tc>
          <w:tcPr>
            <w:tcW w:w="184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D8EEF4"/>
            </w:tcBorders>
            <w:shd w:val="clear" w:color="auto" w:fill="D8EEF4"/>
          </w:tcPr>
          <w:p>
            <w:pPr>
              <w:spacing w:after="0"/>
              <w:rPr>
                <w:sz w:val="18"/>
                <w:szCs w:val="18"/>
                <w:color w:val="auto"/>
              </w:rPr>
            </w:pPr>
          </w:p>
        </w:tc>
        <w:tc>
          <w:tcPr>
            <w:tcW w:w="70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92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62,396</w:t>
            </w:r>
          </w:p>
        </w:tc>
        <w:tc>
          <w:tcPr>
            <w:tcW w:w="40" w:type="dxa"/>
            <w:vAlign w:val="bottom"/>
          </w:tcPr>
          <w:p>
            <w:pPr>
              <w:spacing w:after="0"/>
              <w:rPr>
                <w:sz w:val="14"/>
                <w:szCs w:val="14"/>
                <w:color w:val="auto"/>
              </w:rPr>
            </w:pPr>
          </w:p>
        </w:tc>
        <w:tc>
          <w:tcPr>
            <w:tcW w:w="10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62,370</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3.9%</w:t>
            </w: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Pharmaceuticals</w:t>
            </w:r>
          </w:p>
        </w:tc>
        <w:tc>
          <w:tcPr>
            <w:tcW w:w="2060" w:type="dxa"/>
            <w:vAlign w:val="bottom"/>
            <w:tcBorders>
              <w:top w:val="single" w:sz="8" w:color="D8EEF4"/>
            </w:tcBorders>
            <w:shd w:val="clear" w:color="auto" w:fill="D8EEF4"/>
          </w:tcPr>
          <w:p>
            <w:pPr>
              <w:spacing w:after="0"/>
              <w:rPr>
                <w:sz w:val="15"/>
                <w:szCs w:val="15"/>
                <w:color w:val="auto"/>
              </w:rPr>
            </w:pPr>
          </w:p>
        </w:tc>
        <w:tc>
          <w:tcPr>
            <w:tcW w:w="780" w:type="dxa"/>
            <w:vAlign w:val="bottom"/>
            <w:tcBorders>
              <w:top w:val="single" w:sz="8" w:color="D8EEF4"/>
            </w:tcBorders>
            <w:shd w:val="clear" w:color="auto" w:fill="D8EEF4"/>
          </w:tcPr>
          <w:p>
            <w:pPr>
              <w:spacing w:after="0"/>
              <w:rPr>
                <w:sz w:val="15"/>
                <w:szCs w:val="15"/>
                <w:color w:val="auto"/>
              </w:rPr>
            </w:pPr>
          </w:p>
        </w:tc>
        <w:tc>
          <w:tcPr>
            <w:tcW w:w="12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4C4C4E"/>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Apellis Pharmaceuticals, Inc. </w:t>
            </w:r>
            <w:r>
              <w:rPr>
                <w:rFonts w:ascii="Times New Roman" w:cs="Times New Roman" w:eastAsia="Times New Roman" w:hAnsi="Times New Roman"/>
                <w:sz w:val="19"/>
                <w:szCs w:val="19"/>
                <w:color w:val="4C4C4E"/>
                <w:vertAlign w:val="superscript"/>
              </w:rPr>
              <w:t>(3)(4)</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($19,737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5/13/2024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+ 5.75%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10.08%</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19,737</w:t>
            </w:r>
          </w:p>
        </w:tc>
        <w:tc>
          <w:tcPr>
            <w:tcW w:w="40" w:type="dxa"/>
            <w:vAlign w:val="bottom"/>
          </w:tcPr>
          <w:p>
            <w:pPr>
              <w:spacing w:after="0"/>
              <w:rPr>
                <w:sz w:val="14"/>
                <w:szCs w:val="14"/>
                <w:color w:val="auto"/>
              </w:rPr>
            </w:pPr>
          </w:p>
        </w:tc>
        <w:tc>
          <w:tcPr>
            <w:tcW w:w="10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19,924</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5/2030)</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Arrowhead Pharmaceuticals, Inc.</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($33,059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8/7/2024</w:t>
            </w:r>
          </w:p>
        </w:tc>
        <w:tc>
          <w:tcPr>
            <w:tcW w:w="12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15.00%</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32,758</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44,133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2.7%</w:t>
            </w:r>
          </w:p>
        </w:tc>
        <w:tc>
          <w:tcPr>
            <w:tcW w:w="0" w:type="dxa"/>
            <w:vAlign w:val="bottom"/>
          </w:tcPr>
          <w:p>
            <w:pPr>
              <w:spacing w:after="0"/>
              <w:rPr>
                <w:sz w:val="1"/>
                <w:szCs w:val="1"/>
                <w:color w:val="auto"/>
              </w:rPr>
            </w:pPr>
          </w:p>
        </w:tc>
      </w:tr>
      <w:tr>
        <w:trPr>
          <w:trHeight w:val="168"/>
        </w:trPr>
        <w:tc>
          <w:tcPr>
            <w:tcW w:w="210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0"/>
                <w:szCs w:val="10"/>
                <w:color w:val="4C4C4E"/>
              </w:rPr>
              <w:t>(4)</w:t>
            </w:r>
          </w:p>
        </w:tc>
        <w:tc>
          <w:tcPr>
            <w:tcW w:w="2060" w:type="dxa"/>
            <w:vAlign w:val="bottom"/>
            <w:tcBorders>
              <w:bottom w:val="single" w:sz="8" w:color="D8EEF4"/>
            </w:tcBorders>
            <w:shd w:val="clear" w:color="auto" w:fill="D8EEF4"/>
          </w:tcPr>
          <w:p>
            <w:pPr>
              <w:ind w:left="60"/>
              <w:spacing w:after="0" w:line="168" w:lineRule="exact"/>
              <w:rPr>
                <w:sz w:val="20"/>
                <w:szCs w:val="20"/>
                <w:color w:val="auto"/>
              </w:rPr>
            </w:pPr>
            <w:r>
              <w:rPr>
                <w:rFonts w:ascii="Times New Roman" w:cs="Times New Roman" w:eastAsia="Times New Roman" w:hAnsi="Times New Roman"/>
                <w:sz w:val="15"/>
                <w:szCs w:val="15"/>
                <w:color w:val="4C4C4E"/>
              </w:rPr>
              <w:t>8/2031)</w:t>
            </w:r>
          </w:p>
        </w:tc>
        <w:tc>
          <w:tcPr>
            <w:tcW w:w="780" w:type="dxa"/>
            <w:vAlign w:val="bottom"/>
            <w:tcBorders>
              <w:bottom w:val="single" w:sz="8" w:color="D8EEF4"/>
            </w:tcBorders>
            <w:shd w:val="clear" w:color="auto" w:fill="D8EEF4"/>
          </w:tcPr>
          <w:p>
            <w:pPr>
              <w:spacing w:after="0"/>
              <w:rPr>
                <w:sz w:val="14"/>
                <w:szCs w:val="14"/>
                <w:color w:val="auto"/>
              </w:rPr>
            </w:pPr>
          </w:p>
        </w:tc>
        <w:tc>
          <w:tcPr>
            <w:tcW w:w="1220" w:type="dxa"/>
            <w:vAlign w:val="bottom"/>
            <w:tcBorders>
              <w:bottom w:val="single" w:sz="8" w:color="D8EEF4"/>
            </w:tcBorders>
            <w:shd w:val="clear" w:color="auto" w:fill="D8EEF4"/>
          </w:tcPr>
          <w:p>
            <w:pPr>
              <w:spacing w:after="0"/>
              <w:rPr>
                <w:sz w:val="14"/>
                <w:szCs w:val="14"/>
                <w:color w:val="auto"/>
              </w:rPr>
            </w:pPr>
          </w:p>
        </w:tc>
        <w:tc>
          <w:tcPr>
            <w:tcW w:w="1840" w:type="dxa"/>
            <w:vAlign w:val="bottom"/>
            <w:tcBorders>
              <w:bottom w:val="single" w:sz="8" w:color="D8EEF4"/>
            </w:tcBorders>
            <w:shd w:val="clear" w:color="auto" w:fill="D8EEF4"/>
          </w:tcPr>
          <w:p>
            <w:pPr>
              <w:spacing w:after="0"/>
              <w:rPr>
                <w:sz w:val="14"/>
                <w:szCs w:val="14"/>
                <w:color w:val="auto"/>
              </w:rPr>
            </w:pPr>
          </w:p>
        </w:tc>
        <w:tc>
          <w:tcPr>
            <w:tcW w:w="80" w:type="dxa"/>
            <w:vAlign w:val="bottom"/>
            <w:tcBorders>
              <w:bottom w:val="single" w:sz="8" w:color="D8EEF4"/>
            </w:tcBorders>
            <w:shd w:val="clear" w:color="auto" w:fill="D8EEF4"/>
          </w:tcPr>
          <w:p>
            <w:pPr>
              <w:spacing w:after="0"/>
              <w:rPr>
                <w:sz w:val="14"/>
                <w:szCs w:val="14"/>
                <w:color w:val="auto"/>
              </w:rPr>
            </w:pPr>
          </w:p>
        </w:tc>
        <w:tc>
          <w:tcPr>
            <w:tcW w:w="700" w:type="dxa"/>
            <w:vAlign w:val="bottom"/>
            <w:tcBorders>
              <w:bottom w:val="single" w:sz="8" w:color="D8EEF4"/>
            </w:tcBorders>
            <w:shd w:val="clear" w:color="auto" w:fill="D8EEF4"/>
          </w:tcPr>
          <w:p>
            <w:pPr>
              <w:spacing w:after="0"/>
              <w:rPr>
                <w:sz w:val="14"/>
                <w:szCs w:val="14"/>
                <w:color w:val="auto"/>
              </w:rPr>
            </w:pPr>
          </w:p>
        </w:tc>
        <w:tc>
          <w:tcPr>
            <w:tcW w:w="40" w:type="dxa"/>
            <w:vAlign w:val="bottom"/>
            <w:tcBorders>
              <w:bottom w:val="single" w:sz="8" w:color="D8EEF4"/>
            </w:tcBorders>
            <w:shd w:val="clear" w:color="auto" w:fill="D8EEF4"/>
          </w:tcPr>
          <w:p>
            <w:pPr>
              <w:spacing w:after="0"/>
              <w:rPr>
                <w:sz w:val="14"/>
                <w:szCs w:val="14"/>
                <w:color w:val="auto"/>
              </w:rPr>
            </w:pPr>
          </w:p>
        </w:tc>
        <w:tc>
          <w:tcPr>
            <w:tcW w:w="100" w:type="dxa"/>
            <w:vAlign w:val="bottom"/>
            <w:tcBorders>
              <w:bottom w:val="single" w:sz="8" w:color="D8EEF4"/>
            </w:tcBorders>
            <w:shd w:val="clear" w:color="auto" w:fill="D8EEF4"/>
          </w:tcPr>
          <w:p>
            <w:pPr>
              <w:spacing w:after="0"/>
              <w:rPr>
                <w:sz w:val="14"/>
                <w:szCs w:val="14"/>
                <w:color w:val="auto"/>
              </w:rPr>
            </w:pPr>
          </w:p>
        </w:tc>
        <w:tc>
          <w:tcPr>
            <w:tcW w:w="920" w:type="dxa"/>
            <w:vAlign w:val="bottom"/>
            <w:tcBorders>
              <w:bottom w:val="single" w:sz="8" w:color="D8EEF4"/>
            </w:tcBorders>
            <w:shd w:val="clear" w:color="auto" w:fill="D8EEF4"/>
          </w:tcPr>
          <w:p>
            <w:pPr>
              <w:spacing w:after="0"/>
              <w:rPr>
                <w:sz w:val="14"/>
                <w:szCs w:val="14"/>
                <w:color w:val="auto"/>
              </w:rPr>
            </w:pPr>
          </w:p>
        </w:tc>
        <w:tc>
          <w:tcPr>
            <w:tcW w:w="40" w:type="dxa"/>
            <w:vAlign w:val="bottom"/>
            <w:tcBorders>
              <w:bottom w:val="single" w:sz="8" w:color="D8EEF4"/>
            </w:tcBorders>
            <w:shd w:val="clear" w:color="auto" w:fill="D8EEF4"/>
          </w:tcPr>
          <w:p>
            <w:pPr>
              <w:spacing w:after="0"/>
              <w:rPr>
                <w:sz w:val="14"/>
                <w:szCs w:val="14"/>
                <w:color w:val="auto"/>
              </w:rPr>
            </w:pPr>
          </w:p>
        </w:tc>
        <w:tc>
          <w:tcPr>
            <w:tcW w:w="840" w:type="dxa"/>
            <w:vAlign w:val="bottom"/>
            <w:tcBorders>
              <w:bottom w:val="single" w:sz="8" w:color="D8EEF4"/>
            </w:tcBorders>
            <w:shd w:val="clear" w:color="auto" w:fill="D8EEF4"/>
          </w:tcPr>
          <w:p>
            <w:pPr>
              <w:spacing w:after="0"/>
              <w:rPr>
                <w:sz w:val="14"/>
                <w:szCs w:val="14"/>
                <w:color w:val="auto"/>
              </w:rPr>
            </w:pPr>
          </w:p>
        </w:tc>
        <w:tc>
          <w:tcPr>
            <w:tcW w:w="160" w:type="dxa"/>
            <w:vAlign w:val="bottom"/>
            <w:tcBorders>
              <w:bottom w:val="single" w:sz="8" w:color="D8EEF4"/>
            </w:tcBorders>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Elysium BidCo Limited </w:t>
            </w:r>
            <w:r>
              <w:rPr>
                <w:rFonts w:ascii="Times New Roman" w:cs="Times New Roman" w:eastAsia="Times New Roman" w:hAnsi="Times New Roman"/>
                <w:sz w:val="19"/>
                <w:szCs w:val="19"/>
                <w:color w:val="4C4C4E"/>
                <w:vertAlign w:val="superscript"/>
              </w:rPr>
              <w:t>(3)(4)</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17,985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12/11/2024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E + 7.25%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10.07%</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18,396</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18,204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12/2030)</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(EUR 17,580)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(GBP 9,953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12/11/2024</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 + 7.25%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11.95%</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12,367</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12,129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0.9%</w:t>
            </w:r>
          </w:p>
        </w:tc>
        <w:tc>
          <w:tcPr>
            <w:tcW w:w="0" w:type="dxa"/>
            <w:vAlign w:val="bottom"/>
          </w:tcPr>
          <w:p>
            <w:pPr>
              <w:spacing w:after="0"/>
              <w:rPr>
                <w:sz w:val="1"/>
                <w:szCs w:val="1"/>
                <w:color w:val="auto"/>
              </w:rPr>
            </w:pPr>
          </w:p>
        </w:tc>
      </w:tr>
      <w:tr>
        <w:trPr>
          <w:trHeight w:val="208"/>
        </w:trPr>
        <w:tc>
          <w:tcPr>
            <w:tcW w:w="2100" w:type="dxa"/>
            <w:vAlign w:val="bottom"/>
            <w:tcBorders>
              <w:bottom w:val="single" w:sz="8" w:color="D8EEF4"/>
            </w:tcBorders>
            <w:shd w:val="clear" w:color="auto" w:fill="D8EEF4"/>
          </w:tcPr>
          <w:p>
            <w:pPr>
              <w:spacing w:after="0"/>
              <w:rPr>
                <w:sz w:val="18"/>
                <w:szCs w:val="18"/>
                <w:color w:val="auto"/>
              </w:rPr>
            </w:pPr>
          </w:p>
        </w:tc>
        <w:tc>
          <w:tcPr>
            <w:tcW w:w="2060" w:type="dxa"/>
            <w:vAlign w:val="bottom"/>
            <w:tcBorders>
              <w:bottom w:val="single" w:sz="8" w:color="D8EEF4"/>
            </w:tcBorders>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6/2030)</w:t>
            </w:r>
          </w:p>
        </w:tc>
        <w:tc>
          <w:tcPr>
            <w:tcW w:w="780" w:type="dxa"/>
            <w:vAlign w:val="bottom"/>
            <w:tcBorders>
              <w:bottom w:val="single" w:sz="8" w:color="D8EEF4"/>
            </w:tcBorders>
            <w:shd w:val="clear" w:color="auto" w:fill="D8EEF4"/>
          </w:tcPr>
          <w:p>
            <w:pPr>
              <w:spacing w:after="0"/>
              <w:rPr>
                <w:sz w:val="18"/>
                <w:szCs w:val="18"/>
                <w:color w:val="auto"/>
              </w:rPr>
            </w:pPr>
          </w:p>
        </w:tc>
        <w:tc>
          <w:tcPr>
            <w:tcW w:w="1220" w:type="dxa"/>
            <w:vAlign w:val="bottom"/>
            <w:tcBorders>
              <w:bottom w:val="single" w:sz="8" w:color="D8EEF4"/>
            </w:tcBorders>
            <w:shd w:val="clear" w:color="auto" w:fill="D8EEF4"/>
          </w:tcPr>
          <w:p>
            <w:pPr>
              <w:spacing w:after="0"/>
              <w:rPr>
                <w:sz w:val="18"/>
                <w:szCs w:val="18"/>
                <w:color w:val="auto"/>
              </w:rPr>
            </w:pPr>
          </w:p>
        </w:tc>
        <w:tc>
          <w:tcPr>
            <w:tcW w:w="1840" w:type="dxa"/>
            <w:vAlign w:val="bottom"/>
            <w:tcBorders>
              <w:bottom w:val="single" w:sz="8" w:color="D8EEF4"/>
            </w:tcBorders>
            <w:shd w:val="clear" w:color="auto" w:fill="D8EEF4"/>
          </w:tcPr>
          <w:p>
            <w:pPr>
              <w:spacing w:after="0"/>
              <w:rPr>
                <w:sz w:val="18"/>
                <w:szCs w:val="18"/>
                <w:color w:val="auto"/>
              </w:rPr>
            </w:pPr>
          </w:p>
        </w:tc>
        <w:tc>
          <w:tcPr>
            <w:tcW w:w="80" w:type="dxa"/>
            <w:vAlign w:val="bottom"/>
            <w:tcBorders>
              <w:bottom w:val="single" w:sz="8" w:color="D8EEF4"/>
            </w:tcBorders>
            <w:shd w:val="clear" w:color="auto" w:fill="D8EEF4"/>
          </w:tcPr>
          <w:p>
            <w:pPr>
              <w:spacing w:after="0"/>
              <w:rPr>
                <w:sz w:val="18"/>
                <w:szCs w:val="18"/>
                <w:color w:val="auto"/>
              </w:rPr>
            </w:pPr>
          </w:p>
        </w:tc>
        <w:tc>
          <w:tcPr>
            <w:tcW w:w="70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D8EEF4"/>
            </w:tcBorders>
            <w:shd w:val="clear" w:color="auto" w:fill="D8EEF4"/>
          </w:tcPr>
          <w:p>
            <w:pPr>
              <w:spacing w:after="0"/>
              <w:rPr>
                <w:sz w:val="18"/>
                <w:szCs w:val="18"/>
                <w:color w:val="auto"/>
              </w:rPr>
            </w:pPr>
          </w:p>
        </w:tc>
        <w:tc>
          <w:tcPr>
            <w:tcW w:w="9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(GBP 9,684)</w:t>
            </w: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83,258</w:t>
            </w:r>
          </w:p>
        </w:tc>
        <w:tc>
          <w:tcPr>
            <w:tcW w:w="140" w:type="dxa"/>
            <w:vAlign w:val="bottom"/>
            <w:gridSpan w:val="2"/>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94,390</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5.9%</w:t>
            </w: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Real Estate</w:t>
            </w:r>
          </w:p>
        </w:tc>
        <w:tc>
          <w:tcPr>
            <w:tcW w:w="2060" w:type="dxa"/>
            <w:vAlign w:val="bottom"/>
            <w:tcBorders>
              <w:top w:val="single" w:sz="8" w:color="D8EEF4"/>
            </w:tcBorders>
            <w:shd w:val="clear" w:color="auto" w:fill="D8EEF4"/>
          </w:tcPr>
          <w:p>
            <w:pPr>
              <w:spacing w:after="0"/>
              <w:rPr>
                <w:sz w:val="15"/>
                <w:szCs w:val="15"/>
                <w:color w:val="auto"/>
              </w:rPr>
            </w:pPr>
          </w:p>
        </w:tc>
        <w:tc>
          <w:tcPr>
            <w:tcW w:w="780" w:type="dxa"/>
            <w:vAlign w:val="bottom"/>
            <w:tcBorders>
              <w:top w:val="single" w:sz="8" w:color="D8EEF4"/>
            </w:tcBorders>
            <w:shd w:val="clear" w:color="auto" w:fill="D8EEF4"/>
          </w:tcPr>
          <w:p>
            <w:pPr>
              <w:spacing w:after="0"/>
              <w:rPr>
                <w:sz w:val="15"/>
                <w:szCs w:val="15"/>
                <w:color w:val="auto"/>
              </w:rPr>
            </w:pPr>
          </w:p>
        </w:tc>
        <w:tc>
          <w:tcPr>
            <w:tcW w:w="12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D8EEF4"/>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Cirrus (BidCo) Limited </w:t>
            </w:r>
            <w:r>
              <w:rPr>
                <w:rFonts w:ascii="Times New Roman" w:cs="Times New Roman" w:eastAsia="Times New Roman" w:hAnsi="Times New Roman"/>
                <w:sz w:val="19"/>
                <w:szCs w:val="19"/>
                <w:color w:val="4C4C4E"/>
                <w:vertAlign w:val="superscript"/>
              </w:rPr>
              <w:t>(3)(4)(5)</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(GBP 675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8/9/2024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 + 6.25%</w:t>
            </w:r>
          </w:p>
        </w:tc>
        <w:tc>
          <w:tcPr>
            <w:tcW w:w="1920" w:type="dxa"/>
            <w:vAlign w:val="bottom"/>
            <w:gridSpan w:val="2"/>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rPr>
              <w:t>10.95% (incl. 3.00% PIK)</w:t>
            </w: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836</w:t>
            </w:r>
          </w:p>
        </w:tc>
        <w:tc>
          <w:tcPr>
            <w:tcW w:w="140" w:type="dxa"/>
            <w:vAlign w:val="bottom"/>
            <w:gridSpan w:val="2"/>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836</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due 8/2030)</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(GBP 667)</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Retail and Consumer Products</w:t>
            </w:r>
          </w:p>
        </w:tc>
        <w:tc>
          <w:tcPr>
            <w:tcW w:w="20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Acosta </w:t>
            </w:r>
            <w:r>
              <w:rPr>
                <w:rFonts w:ascii="Times New Roman" w:cs="Times New Roman" w:eastAsia="Times New Roman" w:hAnsi="Times New Roman"/>
                <w:sz w:val="19"/>
                <w:szCs w:val="19"/>
                <w:color w:val="4C4C4E"/>
                <w:vertAlign w:val="superscript"/>
              </w:rPr>
              <w:t>(3)(9)</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($10,000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8/20/2024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+ 5.60%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10.12%</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9,806</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9,925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0.6%</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8/2031)</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American Achievement, Corp.</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($26,864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9/30/2015</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+ 7.35%</w:t>
            </w:r>
          </w:p>
        </w:tc>
        <w:tc>
          <w:tcPr>
            <w:tcW w:w="1920" w:type="dxa"/>
            <w:vAlign w:val="bottom"/>
            <w:gridSpan w:val="2"/>
            <w:shd w:val="clear" w:color="auto" w:fill="D8EEF4"/>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w w:val="99"/>
              </w:rPr>
              <w:t>11.90% (incl. 11.40% PIK)</w:t>
            </w: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26,042</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20,551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0"/>
                <w:szCs w:val="10"/>
                <w:color w:val="4C4C4E"/>
              </w:rPr>
              <w:t>(3)(14)</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9/2026)</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($1,341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6/10/2021</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+ 15.10%</w:t>
            </w:r>
          </w:p>
        </w:tc>
        <w:tc>
          <w:tcPr>
            <w:tcW w:w="1920" w:type="dxa"/>
            <w:vAlign w:val="bottom"/>
            <w:gridSpan w:val="2"/>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w w:val="99"/>
              </w:rPr>
              <w:t>19.65% (incl. 19.15% PIK)</w:t>
            </w: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1,341</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9/2026)</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Subordinated note ($4,740 par,</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3/16/2021</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+ 1.15%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5.74%</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545</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9/2026)</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Bed Bath and Beyond Inc. </w:t>
            </w:r>
            <w:r>
              <w:rPr>
                <w:rFonts w:ascii="Times New Roman" w:cs="Times New Roman" w:eastAsia="Times New Roman" w:hAnsi="Times New Roman"/>
                <w:sz w:val="19"/>
                <w:szCs w:val="19"/>
                <w:color w:val="4C4C4E"/>
                <w:vertAlign w:val="superscript"/>
              </w:rPr>
              <w:t>(3)(15)</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ABL FILO term loan ($8,994</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9/2/2022</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+ 9.90%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14.26%</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8,856</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8,229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0.5%</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par, due 8/2027)</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Roll Up DIP term loan ($24,924</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4/24/2023</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+ 7.90%</w:t>
            </w:r>
          </w:p>
        </w:tc>
        <w:tc>
          <w:tcPr>
            <w:tcW w:w="1920" w:type="dxa"/>
            <w:vAlign w:val="bottom"/>
            <w:gridSpan w:val="2"/>
            <w:shd w:val="clear" w:color="auto" w:fill="D8EEF4"/>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rPr>
              <w:t>12.26% PIK</w:t>
            </w: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24,924</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22,806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Super-Priority DIP term loan</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4/24/2023</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+ 7.90%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12.26%</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3,988</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3,649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($3,988 par)</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Belk, Inc. </w:t>
            </w:r>
            <w:r>
              <w:rPr>
                <w:rFonts w:ascii="Times New Roman" w:cs="Times New Roman" w:eastAsia="Times New Roman" w:hAnsi="Times New Roman"/>
                <w:sz w:val="19"/>
                <w:szCs w:val="19"/>
                <w:color w:val="4C4C4E"/>
                <w:vertAlign w:val="superscript"/>
              </w:rPr>
              <w:t>(3)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($49,375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7/22/2024</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11.51%</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48,637</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49,005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7/2029)</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Cordance Operations, LLC </w:t>
            </w:r>
            <w:r>
              <w:rPr>
                <w:rFonts w:ascii="Times New Roman" w:cs="Times New Roman" w:eastAsia="Times New Roman" w:hAnsi="Times New Roman"/>
                <w:sz w:val="19"/>
                <w:szCs w:val="19"/>
                <w:color w:val="4C4C4E"/>
                <w:vertAlign w:val="superscript"/>
              </w:rPr>
              <w:t>(3)</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($60,781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7/25/2022</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+ 9.25%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13.51%</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59,808</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61,428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7/2028)</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Neuintel, LLC </w:t>
            </w:r>
            <w:r>
              <w:rPr>
                <w:rFonts w:ascii="Times New Roman" w:cs="Times New Roman" w:eastAsia="Times New Roman" w:hAnsi="Times New Roman"/>
                <w:sz w:val="19"/>
                <w:szCs w:val="19"/>
                <w:color w:val="4C4C4E"/>
                <w:vertAlign w:val="superscript"/>
              </w:rPr>
              <w:t>(3)(5)</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($55,038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12/20/2021</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+ 6.85%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11.21%</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54,520</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55,176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12/2026)</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PDI TA Holdings, Inc. </w:t>
            </w:r>
            <w:r>
              <w:rPr>
                <w:rFonts w:ascii="Times New Roman" w:cs="Times New Roman" w:eastAsia="Times New Roman" w:hAnsi="Times New Roman"/>
                <w:sz w:val="19"/>
                <w:szCs w:val="19"/>
                <w:color w:val="4C4C4E"/>
                <w:vertAlign w:val="superscript"/>
              </w:rPr>
              <w:t>(3)</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($18,133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+ 5.50%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10.09%</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17,854</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18,241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w:t>
            </w:r>
          </w:p>
        </w:tc>
        <w:tc>
          <w:tcPr>
            <w:tcW w:w="0" w:type="dxa"/>
            <w:vAlign w:val="bottom"/>
          </w:tcPr>
          <w:p>
            <w:pPr>
              <w:spacing w:after="0"/>
              <w:rPr>
                <w:sz w:val="1"/>
                <w:szCs w:val="1"/>
                <w:color w:val="auto"/>
              </w:rPr>
            </w:pPr>
          </w:p>
        </w:tc>
      </w:tr>
      <w:tr>
        <w:trPr>
          <w:trHeight w:val="202"/>
        </w:trPr>
        <w:tc>
          <w:tcPr>
            <w:tcW w:w="2100" w:type="dxa"/>
            <w:vAlign w:val="bottom"/>
          </w:tcPr>
          <w:p>
            <w:pPr>
              <w:spacing w:after="0"/>
              <w:rPr>
                <w:sz w:val="17"/>
                <w:szCs w:val="17"/>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2/2031)</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80"/>
          </w:cols>
          <w:pgMar w:left="500" w:top="768" w:right="500" w:bottom="6"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F-20</w:t>
      </w:r>
    </w:p>
    <w:p>
      <w:pPr>
        <w:sectPr>
          <w:pgSz w:w="11880" w:h="15480" w:orient="portrait"/>
          <w:cols w:equalWidth="0" w:num="1">
            <w:col w:w="10880"/>
          </w:cols>
          <w:pgMar w:left="500" w:top="768" w:right="500" w:bottom="6"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72"/>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Rapid Data GmbH</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First-lien loan (EUR 7,378 par,</w:t>
            </w: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7/11/2023</w:t>
            </w:r>
          </w:p>
        </w:tc>
        <w:tc>
          <w:tcPr>
            <w:tcW w:w="1220" w:type="dxa"/>
            <w:vAlign w:val="bottom"/>
            <w:shd w:val="clear" w:color="auto" w:fill="D8EEF4"/>
          </w:tcPr>
          <w:p>
            <w:pPr>
              <w:jc w:val="right"/>
              <w:ind w:right="85"/>
              <w:spacing w:after="0"/>
              <w:rPr>
                <w:sz w:val="20"/>
                <w:szCs w:val="20"/>
                <w:color w:val="auto"/>
              </w:rPr>
            </w:pPr>
            <w:r>
              <w:rPr>
                <w:rFonts w:ascii="Times New Roman" w:cs="Times New Roman" w:eastAsia="Times New Roman" w:hAnsi="Times New Roman"/>
                <w:sz w:val="15"/>
                <w:szCs w:val="15"/>
                <w:color w:val="4C4C4E"/>
              </w:rPr>
              <w:t>E + 6.25%</w:t>
            </w:r>
          </w:p>
        </w:tc>
        <w:tc>
          <w:tcPr>
            <w:tcW w:w="1920" w:type="dxa"/>
            <w:vAlign w:val="bottom"/>
            <w:gridSpan w:val="2"/>
            <w:shd w:val="clear" w:color="auto" w:fill="D8EEF4"/>
          </w:tcPr>
          <w:p>
            <w:pPr>
              <w:jc w:val="right"/>
              <w:ind w:right="260"/>
              <w:spacing w:after="0"/>
              <w:rPr>
                <w:sz w:val="20"/>
                <w:szCs w:val="20"/>
                <w:color w:val="auto"/>
              </w:rPr>
            </w:pPr>
            <w:r>
              <w:rPr>
                <w:rFonts w:ascii="Times New Roman" w:cs="Times New Roman" w:eastAsia="Times New Roman" w:hAnsi="Times New Roman"/>
                <w:sz w:val="15"/>
                <w:szCs w:val="15"/>
                <w:color w:val="4C4C4E"/>
              </w:rPr>
              <w:t>9.47% (incl. 3.00% PIK)</w:t>
            </w: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7,885</w:t>
            </w:r>
          </w:p>
        </w:tc>
        <w:tc>
          <w:tcPr>
            <w:tcW w:w="106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7,685</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0.5%</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line="188" w:lineRule="exact"/>
              <w:rPr>
                <w:sz w:val="20"/>
                <w:szCs w:val="20"/>
                <w:color w:val="auto"/>
              </w:rPr>
            </w:pPr>
            <w:r>
              <w:rPr>
                <w:rFonts w:ascii="Times New Roman" w:cs="Times New Roman" w:eastAsia="Times New Roman" w:hAnsi="Times New Roman"/>
                <w:sz w:val="15"/>
                <w:szCs w:val="15"/>
                <w:color w:val="4C4C4E"/>
              </w:rPr>
              <w:t xml:space="preserve">Unternehmensberatung </w:t>
            </w:r>
            <w:r>
              <w:rPr>
                <w:rFonts w:ascii="Times New Roman" w:cs="Times New Roman" w:eastAsia="Times New Roman" w:hAnsi="Times New Roman"/>
                <w:sz w:val="20"/>
                <w:szCs w:val="20"/>
                <w:color w:val="4C4C4E"/>
                <w:vertAlign w:val="superscript"/>
              </w:rPr>
              <w:t>(3)(4)</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7/2029)</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(EUR 7,422)</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Tango Management Consulting,</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($69,218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12/1/2021</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+ 6.90%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11.56%</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68,671</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69,045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w:t>
            </w:r>
          </w:p>
        </w:tc>
        <w:tc>
          <w:tcPr>
            <w:tcW w:w="0" w:type="dxa"/>
            <w:vAlign w:val="bottom"/>
          </w:tcPr>
          <w:p>
            <w:pPr>
              <w:spacing w:after="0"/>
              <w:rPr>
                <w:sz w:val="1"/>
                <w:szCs w:val="1"/>
                <w:color w:val="auto"/>
              </w:rPr>
            </w:pPr>
          </w:p>
        </w:tc>
      </w:tr>
      <w:tr>
        <w:trPr>
          <w:trHeight w:val="188"/>
        </w:trPr>
        <w:tc>
          <w:tcPr>
            <w:tcW w:w="2100" w:type="dxa"/>
            <w:vAlign w:val="bottom"/>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LLC</w:t>
            </w:r>
            <w:r>
              <w:rPr>
                <w:rFonts w:ascii="Times New Roman" w:cs="Times New Roman" w:eastAsia="Times New Roman" w:hAnsi="Times New Roman"/>
                <w:sz w:val="9"/>
                <w:szCs w:val="9"/>
                <w:color w:val="4C4C4E"/>
              </w:rPr>
              <w:t xml:space="preserve"> (3)(5)</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12/2027)</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revolving loan ($2,454</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12/1/2021</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P + 6.75%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14.25%</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2,408</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2,444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par, due 12/2027)</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335,285</w:t>
            </w:r>
          </w:p>
        </w:tc>
        <w:tc>
          <w:tcPr>
            <w:tcW w:w="140" w:type="dxa"/>
            <w:vAlign w:val="bottom"/>
            <w:gridSpan w:val="2"/>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328,344</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20.4%</w:t>
            </w: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Transportation</w:t>
            </w:r>
          </w:p>
        </w:tc>
        <w:tc>
          <w:tcPr>
            <w:tcW w:w="2060" w:type="dxa"/>
            <w:vAlign w:val="bottom"/>
            <w:tcBorders>
              <w:top w:val="single" w:sz="8" w:color="D8EEF4"/>
            </w:tcBorders>
            <w:shd w:val="clear" w:color="auto" w:fill="D8EEF4"/>
          </w:tcPr>
          <w:p>
            <w:pPr>
              <w:spacing w:after="0"/>
              <w:rPr>
                <w:sz w:val="15"/>
                <w:szCs w:val="15"/>
                <w:color w:val="auto"/>
              </w:rPr>
            </w:pPr>
          </w:p>
        </w:tc>
        <w:tc>
          <w:tcPr>
            <w:tcW w:w="780" w:type="dxa"/>
            <w:vAlign w:val="bottom"/>
            <w:tcBorders>
              <w:top w:val="single" w:sz="8" w:color="D8EEF4"/>
            </w:tcBorders>
            <w:shd w:val="clear" w:color="auto" w:fill="D8EEF4"/>
          </w:tcPr>
          <w:p>
            <w:pPr>
              <w:spacing w:after="0"/>
              <w:rPr>
                <w:sz w:val="15"/>
                <w:szCs w:val="15"/>
                <w:color w:val="auto"/>
              </w:rPr>
            </w:pPr>
          </w:p>
        </w:tc>
        <w:tc>
          <w:tcPr>
            <w:tcW w:w="12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D8EEF4"/>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Ben Nevis Midco Limited </w:t>
            </w:r>
            <w:r>
              <w:rPr>
                <w:rFonts w:ascii="Times New Roman" w:cs="Times New Roman" w:eastAsia="Times New Roman" w:hAnsi="Times New Roman"/>
                <w:sz w:val="19"/>
                <w:szCs w:val="19"/>
                <w:color w:val="4C4C4E"/>
                <w:vertAlign w:val="superscript"/>
              </w:rPr>
              <w:t>(3)(4)</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($3,635 par, due</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3/26/2024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+ 5.25%</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9.81%</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3,581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3,610</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3/2028)</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Marcura Equities LTD </w:t>
            </w:r>
            <w:r>
              <w:rPr>
                <w:rFonts w:ascii="Times New Roman" w:cs="Times New Roman" w:eastAsia="Times New Roman" w:hAnsi="Times New Roman"/>
                <w:sz w:val="19"/>
                <w:szCs w:val="19"/>
                <w:color w:val="4C4C4E"/>
                <w:vertAlign w:val="superscript"/>
              </w:rPr>
              <w:t>(3)(4)</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($33,874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8/11/2023</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11.33%</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33,030</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34,189</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8/2029)</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revolving loan ($2,333</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8/11/2023</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+ 7.00%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11.33%</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2,269</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2,358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par, due 8/2029)</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Project44, Inc. </w:t>
            </w:r>
            <w:r>
              <w:rPr>
                <w:rFonts w:ascii="Times New Roman" w:cs="Times New Roman" w:eastAsia="Times New Roman" w:hAnsi="Times New Roman"/>
                <w:sz w:val="19"/>
                <w:szCs w:val="19"/>
                <w:color w:val="4C4C4E"/>
                <w:vertAlign w:val="superscript"/>
              </w:rPr>
              <w:t>(3)(5)</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($54,824 par, due</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11/12/2021</w:t>
            </w:r>
          </w:p>
        </w:tc>
        <w:tc>
          <w:tcPr>
            <w:tcW w:w="1220" w:type="dxa"/>
            <w:vAlign w:val="bottom"/>
            <w:shd w:val="clear" w:color="auto" w:fill="D8EEF4"/>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+ 6.35%</w:t>
            </w:r>
          </w:p>
        </w:tc>
        <w:tc>
          <w:tcPr>
            <w:tcW w:w="184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10.75%</w:t>
            </w: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54,087</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54,824</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11/2027)</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Shiftmove GMBH </w:t>
            </w:r>
            <w:r>
              <w:rPr>
                <w:rFonts w:ascii="Times New Roman" w:cs="Times New Roman" w:eastAsia="Times New Roman" w:hAnsi="Times New Roman"/>
                <w:sz w:val="19"/>
                <w:szCs w:val="19"/>
                <w:color w:val="4C4C4E"/>
                <w:vertAlign w:val="superscript"/>
              </w:rPr>
              <w:t>(3)(4)(5)</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First-lien loan (EUR 31,875 par,</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9/30/2024</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E + 6.00%</w:t>
            </w:r>
          </w:p>
        </w:tc>
        <w:tc>
          <w:tcPr>
            <w:tcW w:w="18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8.68%</w:t>
            </w: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34,509</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32,191</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w:t>
            </w:r>
          </w:p>
        </w:tc>
        <w:tc>
          <w:tcPr>
            <w:tcW w:w="0" w:type="dxa"/>
            <w:vAlign w:val="bottom"/>
          </w:tcPr>
          <w:p>
            <w:pPr>
              <w:spacing w:after="0"/>
              <w:rPr>
                <w:sz w:val="1"/>
                <w:szCs w:val="1"/>
                <w:color w:val="auto"/>
              </w:rPr>
            </w:pPr>
          </w:p>
        </w:tc>
      </w:tr>
      <w:tr>
        <w:trPr>
          <w:trHeight w:val="188"/>
        </w:trPr>
        <w:tc>
          <w:tcPr>
            <w:tcW w:w="2100" w:type="dxa"/>
            <w:vAlign w:val="bottom"/>
            <w:tcBorders>
              <w:bottom w:val="single" w:sz="8" w:color="D8EEF4"/>
            </w:tcBorders>
          </w:tcPr>
          <w:p>
            <w:pPr>
              <w:spacing w:after="0"/>
              <w:rPr>
                <w:sz w:val="16"/>
                <w:szCs w:val="16"/>
                <w:color w:val="auto"/>
              </w:rPr>
            </w:pPr>
          </w:p>
        </w:tc>
        <w:tc>
          <w:tcPr>
            <w:tcW w:w="2060" w:type="dxa"/>
            <w:vAlign w:val="bottom"/>
            <w:tcBorders>
              <w:bottom w:val="single" w:sz="8" w:color="D8EEF4"/>
            </w:tcBorders>
          </w:tcPr>
          <w:p>
            <w:pPr>
              <w:ind w:left="60"/>
              <w:spacing w:after="0"/>
              <w:rPr>
                <w:sz w:val="20"/>
                <w:szCs w:val="20"/>
                <w:color w:val="auto"/>
              </w:rPr>
            </w:pPr>
            <w:r>
              <w:rPr>
                <w:rFonts w:ascii="Times New Roman" w:cs="Times New Roman" w:eastAsia="Times New Roman" w:hAnsi="Times New Roman"/>
                <w:sz w:val="15"/>
                <w:szCs w:val="15"/>
                <w:color w:val="4C4C4E"/>
              </w:rPr>
              <w:t>due 9/2030)</w:t>
            </w:r>
          </w:p>
        </w:tc>
        <w:tc>
          <w:tcPr>
            <w:tcW w:w="780" w:type="dxa"/>
            <w:vAlign w:val="bottom"/>
            <w:tcBorders>
              <w:bottom w:val="single" w:sz="8" w:color="D8EEF4"/>
            </w:tcBorders>
          </w:tcPr>
          <w:p>
            <w:pPr>
              <w:spacing w:after="0"/>
              <w:rPr>
                <w:sz w:val="16"/>
                <w:szCs w:val="16"/>
                <w:color w:val="auto"/>
              </w:rPr>
            </w:pPr>
          </w:p>
        </w:tc>
        <w:tc>
          <w:tcPr>
            <w:tcW w:w="1220" w:type="dxa"/>
            <w:vAlign w:val="bottom"/>
            <w:tcBorders>
              <w:bottom w:val="single" w:sz="8" w:color="D8EEF4"/>
            </w:tcBorders>
          </w:tcPr>
          <w:p>
            <w:pPr>
              <w:spacing w:after="0"/>
              <w:rPr>
                <w:sz w:val="16"/>
                <w:szCs w:val="16"/>
                <w:color w:val="auto"/>
              </w:rPr>
            </w:pPr>
          </w:p>
        </w:tc>
        <w:tc>
          <w:tcPr>
            <w:tcW w:w="1840" w:type="dxa"/>
            <w:vAlign w:val="bottom"/>
            <w:tcBorders>
              <w:bottom w:val="single" w:sz="8" w:color="D8EEF4"/>
            </w:tcBorders>
          </w:tcPr>
          <w:p>
            <w:pPr>
              <w:spacing w:after="0"/>
              <w:rPr>
                <w:sz w:val="16"/>
                <w:szCs w:val="16"/>
                <w:color w:val="auto"/>
              </w:rPr>
            </w:pPr>
          </w:p>
        </w:tc>
        <w:tc>
          <w:tcPr>
            <w:tcW w:w="80" w:type="dxa"/>
            <w:vAlign w:val="bottom"/>
            <w:tcBorders>
              <w:bottom w:val="single" w:sz="8" w:color="D8EEF4"/>
            </w:tcBorders>
          </w:tcPr>
          <w:p>
            <w:pPr>
              <w:spacing w:after="0"/>
              <w:rPr>
                <w:sz w:val="16"/>
                <w:szCs w:val="16"/>
                <w:color w:val="auto"/>
              </w:rPr>
            </w:pPr>
          </w:p>
        </w:tc>
        <w:tc>
          <w:tcPr>
            <w:tcW w:w="70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0" w:type="dxa"/>
            <w:vAlign w:val="bottom"/>
            <w:tcBorders>
              <w:bottom w:val="single" w:sz="8" w:color="D8EEF4"/>
            </w:tcBorders>
          </w:tcPr>
          <w:p>
            <w:pPr>
              <w:spacing w:after="0"/>
              <w:rPr>
                <w:sz w:val="16"/>
                <w:szCs w:val="16"/>
                <w:color w:val="auto"/>
              </w:rPr>
            </w:pPr>
          </w:p>
        </w:tc>
        <w:tc>
          <w:tcPr>
            <w:tcW w:w="9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5"/>
                <w:szCs w:val="15"/>
                <w:color w:val="4C4C4E"/>
              </w:rPr>
              <w:t>(EUR 31,088)</w:t>
            </w: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D8EEF4"/>
          </w:tcPr>
          <w:p>
            <w:pPr>
              <w:spacing w:after="0"/>
              <w:rPr>
                <w:sz w:val="15"/>
                <w:szCs w:val="15"/>
                <w:color w:val="auto"/>
              </w:rPr>
            </w:pPr>
          </w:p>
        </w:tc>
        <w:tc>
          <w:tcPr>
            <w:tcW w:w="2060" w:type="dxa"/>
            <w:vAlign w:val="bottom"/>
            <w:shd w:val="clear" w:color="auto" w:fill="D8EEF4"/>
          </w:tcPr>
          <w:p>
            <w:pPr>
              <w:spacing w:after="0"/>
              <w:rPr>
                <w:sz w:val="15"/>
                <w:szCs w:val="15"/>
                <w:color w:val="auto"/>
              </w:rPr>
            </w:pPr>
          </w:p>
        </w:tc>
        <w:tc>
          <w:tcPr>
            <w:tcW w:w="780" w:type="dxa"/>
            <w:vAlign w:val="bottom"/>
            <w:shd w:val="clear" w:color="auto" w:fill="D8EEF4"/>
          </w:tcPr>
          <w:p>
            <w:pPr>
              <w:spacing w:after="0"/>
              <w:rPr>
                <w:sz w:val="15"/>
                <w:szCs w:val="15"/>
                <w:color w:val="auto"/>
              </w:rPr>
            </w:pPr>
          </w:p>
        </w:tc>
        <w:tc>
          <w:tcPr>
            <w:tcW w:w="1220" w:type="dxa"/>
            <w:vAlign w:val="bottom"/>
            <w:shd w:val="clear" w:color="auto" w:fill="D8EEF4"/>
          </w:tcPr>
          <w:p>
            <w:pPr>
              <w:spacing w:after="0"/>
              <w:rPr>
                <w:sz w:val="15"/>
                <w:szCs w:val="15"/>
                <w:color w:val="auto"/>
              </w:rPr>
            </w:pPr>
          </w:p>
        </w:tc>
        <w:tc>
          <w:tcPr>
            <w:tcW w:w="1840" w:type="dxa"/>
            <w:vAlign w:val="bottom"/>
            <w:shd w:val="clear" w:color="auto" w:fill="D8EEF4"/>
          </w:tcPr>
          <w:p>
            <w:pPr>
              <w:spacing w:after="0"/>
              <w:rPr>
                <w:sz w:val="15"/>
                <w:szCs w:val="15"/>
                <w:color w:val="auto"/>
              </w:rPr>
            </w:pPr>
          </w:p>
        </w:tc>
        <w:tc>
          <w:tcPr>
            <w:tcW w:w="80" w:type="dxa"/>
            <w:vAlign w:val="bottom"/>
            <w:tcBorders>
              <w:bottom w:val="single" w:sz="8" w:color="4C4C4E"/>
            </w:tcBorders>
            <w:shd w:val="clear" w:color="auto" w:fill="D8EEF4"/>
          </w:tcPr>
          <w:p>
            <w:pPr>
              <w:spacing w:after="0"/>
              <w:rPr>
                <w:sz w:val="15"/>
                <w:szCs w:val="15"/>
                <w:color w:val="auto"/>
              </w:rPr>
            </w:pPr>
          </w:p>
        </w:tc>
        <w:tc>
          <w:tcPr>
            <w:tcW w:w="7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127,476</w:t>
            </w:r>
          </w:p>
        </w:tc>
        <w:tc>
          <w:tcPr>
            <w:tcW w:w="40" w:type="dxa"/>
            <w:vAlign w:val="bottom"/>
            <w:shd w:val="clear" w:color="auto" w:fill="D8EEF4"/>
          </w:tcPr>
          <w:p>
            <w:pPr>
              <w:spacing w:after="0"/>
              <w:rPr>
                <w:sz w:val="15"/>
                <w:szCs w:val="15"/>
                <w:color w:val="auto"/>
              </w:rPr>
            </w:pPr>
          </w:p>
        </w:tc>
        <w:tc>
          <w:tcPr>
            <w:tcW w:w="100" w:type="dxa"/>
            <w:vAlign w:val="bottom"/>
            <w:tcBorders>
              <w:bottom w:val="single" w:sz="8" w:color="4C4C4E"/>
            </w:tcBorders>
            <w:shd w:val="clear" w:color="auto" w:fill="D8EEF4"/>
          </w:tcPr>
          <w:p>
            <w:pPr>
              <w:spacing w:after="0"/>
              <w:rPr>
                <w:sz w:val="15"/>
                <w:szCs w:val="15"/>
                <w:color w:val="auto"/>
              </w:rPr>
            </w:pPr>
          </w:p>
        </w:tc>
        <w:tc>
          <w:tcPr>
            <w:tcW w:w="9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127,172</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7.9</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81"/>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Total Debt Investments</w:t>
            </w: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3,388,244</w:t>
            </w:r>
          </w:p>
        </w:tc>
        <w:tc>
          <w:tcPr>
            <w:tcW w:w="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3,361,439</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209.2%</w:t>
            </w: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15"/>
                <w:szCs w:val="15"/>
                <w:color w:val="auto"/>
              </w:rPr>
            </w:pPr>
          </w:p>
        </w:tc>
        <w:tc>
          <w:tcPr>
            <w:tcW w:w="2060" w:type="dxa"/>
            <w:vAlign w:val="bottom"/>
            <w:tcBorders>
              <w:top w:val="single" w:sz="8" w:color="D8EEF4"/>
            </w:tcBorders>
            <w:shd w:val="clear" w:color="auto" w:fill="D8EEF4"/>
          </w:tcPr>
          <w:p>
            <w:pPr>
              <w:spacing w:after="0"/>
              <w:rPr>
                <w:sz w:val="15"/>
                <w:szCs w:val="15"/>
                <w:color w:val="auto"/>
              </w:rPr>
            </w:pPr>
          </w:p>
        </w:tc>
        <w:tc>
          <w:tcPr>
            <w:tcW w:w="780" w:type="dxa"/>
            <w:vAlign w:val="bottom"/>
            <w:tcBorders>
              <w:top w:val="single" w:sz="8" w:color="D8EEF4"/>
            </w:tcBorders>
            <w:shd w:val="clear" w:color="auto" w:fill="D8EEF4"/>
          </w:tcPr>
          <w:p>
            <w:pPr>
              <w:spacing w:after="0"/>
              <w:rPr>
                <w:sz w:val="15"/>
                <w:szCs w:val="15"/>
                <w:color w:val="auto"/>
              </w:rPr>
            </w:pPr>
          </w:p>
        </w:tc>
        <w:tc>
          <w:tcPr>
            <w:tcW w:w="12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4C4C4E"/>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Equity and Other Investments</w:t>
            </w:r>
          </w:p>
        </w:tc>
        <w:tc>
          <w:tcPr>
            <w:tcW w:w="2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Automotive</w:t>
            </w:r>
          </w:p>
        </w:tc>
        <w:tc>
          <w:tcPr>
            <w:tcW w:w="20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Clarience Technologies, LLC</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A Units (333 units)</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2/12/2024</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820</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820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33"/>
        </w:trPr>
        <w:tc>
          <w:tcPr>
            <w:tcW w:w="2100" w:type="dxa"/>
            <w:vAlign w:val="bottom"/>
          </w:tcPr>
          <w:p>
            <w:pPr>
              <w:spacing w:after="0"/>
              <w:rPr>
                <w:sz w:val="20"/>
                <w:szCs w:val="20"/>
                <w:color w:val="auto"/>
              </w:rPr>
            </w:pPr>
            <w:r>
              <w:rPr>
                <w:rFonts w:ascii="Times New Roman" w:cs="Times New Roman" w:eastAsia="Times New Roman" w:hAnsi="Times New Roman"/>
                <w:sz w:val="10"/>
                <w:szCs w:val="10"/>
                <w:color w:val="4C4C4E"/>
              </w:rPr>
              <w:t>(11)(12)</w:t>
            </w:r>
          </w:p>
        </w:tc>
        <w:tc>
          <w:tcPr>
            <w:tcW w:w="2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1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Business Services</w:t>
            </w:r>
          </w:p>
        </w:tc>
        <w:tc>
          <w:tcPr>
            <w:tcW w:w="206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Artisan Topco LP </w:t>
            </w:r>
            <w:r>
              <w:rPr>
                <w:rFonts w:ascii="Times New Roman" w:cs="Times New Roman" w:eastAsia="Times New Roman" w:hAnsi="Times New Roman"/>
                <w:sz w:val="19"/>
                <w:szCs w:val="19"/>
                <w:color w:val="4C4C4E"/>
                <w:vertAlign w:val="superscript"/>
              </w:rPr>
              <w:t>(11)</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A Preferred Units</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11/7/2023</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2,117</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1,773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(2,117,264 units)</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Dye &amp; Durham, Ltd. </w:t>
            </w:r>
            <w:r>
              <w:rPr>
                <w:rFonts w:ascii="Times New Roman" w:cs="Times New Roman" w:eastAsia="Times New Roman" w:hAnsi="Times New Roman"/>
                <w:sz w:val="19"/>
                <w:szCs w:val="19"/>
                <w:color w:val="4C4C4E"/>
                <w:vertAlign w:val="superscript"/>
              </w:rPr>
              <w:t>(4)(10)</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Common Shares (126,968</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12/3/2021</w:t>
            </w:r>
          </w:p>
        </w:tc>
        <w:tc>
          <w:tcPr>
            <w:tcW w:w="1220" w:type="dxa"/>
            <w:vAlign w:val="bottom"/>
            <w:shd w:val="clear" w:color="auto" w:fill="D8EEF4"/>
          </w:tcPr>
          <w:p>
            <w:pPr>
              <w:spacing w:after="0"/>
              <w:rPr>
                <w:sz w:val="14"/>
                <w:szCs w:val="14"/>
                <w:color w:val="auto"/>
              </w:rPr>
            </w:pPr>
          </w:p>
        </w:tc>
        <w:tc>
          <w:tcPr>
            <w:tcW w:w="18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3,909</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1,552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shares)</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(CAD 2,232)</w:t>
            </w: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6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color w:val="4C4C4E"/>
              </w:rPr>
              <w:t>Insight Hideaway Aggregator, L.P. Partnership Interest (329,861</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3/19/2024</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3,299</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3,299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33"/>
        </w:trPr>
        <w:tc>
          <w:tcPr>
            <w:tcW w:w="2100" w:type="dxa"/>
            <w:vAlign w:val="bottom"/>
          </w:tcPr>
          <w:p>
            <w:pPr>
              <w:spacing w:after="0"/>
              <w:rPr>
                <w:sz w:val="20"/>
                <w:szCs w:val="20"/>
                <w:color w:val="auto"/>
              </w:rPr>
            </w:pPr>
            <w:r>
              <w:rPr>
                <w:rFonts w:ascii="Times New Roman" w:cs="Times New Roman" w:eastAsia="Times New Roman" w:hAnsi="Times New Roman"/>
                <w:sz w:val="10"/>
                <w:szCs w:val="10"/>
                <w:color w:val="4C4C4E"/>
              </w:rPr>
              <w:t>(11)(12)</w:t>
            </w:r>
          </w:p>
        </w:tc>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4C4C4E"/>
              </w:rPr>
              <w:t>units)</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1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Mitnick TA Aggregator, L.P. </w:t>
            </w:r>
            <w:r>
              <w:rPr>
                <w:rFonts w:ascii="Times New Roman" w:cs="Times New Roman" w:eastAsia="Times New Roman" w:hAnsi="Times New Roman"/>
                <w:sz w:val="19"/>
                <w:szCs w:val="19"/>
                <w:color w:val="4C4C4E"/>
                <w:vertAlign w:val="superscript"/>
              </w:rPr>
              <w:t>(11)</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Membership Interest (0.43%</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5/2/2022</w:t>
            </w:r>
          </w:p>
        </w:tc>
        <w:tc>
          <w:tcPr>
            <w:tcW w:w="1220" w:type="dxa"/>
            <w:vAlign w:val="bottom"/>
            <w:shd w:val="clear" w:color="auto" w:fill="D8EEF4"/>
          </w:tcPr>
          <w:p>
            <w:pPr>
              <w:spacing w:after="0"/>
              <w:rPr>
                <w:sz w:val="14"/>
                <w:szCs w:val="14"/>
                <w:color w:val="auto"/>
              </w:rPr>
            </w:pPr>
          </w:p>
        </w:tc>
        <w:tc>
          <w:tcPr>
            <w:tcW w:w="18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5,247</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3,751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ownership)</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Newark FP Co-Invest, L.P. </w:t>
            </w:r>
            <w:r>
              <w:rPr>
                <w:rFonts w:ascii="Times New Roman" w:cs="Times New Roman" w:eastAsia="Times New Roman" w:hAnsi="Times New Roman"/>
                <w:sz w:val="20"/>
                <w:szCs w:val="20"/>
                <w:color w:val="4C4C4E"/>
                <w:vertAlign w:val="superscript"/>
              </w:rPr>
              <w:t>(11)</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Partnership (2,527,719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11/8/2023</w:t>
            </w: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2,532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2,254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ReliaQuest, LLC </w:t>
            </w:r>
            <w:r>
              <w:rPr>
                <w:rFonts w:ascii="Times New Roman" w:cs="Times New Roman" w:eastAsia="Times New Roman" w:hAnsi="Times New Roman"/>
                <w:sz w:val="19"/>
                <w:szCs w:val="19"/>
                <w:color w:val="4C4C4E"/>
                <w:vertAlign w:val="superscript"/>
              </w:rPr>
              <w:t>(13)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A-1 Units (637,713 units)</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11/23/2021</w:t>
            </w:r>
          </w:p>
        </w:tc>
        <w:tc>
          <w:tcPr>
            <w:tcW w:w="1220" w:type="dxa"/>
            <w:vAlign w:val="bottom"/>
            <w:shd w:val="clear" w:color="auto" w:fill="D8EEF4"/>
          </w:tcPr>
          <w:p>
            <w:pPr>
              <w:spacing w:after="0"/>
              <w:rPr>
                <w:sz w:val="14"/>
                <w:szCs w:val="14"/>
                <w:color w:val="auto"/>
              </w:rPr>
            </w:pPr>
          </w:p>
        </w:tc>
        <w:tc>
          <w:tcPr>
            <w:tcW w:w="18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1,120</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1,658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(11)</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A-2 Units (10,611 units)</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6/21/2022</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(11)(12)</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A-3 Units (16,957 units)</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11/10/2023</w:t>
            </w:r>
          </w:p>
        </w:tc>
        <w:tc>
          <w:tcPr>
            <w:tcW w:w="1220" w:type="dxa"/>
            <w:vAlign w:val="bottom"/>
            <w:shd w:val="clear" w:color="auto" w:fill="D8EEF4"/>
          </w:tcPr>
          <w:p>
            <w:pPr>
              <w:spacing w:after="0"/>
              <w:rPr>
                <w:sz w:val="14"/>
                <w:szCs w:val="14"/>
                <w:color w:val="auto"/>
              </w:rPr>
            </w:pPr>
          </w:p>
        </w:tc>
        <w:tc>
          <w:tcPr>
            <w:tcW w:w="18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36</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53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(11)</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A Preferred Stock (1,667</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12/20/2023</w:t>
            </w:r>
          </w:p>
        </w:tc>
        <w:tc>
          <w:tcPr>
            <w:tcW w:w="12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4C4C4E"/>
              </w:rPr>
              <w:t>SOFR + 12.00%</w:t>
            </w:r>
          </w:p>
        </w:tc>
        <w:tc>
          <w:tcPr>
            <w:tcW w:w="1920" w:type="dxa"/>
            <w:vAlign w:val="bottom"/>
            <w:gridSpan w:val="2"/>
          </w:tcPr>
          <w:p>
            <w:pPr>
              <w:jc w:val="right"/>
              <w:ind w:right="260"/>
              <w:spacing w:after="0" w:line="171" w:lineRule="exact"/>
              <w:rPr>
                <w:sz w:val="20"/>
                <w:szCs w:val="20"/>
                <w:color w:val="auto"/>
              </w:rPr>
            </w:pPr>
            <w:r>
              <w:rPr>
                <w:rFonts w:ascii="Times New Roman" w:cs="Times New Roman" w:eastAsia="Times New Roman" w:hAnsi="Times New Roman"/>
                <w:sz w:val="15"/>
                <w:szCs w:val="15"/>
                <w:color w:val="4C4C4E"/>
              </w:rPr>
              <w:t>16.60% PIK</w:t>
            </w: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1,817</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1,989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units) (3)</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Warrants (90,634 warrants) (11)</w:t>
            </w: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12/20/2023</w:t>
            </w: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102</w:t>
            </w:r>
          </w:p>
        </w:tc>
        <w:tc>
          <w:tcPr>
            <w:tcW w:w="106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126</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Sprinklr, Inc. </w:t>
            </w:r>
            <w:r>
              <w:rPr>
                <w:rFonts w:ascii="Times New Roman" w:cs="Times New Roman" w:eastAsia="Times New Roman" w:hAnsi="Times New Roman"/>
                <w:sz w:val="19"/>
                <w:szCs w:val="19"/>
                <w:color w:val="4C4C4E"/>
                <w:vertAlign w:val="superscript"/>
              </w:rPr>
              <w:t>(10)(11)</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Common Shares (283,499</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6/24/2021</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2,445</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2,395</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shares)</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Warrior TopCo LP</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Class A Units (423,729 units)</w:t>
            </w: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7/7/2023</w:t>
            </w: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424</w:t>
            </w:r>
          </w:p>
        </w:tc>
        <w:tc>
          <w:tcPr>
            <w:tcW w:w="40" w:type="dxa"/>
            <w:vAlign w:val="bottom"/>
            <w:shd w:val="clear" w:color="auto" w:fill="D8EEF4"/>
          </w:tcPr>
          <w:p>
            <w:pPr>
              <w:spacing w:after="0"/>
              <w:rPr>
                <w:sz w:val="16"/>
                <w:szCs w:val="16"/>
                <w:color w:val="auto"/>
              </w:rPr>
            </w:pPr>
          </w:p>
        </w:tc>
        <w:tc>
          <w:tcPr>
            <w:tcW w:w="102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604</w:t>
            </w:r>
          </w:p>
        </w:tc>
        <w:tc>
          <w:tcPr>
            <w:tcW w:w="40" w:type="dxa"/>
            <w:vAlign w:val="bottom"/>
            <w:shd w:val="clear" w:color="auto" w:fill="D8EEF4"/>
          </w:tcPr>
          <w:p>
            <w:pPr>
              <w:spacing w:after="0"/>
              <w:rPr>
                <w:sz w:val="16"/>
                <w:szCs w:val="16"/>
                <w:color w:val="auto"/>
              </w:rPr>
            </w:pPr>
          </w:p>
        </w:tc>
        <w:tc>
          <w:tcPr>
            <w:tcW w:w="10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4C4C4E"/>
          </w:tcPr>
          <w:p>
            <w:pPr>
              <w:spacing w:after="0" w:line="20" w:lineRule="exact"/>
              <w:rPr>
                <w:sz w:val="1"/>
                <w:szCs w:val="1"/>
                <w:color w:val="auto"/>
              </w:rPr>
            </w:pPr>
          </w:p>
        </w:tc>
        <w:tc>
          <w:tcPr>
            <w:tcW w:w="700" w:type="dxa"/>
            <w:vAlign w:val="bottom"/>
            <w:shd w:val="clear" w:color="auto" w:fill="4C4C4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20" w:type="dxa"/>
            <w:vAlign w:val="bottom"/>
            <w:gridSpan w:val="2"/>
            <w:shd w:val="clear" w:color="auto" w:fill="4C4C4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40" w:type="dxa"/>
            <w:vAlign w:val="bottom"/>
            <w:shd w:val="clear" w:color="auto" w:fill="4C4C4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23,071</w:t>
            </w:r>
          </w:p>
        </w:tc>
        <w:tc>
          <w:tcPr>
            <w:tcW w:w="40" w:type="dxa"/>
            <w:vAlign w:val="bottom"/>
            <w:vMerge w:val="continue"/>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19,489</w:t>
            </w:r>
          </w:p>
        </w:tc>
        <w:tc>
          <w:tcPr>
            <w:tcW w:w="40" w:type="dxa"/>
            <w:vAlign w:val="bottom"/>
            <w:vMerge w:val="continue"/>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1.2%</w:t>
            </w: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Communications</w:t>
            </w:r>
          </w:p>
        </w:tc>
        <w:tc>
          <w:tcPr>
            <w:tcW w:w="2060" w:type="dxa"/>
            <w:vAlign w:val="bottom"/>
            <w:tcBorders>
              <w:top w:val="single" w:sz="8" w:color="D8EEF4"/>
            </w:tcBorders>
            <w:shd w:val="clear" w:color="auto" w:fill="D8EEF4"/>
          </w:tcPr>
          <w:p>
            <w:pPr>
              <w:spacing w:after="0"/>
              <w:rPr>
                <w:sz w:val="15"/>
                <w:szCs w:val="15"/>
                <w:color w:val="auto"/>
              </w:rPr>
            </w:pPr>
          </w:p>
        </w:tc>
        <w:tc>
          <w:tcPr>
            <w:tcW w:w="780" w:type="dxa"/>
            <w:vAlign w:val="bottom"/>
            <w:tcBorders>
              <w:top w:val="single" w:sz="8" w:color="D8EEF4"/>
            </w:tcBorders>
            <w:shd w:val="clear" w:color="auto" w:fill="D8EEF4"/>
          </w:tcPr>
          <w:p>
            <w:pPr>
              <w:spacing w:after="0"/>
              <w:rPr>
                <w:sz w:val="15"/>
                <w:szCs w:val="15"/>
                <w:color w:val="auto"/>
              </w:rPr>
            </w:pPr>
          </w:p>
        </w:tc>
        <w:tc>
          <w:tcPr>
            <w:tcW w:w="12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4C4C4E"/>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Celtra Technologies, Inc. </w:t>
            </w:r>
            <w:r>
              <w:rPr>
                <w:rFonts w:ascii="Times New Roman" w:cs="Times New Roman" w:eastAsia="Times New Roman" w:hAnsi="Times New Roman"/>
                <w:sz w:val="20"/>
                <w:szCs w:val="20"/>
                <w:color w:val="4C4C4E"/>
                <w:vertAlign w:val="superscript"/>
              </w:rPr>
              <w:t>(11)</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Class A Units (1,250,000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11/19/2021</w:t>
            </w: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1,250</w:t>
            </w:r>
          </w:p>
        </w:tc>
        <w:tc>
          <w:tcPr>
            <w:tcW w:w="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1,250</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IntelePeer Holdings, Inc. </w:t>
            </w:r>
            <w:r>
              <w:rPr>
                <w:rFonts w:ascii="Times New Roman" w:cs="Times New Roman" w:eastAsia="Times New Roman" w:hAnsi="Times New Roman"/>
                <w:sz w:val="19"/>
                <w:szCs w:val="19"/>
                <w:color w:val="4C4C4E"/>
                <w:vertAlign w:val="superscript"/>
              </w:rPr>
              <w:t>(11)</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C Preferred Shares</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4/8/2021</w:t>
            </w:r>
          </w:p>
        </w:tc>
        <w:tc>
          <w:tcPr>
            <w:tcW w:w="1220" w:type="dxa"/>
            <w:vAlign w:val="bottom"/>
            <w:shd w:val="clear" w:color="auto" w:fill="D8EEF4"/>
          </w:tcPr>
          <w:p>
            <w:pPr>
              <w:spacing w:after="0"/>
              <w:rPr>
                <w:sz w:val="14"/>
                <w:szCs w:val="14"/>
                <w:color w:val="auto"/>
              </w:rPr>
            </w:pPr>
          </w:p>
        </w:tc>
        <w:tc>
          <w:tcPr>
            <w:tcW w:w="18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1,816</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1,535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(1,816,295 shares)</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D Preferred Shares</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4/8/2021</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2,925</w:t>
            </w:r>
          </w:p>
        </w:tc>
        <w:tc>
          <w:tcPr>
            <w:tcW w:w="106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1,653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(1,598,874 shares)</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C Warrants (280,000</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2/28/2020</w:t>
            </w:r>
          </w:p>
        </w:tc>
        <w:tc>
          <w:tcPr>
            <w:tcW w:w="1220" w:type="dxa"/>
            <w:vAlign w:val="bottom"/>
            <w:shd w:val="clear" w:color="auto" w:fill="D8EEF4"/>
          </w:tcPr>
          <w:p>
            <w:pPr>
              <w:spacing w:after="0"/>
              <w:rPr>
                <w:sz w:val="14"/>
                <w:szCs w:val="14"/>
                <w:color w:val="auto"/>
              </w:rPr>
            </w:pPr>
          </w:p>
        </w:tc>
        <w:tc>
          <w:tcPr>
            <w:tcW w:w="18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183</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warrants)</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D Warrants (106,592</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4/8/2021</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00" w:type="dxa"/>
            <w:vAlign w:val="bottom"/>
            <w:tcBorders>
              <w:bottom w:val="single" w:sz="8" w:color="D8EEF4"/>
            </w:tcBorders>
          </w:tcPr>
          <w:p>
            <w:pPr>
              <w:spacing w:after="0"/>
              <w:rPr>
                <w:sz w:val="16"/>
                <w:szCs w:val="16"/>
                <w:color w:val="auto"/>
              </w:rPr>
            </w:pPr>
          </w:p>
        </w:tc>
        <w:tc>
          <w:tcPr>
            <w:tcW w:w="2060" w:type="dxa"/>
            <w:vAlign w:val="bottom"/>
            <w:tcBorders>
              <w:bottom w:val="single" w:sz="8" w:color="D8EEF4"/>
            </w:tcBorders>
          </w:tcPr>
          <w:p>
            <w:pPr>
              <w:ind w:left="60"/>
              <w:spacing w:after="0"/>
              <w:rPr>
                <w:sz w:val="20"/>
                <w:szCs w:val="20"/>
                <w:color w:val="auto"/>
              </w:rPr>
            </w:pPr>
            <w:r>
              <w:rPr>
                <w:rFonts w:ascii="Times New Roman" w:cs="Times New Roman" w:eastAsia="Times New Roman" w:hAnsi="Times New Roman"/>
                <w:sz w:val="15"/>
                <w:szCs w:val="15"/>
                <w:color w:val="4C4C4E"/>
              </w:rPr>
              <w:t>warrants)</w:t>
            </w:r>
          </w:p>
        </w:tc>
        <w:tc>
          <w:tcPr>
            <w:tcW w:w="780" w:type="dxa"/>
            <w:vAlign w:val="bottom"/>
            <w:tcBorders>
              <w:bottom w:val="single" w:sz="8" w:color="D8EEF4"/>
            </w:tcBorders>
          </w:tcPr>
          <w:p>
            <w:pPr>
              <w:spacing w:after="0"/>
              <w:rPr>
                <w:sz w:val="16"/>
                <w:szCs w:val="16"/>
                <w:color w:val="auto"/>
              </w:rPr>
            </w:pPr>
          </w:p>
        </w:tc>
        <w:tc>
          <w:tcPr>
            <w:tcW w:w="1220" w:type="dxa"/>
            <w:vAlign w:val="bottom"/>
            <w:tcBorders>
              <w:bottom w:val="single" w:sz="8" w:color="D8EEF4"/>
            </w:tcBorders>
          </w:tcPr>
          <w:p>
            <w:pPr>
              <w:spacing w:after="0"/>
              <w:rPr>
                <w:sz w:val="16"/>
                <w:szCs w:val="16"/>
                <w:color w:val="auto"/>
              </w:rPr>
            </w:pPr>
          </w:p>
        </w:tc>
        <w:tc>
          <w:tcPr>
            <w:tcW w:w="1840" w:type="dxa"/>
            <w:vAlign w:val="bottom"/>
            <w:tcBorders>
              <w:bottom w:val="single" w:sz="8" w:color="D8EEF4"/>
            </w:tcBorders>
          </w:tcPr>
          <w:p>
            <w:pPr>
              <w:spacing w:after="0"/>
              <w:rPr>
                <w:sz w:val="16"/>
                <w:szCs w:val="16"/>
                <w:color w:val="auto"/>
              </w:rPr>
            </w:pPr>
          </w:p>
        </w:tc>
        <w:tc>
          <w:tcPr>
            <w:tcW w:w="80" w:type="dxa"/>
            <w:vAlign w:val="bottom"/>
            <w:tcBorders>
              <w:bottom w:val="single" w:sz="8" w:color="4C4C4E"/>
            </w:tcBorders>
          </w:tcPr>
          <w:p>
            <w:pPr>
              <w:spacing w:after="0"/>
              <w:rPr>
                <w:sz w:val="16"/>
                <w:szCs w:val="16"/>
                <w:color w:val="auto"/>
              </w:rPr>
            </w:pPr>
          </w:p>
        </w:tc>
        <w:tc>
          <w:tcPr>
            <w:tcW w:w="70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0" w:type="dxa"/>
            <w:vAlign w:val="bottom"/>
            <w:tcBorders>
              <w:bottom w:val="single" w:sz="8" w:color="4C4C4E"/>
            </w:tcBorders>
          </w:tcPr>
          <w:p>
            <w:pPr>
              <w:spacing w:after="0"/>
              <w:rPr>
                <w:sz w:val="16"/>
                <w:szCs w:val="16"/>
                <w:color w:val="auto"/>
              </w:rPr>
            </w:pPr>
          </w:p>
        </w:tc>
        <w:tc>
          <w:tcPr>
            <w:tcW w:w="9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D8EEF4"/>
          </w:tcPr>
          <w:p>
            <w:pPr>
              <w:spacing w:after="0"/>
              <w:rPr>
                <w:sz w:val="15"/>
                <w:szCs w:val="15"/>
                <w:color w:val="auto"/>
              </w:rPr>
            </w:pPr>
          </w:p>
        </w:tc>
        <w:tc>
          <w:tcPr>
            <w:tcW w:w="2060" w:type="dxa"/>
            <w:vAlign w:val="bottom"/>
            <w:shd w:val="clear" w:color="auto" w:fill="D8EEF4"/>
          </w:tcPr>
          <w:p>
            <w:pPr>
              <w:spacing w:after="0"/>
              <w:rPr>
                <w:sz w:val="15"/>
                <w:szCs w:val="15"/>
                <w:color w:val="auto"/>
              </w:rPr>
            </w:pPr>
          </w:p>
        </w:tc>
        <w:tc>
          <w:tcPr>
            <w:tcW w:w="780" w:type="dxa"/>
            <w:vAlign w:val="bottom"/>
            <w:shd w:val="clear" w:color="auto" w:fill="D8EEF4"/>
          </w:tcPr>
          <w:p>
            <w:pPr>
              <w:spacing w:after="0"/>
              <w:rPr>
                <w:sz w:val="15"/>
                <w:szCs w:val="15"/>
                <w:color w:val="auto"/>
              </w:rPr>
            </w:pPr>
          </w:p>
        </w:tc>
        <w:tc>
          <w:tcPr>
            <w:tcW w:w="1220" w:type="dxa"/>
            <w:vAlign w:val="bottom"/>
            <w:shd w:val="clear" w:color="auto" w:fill="D8EEF4"/>
          </w:tcPr>
          <w:p>
            <w:pPr>
              <w:spacing w:after="0"/>
              <w:rPr>
                <w:sz w:val="15"/>
                <w:szCs w:val="15"/>
                <w:color w:val="auto"/>
              </w:rPr>
            </w:pPr>
          </w:p>
        </w:tc>
        <w:tc>
          <w:tcPr>
            <w:tcW w:w="1840" w:type="dxa"/>
            <w:vAlign w:val="bottom"/>
            <w:shd w:val="clear" w:color="auto" w:fill="D8EEF4"/>
          </w:tcPr>
          <w:p>
            <w:pPr>
              <w:spacing w:after="0"/>
              <w:rPr>
                <w:sz w:val="15"/>
                <w:szCs w:val="15"/>
                <w:color w:val="auto"/>
              </w:rPr>
            </w:pPr>
          </w:p>
        </w:tc>
        <w:tc>
          <w:tcPr>
            <w:tcW w:w="80" w:type="dxa"/>
            <w:vAlign w:val="bottom"/>
            <w:tcBorders>
              <w:bottom w:val="single" w:sz="8" w:color="4C4C4E"/>
            </w:tcBorders>
            <w:shd w:val="clear" w:color="auto" w:fill="D8EEF4"/>
          </w:tcPr>
          <w:p>
            <w:pPr>
              <w:spacing w:after="0"/>
              <w:rPr>
                <w:sz w:val="15"/>
                <w:szCs w:val="15"/>
                <w:color w:val="auto"/>
              </w:rPr>
            </w:pPr>
          </w:p>
        </w:tc>
        <w:tc>
          <w:tcPr>
            <w:tcW w:w="7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6,174</w:t>
            </w:r>
          </w:p>
        </w:tc>
        <w:tc>
          <w:tcPr>
            <w:tcW w:w="40" w:type="dxa"/>
            <w:vAlign w:val="bottom"/>
            <w:shd w:val="clear" w:color="auto" w:fill="D8EEF4"/>
          </w:tcPr>
          <w:p>
            <w:pPr>
              <w:spacing w:after="0"/>
              <w:rPr>
                <w:sz w:val="15"/>
                <w:szCs w:val="15"/>
                <w:color w:val="auto"/>
              </w:rPr>
            </w:pPr>
          </w:p>
        </w:tc>
        <w:tc>
          <w:tcPr>
            <w:tcW w:w="102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4,438</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0.3</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0" w:type="dxa"/>
            <w:vAlign w:val="bottom"/>
          </w:tcPr>
          <w:p>
            <w:pPr>
              <w:spacing w:after="0"/>
              <w:rPr>
                <w:sz w:val="1"/>
                <w:szCs w:val="1"/>
                <w:color w:val="auto"/>
              </w:rPr>
            </w:pPr>
          </w:p>
        </w:tc>
      </w:tr>
      <w:tr>
        <w:trPr>
          <w:trHeight w:val="181"/>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Education</w:t>
            </w: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Astra 2L Holdings II LLC </w:t>
            </w:r>
            <w:r>
              <w:rPr>
                <w:rFonts w:ascii="Times New Roman" w:cs="Times New Roman" w:eastAsia="Times New Roman" w:hAnsi="Times New Roman"/>
                <w:sz w:val="19"/>
                <w:szCs w:val="19"/>
                <w:color w:val="4C4C4E"/>
                <w:vertAlign w:val="superscript"/>
              </w:rPr>
              <w:t>(11)</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Membership Interest (10.17%</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1/13/2022</w:t>
            </w:r>
          </w:p>
        </w:tc>
        <w:tc>
          <w:tcPr>
            <w:tcW w:w="1220" w:type="dxa"/>
            <w:vAlign w:val="bottom"/>
            <w:shd w:val="clear" w:color="auto" w:fill="D8EEF4"/>
          </w:tcPr>
          <w:p>
            <w:pPr>
              <w:spacing w:after="0"/>
              <w:rPr>
                <w:sz w:val="14"/>
                <w:szCs w:val="14"/>
                <w:color w:val="auto"/>
              </w:rPr>
            </w:pPr>
          </w:p>
        </w:tc>
        <w:tc>
          <w:tcPr>
            <w:tcW w:w="18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3,255</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ownership)</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EMS Linq, Inc. </w:t>
            </w:r>
            <w:r>
              <w:rPr>
                <w:rFonts w:ascii="Times New Roman" w:cs="Times New Roman" w:eastAsia="Times New Roman" w:hAnsi="Times New Roman"/>
                <w:sz w:val="20"/>
                <w:szCs w:val="20"/>
                <w:color w:val="4C4C4E"/>
                <w:vertAlign w:val="superscript"/>
              </w:rPr>
              <w:t>(11)</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Class B Units (5,522,526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12/22/2021</w:t>
            </w: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5,522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2,830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0.2%</w:t>
            </w: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RMCF IV CIV XXXV, LP. </w:t>
            </w:r>
            <w:r>
              <w:rPr>
                <w:rFonts w:ascii="Times New Roman" w:cs="Times New Roman" w:eastAsia="Times New Roman" w:hAnsi="Times New Roman"/>
                <w:sz w:val="19"/>
                <w:szCs w:val="19"/>
                <w:color w:val="4C4C4E"/>
                <w:vertAlign w:val="superscript"/>
              </w:rPr>
              <w:t>(11)</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Partnership Interest (11.94%</w:t>
            </w:r>
          </w:p>
        </w:tc>
        <w:tc>
          <w:tcPr>
            <w:tcW w:w="78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6/8/2021</w:t>
            </w:r>
          </w:p>
        </w:tc>
        <w:tc>
          <w:tcPr>
            <w:tcW w:w="1220" w:type="dxa"/>
            <w:vAlign w:val="bottom"/>
            <w:shd w:val="clear" w:color="auto" w:fill="D8EEF4"/>
          </w:tcPr>
          <w:p>
            <w:pPr>
              <w:spacing w:after="0"/>
              <w:rPr>
                <w:sz w:val="14"/>
                <w:szCs w:val="14"/>
                <w:color w:val="auto"/>
              </w:rPr>
            </w:pPr>
          </w:p>
        </w:tc>
        <w:tc>
          <w:tcPr>
            <w:tcW w:w="18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1,000</w:t>
            </w:r>
          </w:p>
        </w:tc>
        <w:tc>
          <w:tcPr>
            <w:tcW w:w="106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1,625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ownership)</w:t>
            </w:r>
          </w:p>
        </w:tc>
        <w:tc>
          <w:tcPr>
            <w:tcW w:w="780" w:type="dxa"/>
            <w:vAlign w:val="bottom"/>
            <w:shd w:val="clear" w:color="auto" w:fill="D8EEF4"/>
          </w:tcPr>
          <w:p>
            <w:pPr>
              <w:spacing w:after="0"/>
              <w:rPr>
                <w:sz w:val="16"/>
                <w:szCs w:val="16"/>
                <w:color w:val="auto"/>
              </w:rPr>
            </w:pP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tcBorders>
              <w:bottom w:val="single" w:sz="8" w:color="4C4C4E"/>
            </w:tcBorders>
            <w:shd w:val="clear" w:color="auto" w:fill="D8EEF4"/>
          </w:tcPr>
          <w:p>
            <w:pPr>
              <w:spacing w:after="0"/>
              <w:rPr>
                <w:sz w:val="16"/>
                <w:szCs w:val="16"/>
                <w:color w:val="auto"/>
              </w:rPr>
            </w:pPr>
          </w:p>
        </w:tc>
        <w:tc>
          <w:tcPr>
            <w:tcW w:w="70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tcBorders>
              <w:bottom w:val="single" w:sz="8" w:color="4C4C4E"/>
            </w:tcBorders>
            <w:shd w:val="clear" w:color="auto" w:fill="D8EEF4"/>
          </w:tcPr>
          <w:p>
            <w:pPr>
              <w:spacing w:after="0"/>
              <w:rPr>
                <w:sz w:val="16"/>
                <w:szCs w:val="16"/>
                <w:color w:val="auto"/>
              </w:rPr>
            </w:pPr>
          </w:p>
        </w:tc>
        <w:tc>
          <w:tcPr>
            <w:tcW w:w="920" w:type="dxa"/>
            <w:vAlign w:val="bottom"/>
            <w:tcBorders>
              <w:bottom w:val="single" w:sz="8" w:color="4C4C4E"/>
            </w:tcBorders>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tcBorders>
              <w:bottom w:val="single" w:sz="8" w:color="4C4C4E"/>
            </w:tcBorders>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9,777</w:t>
            </w:r>
          </w:p>
        </w:tc>
        <w:tc>
          <w:tcPr>
            <w:tcW w:w="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4,455</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Financial Services</w:t>
            </w:r>
          </w:p>
        </w:tc>
        <w:tc>
          <w:tcPr>
            <w:tcW w:w="2060" w:type="dxa"/>
            <w:vAlign w:val="bottom"/>
            <w:tcBorders>
              <w:top w:val="single" w:sz="8" w:color="D8EEF4"/>
            </w:tcBorders>
            <w:shd w:val="clear" w:color="auto" w:fill="D8EEF4"/>
          </w:tcPr>
          <w:p>
            <w:pPr>
              <w:spacing w:after="0"/>
              <w:rPr>
                <w:sz w:val="15"/>
                <w:szCs w:val="15"/>
                <w:color w:val="auto"/>
              </w:rPr>
            </w:pPr>
          </w:p>
        </w:tc>
        <w:tc>
          <w:tcPr>
            <w:tcW w:w="780" w:type="dxa"/>
            <w:vAlign w:val="bottom"/>
            <w:tcBorders>
              <w:top w:val="single" w:sz="8" w:color="D8EEF4"/>
            </w:tcBorders>
            <w:shd w:val="clear" w:color="auto" w:fill="D8EEF4"/>
          </w:tcPr>
          <w:p>
            <w:pPr>
              <w:spacing w:after="0"/>
              <w:rPr>
                <w:sz w:val="15"/>
                <w:szCs w:val="15"/>
                <w:color w:val="auto"/>
              </w:rPr>
            </w:pPr>
          </w:p>
        </w:tc>
        <w:tc>
          <w:tcPr>
            <w:tcW w:w="12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4C4C4E"/>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AF Eagle Parent, L.P. </w:t>
            </w:r>
            <w:r>
              <w:rPr>
                <w:rFonts w:ascii="Times New Roman" w:cs="Times New Roman" w:eastAsia="Times New Roman" w:hAnsi="Times New Roman"/>
                <w:sz w:val="19"/>
                <w:szCs w:val="19"/>
                <w:color w:val="4C4C4E"/>
                <w:vertAlign w:val="superscript"/>
              </w:rPr>
              <w:t>(11)</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Partnership Units (121,329</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11/27/2023</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4,091</w:t>
            </w:r>
          </w:p>
        </w:tc>
        <w:tc>
          <w:tcPr>
            <w:tcW w:w="40" w:type="dxa"/>
            <w:vAlign w:val="bottom"/>
          </w:tcPr>
          <w:p>
            <w:pPr>
              <w:spacing w:after="0"/>
              <w:rPr>
                <w:sz w:val="14"/>
                <w:szCs w:val="14"/>
                <w:color w:val="auto"/>
              </w:rPr>
            </w:pPr>
          </w:p>
        </w:tc>
        <w:tc>
          <w:tcPr>
            <w:tcW w:w="10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4,684</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units)</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CLGF Holdings, L.P. </w:t>
            </w:r>
            <w:r>
              <w:rPr>
                <w:rFonts w:ascii="Times New Roman" w:cs="Times New Roman" w:eastAsia="Times New Roman" w:hAnsi="Times New Roman"/>
                <w:sz w:val="20"/>
                <w:szCs w:val="20"/>
                <w:color w:val="4C4C4E"/>
                <w:vertAlign w:val="superscript"/>
              </w:rPr>
              <w:t>(4)(11)</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Warrants (334,682 warrants)</w:t>
            </w: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11/7/2023</w:t>
            </w: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183</w:t>
            </w:r>
          </w:p>
        </w:tc>
        <w:tc>
          <w:tcPr>
            <w:tcW w:w="106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330</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186"/>
        </w:trPr>
        <w:tc>
          <w:tcPr>
            <w:tcW w:w="210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w w:val="98"/>
              </w:rPr>
              <w:t xml:space="preserve">Newport Parent Holdings, L.P. </w:t>
            </w:r>
            <w:r>
              <w:rPr>
                <w:rFonts w:ascii="Times New Roman" w:cs="Times New Roman" w:eastAsia="Times New Roman" w:hAnsi="Times New Roman"/>
                <w:sz w:val="20"/>
                <w:szCs w:val="20"/>
                <w:color w:val="4C4C4E"/>
                <w:w w:val="98"/>
                <w:vertAlign w:val="superscript"/>
              </w:rPr>
              <w:t>(11)</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Class A-2 Units (131,569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12/10/2020</w:t>
            </w: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4,177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12,802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0.9%</w:t>
            </w: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line="186" w:lineRule="exact"/>
              <w:rPr>
                <w:sz w:val="20"/>
                <w:szCs w:val="20"/>
                <w:color w:val="auto"/>
              </w:rPr>
            </w:pPr>
            <w:r>
              <w:rPr>
                <w:rFonts w:ascii="Times New Roman" w:cs="Times New Roman" w:eastAsia="Times New Roman" w:hAnsi="Times New Roman"/>
                <w:sz w:val="15"/>
                <w:szCs w:val="15"/>
                <w:color w:val="4C4C4E"/>
                <w:w w:val="96"/>
              </w:rPr>
              <w:t xml:space="preserve">Oxford Square Capital Corp. </w:t>
            </w:r>
            <w:r>
              <w:rPr>
                <w:rFonts w:ascii="Times New Roman" w:cs="Times New Roman" w:eastAsia="Times New Roman" w:hAnsi="Times New Roman"/>
                <w:sz w:val="20"/>
                <w:szCs w:val="20"/>
                <w:color w:val="4C4C4E"/>
                <w:w w:val="96"/>
                <w:vertAlign w:val="superscript"/>
              </w:rPr>
              <w:t>(4)(10)</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Common Shares (1,620 shares)</w:t>
            </w: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8/5/2015</w:t>
            </w:r>
          </w:p>
        </w:tc>
        <w:tc>
          <w:tcPr>
            <w:tcW w:w="12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w:t>
            </w:r>
          </w:p>
        </w:tc>
        <w:tc>
          <w:tcPr>
            <w:tcW w:w="106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4</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r>
        <w:trPr>
          <w:trHeight w:val="267"/>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4C4C4E"/>
              </w:rPr>
              <w:t xml:space="preserve">Passport Labs, Inc. </w:t>
            </w:r>
            <w:r>
              <w:rPr>
                <w:rFonts w:ascii="Times New Roman" w:cs="Times New Roman" w:eastAsia="Times New Roman" w:hAnsi="Times New Roman"/>
                <w:sz w:val="20"/>
                <w:szCs w:val="20"/>
                <w:color w:val="4C4C4E"/>
                <w:vertAlign w:val="superscript"/>
              </w:rPr>
              <w:t>(11)</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Warrants (17,534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4/28/2021</w:t>
            </w:r>
          </w:p>
        </w:tc>
        <w:tc>
          <w:tcPr>
            <w:tcW w:w="12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192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80"/>
          </w:cols>
          <w:pgMar w:left="500" w:top="768" w:right="500" w:bottom="6"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F-21</w:t>
      </w:r>
    </w:p>
    <w:p>
      <w:pPr>
        <w:sectPr>
          <w:pgSz w:w="11880" w:h="15480" w:orient="portrait"/>
          <w:cols w:equalWidth="0" w:num="1">
            <w:col w:w="10880"/>
          </w:cols>
          <w:pgMar w:left="500" w:top="768" w:right="500" w:bottom="6"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color w:val="4C4C4E"/>
              </w:rPr>
              <w:t xml:space="preserve">TradingScreen, Inc. </w:t>
            </w:r>
            <w:r>
              <w:rPr>
                <w:rFonts w:ascii="Times New Roman" w:cs="Times New Roman" w:eastAsia="Times New Roman" w:hAnsi="Times New Roman"/>
                <w:sz w:val="20"/>
                <w:szCs w:val="20"/>
                <w:color w:val="4C4C4E"/>
                <w:vertAlign w:val="superscript"/>
              </w:rPr>
              <w:t>(13)</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Class A Units (600,000 units)</w:t>
            </w:r>
          </w:p>
        </w:tc>
        <w:tc>
          <w:tcPr>
            <w:tcW w:w="82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5/14/2021</w:t>
            </w:r>
          </w:p>
        </w:tc>
        <w:tc>
          <w:tcPr>
            <w:tcW w:w="1840" w:type="dxa"/>
            <w:vAlign w:val="bottom"/>
            <w:shd w:val="clear" w:color="auto" w:fill="D8EEF4"/>
          </w:tcPr>
          <w:p>
            <w:pPr>
              <w:spacing w:after="0"/>
              <w:rPr>
                <w:sz w:val="19"/>
                <w:szCs w:val="19"/>
                <w:color w:val="auto"/>
              </w:rPr>
            </w:pPr>
          </w:p>
        </w:tc>
        <w:tc>
          <w:tcPr>
            <w:tcW w:w="1200" w:type="dxa"/>
            <w:vAlign w:val="bottom"/>
            <w:tcBorders>
              <w:right w:val="single" w:sz="8" w:color="D8EEF4"/>
            </w:tcBorders>
            <w:shd w:val="clear" w:color="auto" w:fill="D8EEF4"/>
          </w:tcPr>
          <w:p>
            <w:pPr>
              <w:spacing w:after="0"/>
              <w:rPr>
                <w:sz w:val="19"/>
                <w:szCs w:val="19"/>
                <w:color w:val="auto"/>
              </w:rPr>
            </w:pPr>
          </w:p>
        </w:tc>
        <w:tc>
          <w:tcPr>
            <w:tcW w:w="60" w:type="dxa"/>
            <w:vAlign w:val="bottom"/>
            <w:shd w:val="clear" w:color="auto" w:fill="D8EEF4"/>
          </w:tcPr>
          <w:p>
            <w:pPr>
              <w:spacing w:after="0"/>
              <w:rPr>
                <w:sz w:val="19"/>
                <w:szCs w:val="19"/>
                <w:color w:val="auto"/>
              </w:rPr>
            </w:pP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600</w:t>
            </w:r>
          </w:p>
        </w:tc>
        <w:tc>
          <w:tcPr>
            <w:tcW w:w="40" w:type="dxa"/>
            <w:vAlign w:val="bottom"/>
            <w:shd w:val="clear" w:color="auto" w:fill="D8EEF4"/>
          </w:tcPr>
          <w:p>
            <w:pPr>
              <w:spacing w:after="0"/>
              <w:rPr>
                <w:sz w:val="19"/>
                <w:szCs w:val="19"/>
                <w:color w:val="auto"/>
              </w:rPr>
            </w:pPr>
          </w:p>
        </w:tc>
        <w:tc>
          <w:tcPr>
            <w:tcW w:w="100" w:type="dxa"/>
            <w:vAlign w:val="bottom"/>
            <w:shd w:val="clear" w:color="auto" w:fill="D8EEF4"/>
          </w:tcPr>
          <w:p>
            <w:pPr>
              <w:spacing w:after="0"/>
              <w:rPr>
                <w:sz w:val="19"/>
                <w:szCs w:val="19"/>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600</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(11)</w:t>
            </w:r>
          </w:p>
        </w:tc>
        <w:tc>
          <w:tcPr>
            <w:tcW w:w="8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AA Units (19,093 units)</w:t>
            </w:r>
          </w:p>
        </w:tc>
        <w:tc>
          <w:tcPr>
            <w:tcW w:w="8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11/1/2024</w:t>
            </w:r>
          </w:p>
        </w:tc>
        <w:tc>
          <w:tcPr>
            <w:tcW w:w="1840" w:type="dxa"/>
            <w:vAlign w:val="bottom"/>
          </w:tcPr>
          <w:p>
            <w:pPr>
              <w:jc w:val="right"/>
              <w:ind w:right="605"/>
              <w:spacing w:after="0" w:line="171" w:lineRule="exact"/>
              <w:rPr>
                <w:sz w:val="20"/>
                <w:szCs w:val="20"/>
                <w:color w:val="auto"/>
              </w:rPr>
            </w:pPr>
            <w:r>
              <w:rPr>
                <w:rFonts w:ascii="Times New Roman" w:cs="Times New Roman" w:eastAsia="Times New Roman" w:hAnsi="Times New Roman"/>
                <w:sz w:val="15"/>
                <w:szCs w:val="15"/>
                <w:color w:val="4C4C4E"/>
              </w:rPr>
              <w:t>20.00%</w:t>
            </w:r>
          </w:p>
        </w:tc>
        <w:tc>
          <w:tcPr>
            <w:tcW w:w="12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20.00%</w:t>
            </w:r>
          </w:p>
        </w:tc>
        <w:tc>
          <w:tcPr>
            <w:tcW w:w="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Borders>
              <w:bottom w:val="single" w:sz="8" w:color="D8EEF4"/>
            </w:tcBorders>
          </w:tcPr>
          <w:p>
            <w:pPr>
              <w:spacing w:after="0"/>
              <w:rPr>
                <w:sz w:val="16"/>
                <w:szCs w:val="16"/>
                <w:color w:val="auto"/>
              </w:rPr>
            </w:pPr>
          </w:p>
        </w:tc>
        <w:tc>
          <w:tcPr>
            <w:tcW w:w="2060" w:type="dxa"/>
            <w:vAlign w:val="bottom"/>
            <w:tcBorders>
              <w:bottom w:val="single" w:sz="8" w:color="D8EEF4"/>
            </w:tcBorders>
          </w:tcPr>
          <w:p>
            <w:pPr>
              <w:ind w:left="60"/>
              <w:spacing w:after="0"/>
              <w:rPr>
                <w:sz w:val="20"/>
                <w:szCs w:val="20"/>
                <w:color w:val="auto"/>
              </w:rPr>
            </w:pPr>
            <w:r>
              <w:rPr>
                <w:rFonts w:ascii="Times New Roman" w:cs="Times New Roman" w:eastAsia="Times New Roman" w:hAnsi="Times New Roman"/>
                <w:sz w:val="15"/>
                <w:szCs w:val="15"/>
                <w:color w:val="4C4C4E"/>
              </w:rPr>
              <w:t>(12)</w:t>
            </w:r>
          </w:p>
        </w:tc>
        <w:tc>
          <w:tcPr>
            <w:tcW w:w="820" w:type="dxa"/>
            <w:vAlign w:val="bottom"/>
            <w:tcBorders>
              <w:bottom w:val="single" w:sz="8" w:color="D8EEF4"/>
            </w:tcBorders>
          </w:tcPr>
          <w:p>
            <w:pPr>
              <w:spacing w:after="0"/>
              <w:rPr>
                <w:sz w:val="16"/>
                <w:szCs w:val="16"/>
                <w:color w:val="auto"/>
              </w:rPr>
            </w:pPr>
          </w:p>
        </w:tc>
        <w:tc>
          <w:tcPr>
            <w:tcW w:w="1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60" w:type="dxa"/>
            <w:vAlign w:val="bottom"/>
            <w:tcBorders>
              <w:bottom w:val="single" w:sz="8" w:color="4C4C4E"/>
            </w:tcBorders>
          </w:tcPr>
          <w:p>
            <w:pPr>
              <w:spacing w:after="0"/>
              <w:rPr>
                <w:sz w:val="16"/>
                <w:szCs w:val="16"/>
                <w:color w:val="auto"/>
              </w:rPr>
            </w:pPr>
          </w:p>
        </w:tc>
        <w:tc>
          <w:tcPr>
            <w:tcW w:w="70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0" w:type="dxa"/>
            <w:vAlign w:val="bottom"/>
            <w:tcBorders>
              <w:bottom w:val="single" w:sz="8" w:color="4C4C4E"/>
            </w:tcBorders>
          </w:tcPr>
          <w:p>
            <w:pPr>
              <w:spacing w:after="0"/>
              <w:rPr>
                <w:sz w:val="16"/>
                <w:szCs w:val="16"/>
                <w:color w:val="auto"/>
              </w:rPr>
            </w:pPr>
          </w:p>
        </w:tc>
        <w:tc>
          <w:tcPr>
            <w:tcW w:w="9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2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D8EEF4"/>
          </w:tcPr>
          <w:p>
            <w:pPr>
              <w:spacing w:after="0"/>
              <w:rPr>
                <w:sz w:val="15"/>
                <w:szCs w:val="15"/>
                <w:color w:val="auto"/>
              </w:rPr>
            </w:pPr>
          </w:p>
        </w:tc>
        <w:tc>
          <w:tcPr>
            <w:tcW w:w="2060" w:type="dxa"/>
            <w:vAlign w:val="bottom"/>
            <w:shd w:val="clear" w:color="auto" w:fill="D8EEF4"/>
          </w:tcPr>
          <w:p>
            <w:pPr>
              <w:spacing w:after="0"/>
              <w:rPr>
                <w:sz w:val="15"/>
                <w:szCs w:val="15"/>
                <w:color w:val="auto"/>
              </w:rPr>
            </w:pPr>
          </w:p>
        </w:tc>
        <w:tc>
          <w:tcPr>
            <w:tcW w:w="820" w:type="dxa"/>
            <w:vAlign w:val="bottom"/>
            <w:shd w:val="clear" w:color="auto" w:fill="D8EEF4"/>
          </w:tcPr>
          <w:p>
            <w:pPr>
              <w:spacing w:after="0"/>
              <w:rPr>
                <w:sz w:val="15"/>
                <w:szCs w:val="15"/>
                <w:color w:val="auto"/>
              </w:rPr>
            </w:pPr>
          </w:p>
        </w:tc>
        <w:tc>
          <w:tcPr>
            <w:tcW w:w="1840" w:type="dxa"/>
            <w:vAlign w:val="bottom"/>
            <w:shd w:val="clear" w:color="auto" w:fill="D8EEF4"/>
          </w:tcPr>
          <w:p>
            <w:pPr>
              <w:spacing w:after="0"/>
              <w:rPr>
                <w:sz w:val="15"/>
                <w:szCs w:val="15"/>
                <w:color w:val="auto"/>
              </w:rPr>
            </w:pPr>
          </w:p>
        </w:tc>
        <w:tc>
          <w:tcPr>
            <w:tcW w:w="1200" w:type="dxa"/>
            <w:vAlign w:val="bottom"/>
            <w:tcBorders>
              <w:right w:val="single" w:sz="8" w:color="D8EEF4"/>
            </w:tcBorders>
            <w:shd w:val="clear" w:color="auto" w:fill="D8EEF4"/>
          </w:tcPr>
          <w:p>
            <w:pPr>
              <w:spacing w:after="0"/>
              <w:rPr>
                <w:sz w:val="15"/>
                <w:szCs w:val="15"/>
                <w:color w:val="auto"/>
              </w:rPr>
            </w:pPr>
          </w:p>
        </w:tc>
        <w:tc>
          <w:tcPr>
            <w:tcW w:w="60" w:type="dxa"/>
            <w:vAlign w:val="bottom"/>
            <w:tcBorders>
              <w:bottom w:val="single" w:sz="8" w:color="4C4C4E"/>
            </w:tcBorders>
            <w:shd w:val="clear" w:color="auto" w:fill="D8EEF4"/>
          </w:tcPr>
          <w:p>
            <w:pPr>
              <w:spacing w:after="0"/>
              <w:rPr>
                <w:sz w:val="15"/>
                <w:szCs w:val="15"/>
                <w:color w:val="auto"/>
              </w:rPr>
            </w:pPr>
          </w:p>
        </w:tc>
        <w:tc>
          <w:tcPr>
            <w:tcW w:w="7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9,287</w:t>
            </w:r>
          </w:p>
        </w:tc>
        <w:tc>
          <w:tcPr>
            <w:tcW w:w="40" w:type="dxa"/>
            <w:vAlign w:val="bottom"/>
            <w:shd w:val="clear" w:color="auto" w:fill="D8EEF4"/>
          </w:tcPr>
          <w:p>
            <w:pPr>
              <w:spacing w:after="0"/>
              <w:rPr>
                <w:sz w:val="15"/>
                <w:szCs w:val="15"/>
                <w:color w:val="auto"/>
              </w:rPr>
            </w:pPr>
          </w:p>
        </w:tc>
        <w:tc>
          <w:tcPr>
            <w:tcW w:w="100" w:type="dxa"/>
            <w:vAlign w:val="bottom"/>
            <w:tcBorders>
              <w:bottom w:val="single" w:sz="8" w:color="4C4C4E"/>
            </w:tcBorders>
            <w:shd w:val="clear" w:color="auto" w:fill="D8EEF4"/>
          </w:tcPr>
          <w:p>
            <w:pPr>
              <w:spacing w:after="0"/>
              <w:rPr>
                <w:sz w:val="15"/>
                <w:szCs w:val="15"/>
                <w:color w:val="auto"/>
              </w:rPr>
            </w:pPr>
          </w:p>
        </w:tc>
        <w:tc>
          <w:tcPr>
            <w:tcW w:w="9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18,458</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20" w:type="dxa"/>
            <w:vAlign w:val="bottom"/>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Healthcare</w:t>
            </w:r>
          </w:p>
        </w:tc>
        <w:tc>
          <w:tcPr>
            <w:tcW w:w="2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Caris Life Sciences, Inc. </w:t>
            </w:r>
            <w:r>
              <w:rPr>
                <w:rFonts w:ascii="Times New Roman" w:cs="Times New Roman" w:eastAsia="Times New Roman" w:hAnsi="Times New Roman"/>
                <w:sz w:val="19"/>
                <w:szCs w:val="19"/>
                <w:color w:val="4C4C4E"/>
                <w:vertAlign w:val="superscript"/>
              </w:rPr>
              <w:t>(11)</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C Preferred Shares</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10/13/2020</w:t>
            </w: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3,500</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8,137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(1,915,114 shares)</w:t>
            </w:r>
          </w:p>
        </w:tc>
        <w:tc>
          <w:tcPr>
            <w:tcW w:w="8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D Preferred Shares</w:t>
            </w:r>
          </w:p>
        </w:tc>
        <w:tc>
          <w:tcPr>
            <w:tcW w:w="8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5/11/2021</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10,050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9,924</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(1,240,740 shares)</w:t>
            </w:r>
          </w:p>
        </w:tc>
        <w:tc>
          <w:tcPr>
            <w:tcW w:w="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Warrants (633,376 warrants)</w:t>
            </w:r>
          </w:p>
        </w:tc>
        <w:tc>
          <w:tcPr>
            <w:tcW w:w="82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9/21/2018</w:t>
            </w: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192</w:t>
            </w: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1,672</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Warrants (569,991 warrants)</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4C4C4E"/>
              </w:rPr>
              <w:t>4/2/2020</w:t>
            </w: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1,321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Merative Topco L.P. </w:t>
            </w:r>
            <w:r>
              <w:rPr>
                <w:rFonts w:ascii="Times New Roman" w:cs="Times New Roman" w:eastAsia="Times New Roman" w:hAnsi="Times New Roman"/>
                <w:sz w:val="20"/>
                <w:szCs w:val="20"/>
                <w:color w:val="4C4C4E"/>
                <w:vertAlign w:val="superscript"/>
              </w:rPr>
              <w:t>(11)</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Class A-1 Units (989,691 units)</w:t>
            </w:r>
          </w:p>
        </w:tc>
        <w:tc>
          <w:tcPr>
            <w:tcW w:w="82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6/30/2022</w:t>
            </w: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9,897</w:t>
            </w: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9,600</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Raptor US Buyer II Corp. </w:t>
            </w:r>
            <w:r>
              <w:rPr>
                <w:rFonts w:ascii="Times New Roman" w:cs="Times New Roman" w:eastAsia="Times New Roman" w:hAnsi="Times New Roman"/>
                <w:sz w:val="20"/>
                <w:szCs w:val="20"/>
                <w:color w:val="4C4C4E"/>
                <w:vertAlign w:val="superscript"/>
              </w:rPr>
              <w:t>(11)</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Ordinary Shares (13,176 shares)</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4C4C4E"/>
              </w:rPr>
              <w:t>3/24/2023</w:t>
            </w: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2,033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1,830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15"/>
                <w:szCs w:val="15"/>
                <w:color w:val="auto"/>
              </w:rPr>
            </w:pPr>
          </w:p>
        </w:tc>
        <w:tc>
          <w:tcPr>
            <w:tcW w:w="2060" w:type="dxa"/>
            <w:vAlign w:val="bottom"/>
            <w:tcBorders>
              <w:top w:val="single" w:sz="8" w:color="D8EEF4"/>
            </w:tcBorders>
            <w:shd w:val="clear" w:color="auto" w:fill="D8EEF4"/>
          </w:tcPr>
          <w:p>
            <w:pPr>
              <w:spacing w:after="0"/>
              <w:rPr>
                <w:sz w:val="15"/>
                <w:szCs w:val="15"/>
                <w:color w:val="auto"/>
              </w:rPr>
            </w:pPr>
          </w:p>
        </w:tc>
        <w:tc>
          <w:tcPr>
            <w:tcW w:w="8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right w:val="single" w:sz="8" w:color="D8EEF4"/>
            </w:tcBorders>
            <w:shd w:val="clear" w:color="auto" w:fill="D8EEF4"/>
          </w:tcPr>
          <w:p>
            <w:pPr>
              <w:spacing w:after="0"/>
              <w:rPr>
                <w:sz w:val="15"/>
                <w:szCs w:val="15"/>
                <w:color w:val="auto"/>
              </w:rPr>
            </w:pPr>
          </w:p>
        </w:tc>
        <w:tc>
          <w:tcPr>
            <w:tcW w:w="60" w:type="dxa"/>
            <w:vAlign w:val="bottom"/>
            <w:tcBorders>
              <w:top w:val="single" w:sz="8" w:color="4C4C4E"/>
              <w:bottom w:val="single" w:sz="8" w:color="4C4C4E"/>
            </w:tcBorders>
            <w:shd w:val="clear" w:color="auto" w:fill="D8EEF4"/>
          </w:tcPr>
          <w:p>
            <w:pPr>
              <w:spacing w:after="0"/>
              <w:rPr>
                <w:sz w:val="15"/>
                <w:szCs w:val="15"/>
                <w:color w:val="auto"/>
              </w:rPr>
            </w:pPr>
          </w:p>
        </w:tc>
        <w:tc>
          <w:tcPr>
            <w:tcW w:w="7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25,922</w:t>
            </w: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4C4C4E"/>
              <w:bottom w:val="single" w:sz="8" w:color="4C4C4E"/>
            </w:tcBorders>
            <w:shd w:val="clear" w:color="auto" w:fill="D8EEF4"/>
          </w:tcPr>
          <w:p>
            <w:pPr>
              <w:spacing w:after="0"/>
              <w:rPr>
                <w:sz w:val="15"/>
                <w:szCs w:val="15"/>
                <w:color w:val="auto"/>
              </w:rPr>
            </w:pPr>
          </w:p>
        </w:tc>
        <w:tc>
          <w:tcPr>
            <w:tcW w:w="9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32,484</w:t>
            </w: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2.0</w:t>
            </w:r>
          </w:p>
        </w:tc>
        <w:tc>
          <w:tcPr>
            <w:tcW w:w="160" w:type="dxa"/>
            <w:vAlign w:val="bottom"/>
            <w:tcBorders>
              <w:top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2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Hotel, Gaming and Leisure</w:t>
            </w:r>
          </w:p>
        </w:tc>
        <w:tc>
          <w:tcPr>
            <w:tcW w:w="2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IRGSE Holding Corp. </w:t>
            </w:r>
            <w:r>
              <w:rPr>
                <w:rFonts w:ascii="Times New Roman" w:cs="Times New Roman" w:eastAsia="Times New Roman" w:hAnsi="Times New Roman"/>
                <w:sz w:val="19"/>
                <w:szCs w:val="19"/>
                <w:color w:val="4C4C4E"/>
                <w:vertAlign w:val="superscript"/>
              </w:rPr>
              <w:t>(6)(11)</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A Units (33,790,171</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12/21/2018</w:t>
            </w: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21,842</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units)</w:t>
            </w:r>
          </w:p>
        </w:tc>
        <w:tc>
          <w:tcPr>
            <w:tcW w:w="8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C-1 Units (8,800,000</w:t>
            </w:r>
          </w:p>
        </w:tc>
        <w:tc>
          <w:tcPr>
            <w:tcW w:w="8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12/21/2018</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43</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Borders>
              <w:bottom w:val="single" w:sz="8" w:color="D8EEF4"/>
            </w:tcBorders>
          </w:tcPr>
          <w:p>
            <w:pPr>
              <w:spacing w:after="0"/>
              <w:rPr>
                <w:sz w:val="16"/>
                <w:szCs w:val="16"/>
                <w:color w:val="auto"/>
              </w:rPr>
            </w:pPr>
          </w:p>
        </w:tc>
        <w:tc>
          <w:tcPr>
            <w:tcW w:w="2060" w:type="dxa"/>
            <w:vAlign w:val="bottom"/>
            <w:tcBorders>
              <w:bottom w:val="single" w:sz="8" w:color="D8EEF4"/>
            </w:tcBorders>
          </w:tcPr>
          <w:p>
            <w:pPr>
              <w:ind w:left="60"/>
              <w:spacing w:after="0"/>
              <w:rPr>
                <w:sz w:val="20"/>
                <w:szCs w:val="20"/>
                <w:color w:val="auto"/>
              </w:rPr>
            </w:pPr>
            <w:r>
              <w:rPr>
                <w:rFonts w:ascii="Times New Roman" w:cs="Times New Roman" w:eastAsia="Times New Roman" w:hAnsi="Times New Roman"/>
                <w:sz w:val="15"/>
                <w:szCs w:val="15"/>
                <w:color w:val="4C4C4E"/>
              </w:rPr>
              <w:t>units)</w:t>
            </w:r>
          </w:p>
        </w:tc>
        <w:tc>
          <w:tcPr>
            <w:tcW w:w="820" w:type="dxa"/>
            <w:vAlign w:val="bottom"/>
            <w:tcBorders>
              <w:bottom w:val="single" w:sz="8" w:color="D8EEF4"/>
            </w:tcBorders>
          </w:tcPr>
          <w:p>
            <w:pPr>
              <w:spacing w:after="0"/>
              <w:rPr>
                <w:sz w:val="16"/>
                <w:szCs w:val="16"/>
                <w:color w:val="auto"/>
              </w:rPr>
            </w:pPr>
          </w:p>
        </w:tc>
        <w:tc>
          <w:tcPr>
            <w:tcW w:w="1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60" w:type="dxa"/>
            <w:vAlign w:val="bottom"/>
            <w:tcBorders>
              <w:bottom w:val="single" w:sz="8" w:color="4C4C4E"/>
            </w:tcBorders>
          </w:tcPr>
          <w:p>
            <w:pPr>
              <w:spacing w:after="0"/>
              <w:rPr>
                <w:sz w:val="16"/>
                <w:szCs w:val="16"/>
                <w:color w:val="auto"/>
              </w:rPr>
            </w:pPr>
          </w:p>
        </w:tc>
        <w:tc>
          <w:tcPr>
            <w:tcW w:w="70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0" w:type="dxa"/>
            <w:vAlign w:val="bottom"/>
            <w:tcBorders>
              <w:bottom w:val="single" w:sz="8" w:color="4C4C4E"/>
            </w:tcBorders>
          </w:tcPr>
          <w:p>
            <w:pPr>
              <w:spacing w:after="0"/>
              <w:rPr>
                <w:sz w:val="16"/>
                <w:szCs w:val="16"/>
                <w:color w:val="auto"/>
              </w:rPr>
            </w:pPr>
          </w:p>
        </w:tc>
        <w:tc>
          <w:tcPr>
            <w:tcW w:w="92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2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D8EEF4"/>
          </w:tcPr>
          <w:p>
            <w:pPr>
              <w:spacing w:after="0"/>
              <w:rPr>
                <w:sz w:val="15"/>
                <w:szCs w:val="15"/>
                <w:color w:val="auto"/>
              </w:rPr>
            </w:pPr>
          </w:p>
        </w:tc>
        <w:tc>
          <w:tcPr>
            <w:tcW w:w="2060" w:type="dxa"/>
            <w:vAlign w:val="bottom"/>
            <w:shd w:val="clear" w:color="auto" w:fill="D8EEF4"/>
          </w:tcPr>
          <w:p>
            <w:pPr>
              <w:spacing w:after="0"/>
              <w:rPr>
                <w:sz w:val="15"/>
                <w:szCs w:val="15"/>
                <w:color w:val="auto"/>
              </w:rPr>
            </w:pPr>
          </w:p>
        </w:tc>
        <w:tc>
          <w:tcPr>
            <w:tcW w:w="820" w:type="dxa"/>
            <w:vAlign w:val="bottom"/>
            <w:shd w:val="clear" w:color="auto" w:fill="D8EEF4"/>
          </w:tcPr>
          <w:p>
            <w:pPr>
              <w:spacing w:after="0"/>
              <w:rPr>
                <w:sz w:val="15"/>
                <w:szCs w:val="15"/>
                <w:color w:val="auto"/>
              </w:rPr>
            </w:pPr>
          </w:p>
        </w:tc>
        <w:tc>
          <w:tcPr>
            <w:tcW w:w="1840" w:type="dxa"/>
            <w:vAlign w:val="bottom"/>
            <w:shd w:val="clear" w:color="auto" w:fill="D8EEF4"/>
          </w:tcPr>
          <w:p>
            <w:pPr>
              <w:spacing w:after="0"/>
              <w:rPr>
                <w:sz w:val="15"/>
                <w:szCs w:val="15"/>
                <w:color w:val="auto"/>
              </w:rPr>
            </w:pPr>
          </w:p>
        </w:tc>
        <w:tc>
          <w:tcPr>
            <w:tcW w:w="1200" w:type="dxa"/>
            <w:vAlign w:val="bottom"/>
            <w:tcBorders>
              <w:right w:val="single" w:sz="8" w:color="D8EEF4"/>
            </w:tcBorders>
            <w:shd w:val="clear" w:color="auto" w:fill="D8EEF4"/>
          </w:tcPr>
          <w:p>
            <w:pPr>
              <w:spacing w:after="0"/>
              <w:rPr>
                <w:sz w:val="15"/>
                <w:szCs w:val="15"/>
                <w:color w:val="auto"/>
              </w:rPr>
            </w:pPr>
          </w:p>
        </w:tc>
        <w:tc>
          <w:tcPr>
            <w:tcW w:w="60" w:type="dxa"/>
            <w:vAlign w:val="bottom"/>
            <w:tcBorders>
              <w:bottom w:val="single" w:sz="8" w:color="4C4C4E"/>
            </w:tcBorders>
            <w:shd w:val="clear" w:color="auto" w:fill="D8EEF4"/>
          </w:tcPr>
          <w:p>
            <w:pPr>
              <w:spacing w:after="0"/>
              <w:rPr>
                <w:sz w:val="15"/>
                <w:szCs w:val="15"/>
                <w:color w:val="auto"/>
              </w:rPr>
            </w:pPr>
          </w:p>
        </w:tc>
        <w:tc>
          <w:tcPr>
            <w:tcW w:w="7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21,942</w:t>
            </w:r>
          </w:p>
        </w:tc>
        <w:tc>
          <w:tcPr>
            <w:tcW w:w="40" w:type="dxa"/>
            <w:vAlign w:val="bottom"/>
            <w:shd w:val="clear" w:color="auto" w:fill="D8EEF4"/>
          </w:tcPr>
          <w:p>
            <w:pPr>
              <w:spacing w:after="0"/>
              <w:rPr>
                <w:sz w:val="15"/>
                <w:szCs w:val="15"/>
                <w:color w:val="auto"/>
              </w:rPr>
            </w:pPr>
          </w:p>
        </w:tc>
        <w:tc>
          <w:tcPr>
            <w:tcW w:w="100" w:type="dxa"/>
            <w:vAlign w:val="bottom"/>
            <w:tcBorders>
              <w:bottom w:val="single" w:sz="8" w:color="4C4C4E"/>
            </w:tcBorders>
            <w:shd w:val="clear" w:color="auto" w:fill="D8EEF4"/>
          </w:tcPr>
          <w:p>
            <w:pPr>
              <w:spacing w:after="0"/>
              <w:rPr>
                <w:sz w:val="15"/>
                <w:szCs w:val="15"/>
                <w:color w:val="auto"/>
              </w:rPr>
            </w:pPr>
          </w:p>
        </w:tc>
        <w:tc>
          <w:tcPr>
            <w:tcW w:w="9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128</w:t>
            </w:r>
          </w:p>
        </w:tc>
        <w:tc>
          <w:tcPr>
            <w:tcW w:w="40" w:type="dxa"/>
            <w:vAlign w:val="bottom"/>
            <w:shd w:val="clear" w:color="auto" w:fill="D8EEF4"/>
          </w:tcPr>
          <w:p>
            <w:pPr>
              <w:spacing w:after="0"/>
              <w:rPr>
                <w:sz w:val="15"/>
                <w:szCs w:val="15"/>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20" w:type="dxa"/>
            <w:vAlign w:val="bottom"/>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00" w:type="dxa"/>
            <w:vAlign w:val="bottom"/>
          </w:tcPr>
          <w:p>
            <w:pPr>
              <w:spacing w:after="0" w:line="164" w:lineRule="exact"/>
              <w:rPr>
                <w:sz w:val="20"/>
                <w:szCs w:val="20"/>
                <w:color w:val="auto"/>
              </w:rPr>
            </w:pPr>
            <w:r>
              <w:rPr>
                <w:rFonts w:ascii="Times New Roman" w:cs="Times New Roman" w:eastAsia="Times New Roman" w:hAnsi="Times New Roman"/>
                <w:sz w:val="15"/>
                <w:szCs w:val="15"/>
                <w:b w:val="1"/>
                <w:bCs w:val="1"/>
                <w:color w:val="4C4C4E"/>
              </w:rPr>
              <w:t>Human Resource Support</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20"/>
                <w:szCs w:val="20"/>
                <w:color w:val="auto"/>
              </w:rPr>
            </w:pPr>
            <w:r>
              <w:rPr>
                <w:rFonts w:ascii="Times New Roman" w:cs="Times New Roman" w:eastAsia="Times New Roman" w:hAnsi="Times New Roman"/>
                <w:sz w:val="15"/>
                <w:szCs w:val="15"/>
                <w:b w:val="1"/>
                <w:bCs w:val="1"/>
                <w:color w:val="4C4C4E"/>
              </w:rPr>
              <w:t>Services</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Axonify, Inc. </w:t>
            </w:r>
            <w:r>
              <w:rPr>
                <w:rFonts w:ascii="Times New Roman" w:cs="Times New Roman" w:eastAsia="Times New Roman" w:hAnsi="Times New Roman"/>
                <w:sz w:val="19"/>
                <w:szCs w:val="19"/>
                <w:color w:val="4C4C4E"/>
                <w:vertAlign w:val="superscript"/>
              </w:rPr>
              <w:t>(4)(11)(13)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A-1 Units (3,780,000</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5/5/2021</w:t>
            </w: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3,780</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4,848</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units)</w:t>
            </w:r>
          </w:p>
        </w:tc>
        <w:tc>
          <w:tcPr>
            <w:tcW w:w="8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bswift, LLC </w:t>
            </w:r>
            <w:r>
              <w:rPr>
                <w:rFonts w:ascii="Times New Roman" w:cs="Times New Roman" w:eastAsia="Times New Roman" w:hAnsi="Times New Roman"/>
                <w:sz w:val="19"/>
                <w:szCs w:val="19"/>
                <w:color w:val="4C4C4E"/>
                <w:vertAlign w:val="superscript"/>
              </w:rPr>
              <w:t>(11)</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Class A-1 Units (2,393,509</w:t>
            </w:r>
          </w:p>
        </w:tc>
        <w:tc>
          <w:tcPr>
            <w:tcW w:w="8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11/7/2022</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2,393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5,062</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units)</w:t>
            </w:r>
          </w:p>
        </w:tc>
        <w:tc>
          <w:tcPr>
            <w:tcW w:w="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DaySmart Holdings, LLC </w:t>
            </w:r>
            <w:r>
              <w:rPr>
                <w:rFonts w:ascii="Times New Roman" w:cs="Times New Roman" w:eastAsia="Times New Roman" w:hAnsi="Times New Roman"/>
                <w:sz w:val="20"/>
                <w:szCs w:val="20"/>
                <w:color w:val="4C4C4E"/>
                <w:vertAlign w:val="superscript"/>
              </w:rPr>
              <w:t>(11)</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Class A Units (166,811 units)</w:t>
            </w:r>
          </w:p>
        </w:tc>
        <w:tc>
          <w:tcPr>
            <w:tcW w:w="82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12/18/2020</w:t>
            </w: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1,347</w:t>
            </w: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2,148</w:t>
            </w:r>
          </w:p>
        </w:tc>
        <w:tc>
          <w:tcPr>
            <w:tcW w:w="10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4C4C4E"/>
              </w:rPr>
              <w:t>Employment Hero Holdings Pty</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E Preferred Shares</w:t>
            </w:r>
          </w:p>
        </w:tc>
        <w:tc>
          <w:tcPr>
            <w:tcW w:w="8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3/1/2022</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2,134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2,819</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Borders>
              <w:bottom w:val="single" w:sz="8" w:color="D8EEF4"/>
            </w:tcBorders>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Ltd.</w:t>
            </w:r>
            <w:r>
              <w:rPr>
                <w:rFonts w:ascii="Times New Roman" w:cs="Times New Roman" w:eastAsia="Times New Roman" w:hAnsi="Times New Roman"/>
                <w:sz w:val="9"/>
                <w:szCs w:val="9"/>
                <w:color w:val="4C4C4E"/>
              </w:rPr>
              <w:t xml:space="preserve"> (4)(11)</w:t>
            </w:r>
          </w:p>
        </w:tc>
        <w:tc>
          <w:tcPr>
            <w:tcW w:w="2060" w:type="dxa"/>
            <w:vAlign w:val="bottom"/>
            <w:tcBorders>
              <w:bottom w:val="single" w:sz="8" w:color="D8EEF4"/>
            </w:tcBorders>
          </w:tcPr>
          <w:p>
            <w:pPr>
              <w:ind w:left="60"/>
              <w:spacing w:after="0"/>
              <w:rPr>
                <w:sz w:val="20"/>
                <w:szCs w:val="20"/>
                <w:color w:val="auto"/>
              </w:rPr>
            </w:pPr>
            <w:r>
              <w:rPr>
                <w:rFonts w:ascii="Times New Roman" w:cs="Times New Roman" w:eastAsia="Times New Roman" w:hAnsi="Times New Roman"/>
                <w:sz w:val="15"/>
                <w:szCs w:val="15"/>
                <w:color w:val="4C4C4E"/>
              </w:rPr>
              <w:t>(113,250 shares)</w:t>
            </w:r>
          </w:p>
        </w:tc>
        <w:tc>
          <w:tcPr>
            <w:tcW w:w="820" w:type="dxa"/>
            <w:vAlign w:val="bottom"/>
            <w:tcBorders>
              <w:bottom w:val="single" w:sz="8" w:color="D8EEF4"/>
            </w:tcBorders>
          </w:tcPr>
          <w:p>
            <w:pPr>
              <w:spacing w:after="0"/>
              <w:rPr>
                <w:sz w:val="16"/>
                <w:szCs w:val="16"/>
                <w:color w:val="auto"/>
              </w:rPr>
            </w:pPr>
          </w:p>
        </w:tc>
        <w:tc>
          <w:tcPr>
            <w:tcW w:w="1840" w:type="dxa"/>
            <w:vAlign w:val="bottom"/>
            <w:tcBorders>
              <w:bottom w:val="single" w:sz="8" w:color="D8EEF4"/>
            </w:tcBorders>
          </w:tcPr>
          <w:p>
            <w:pPr>
              <w:spacing w:after="0"/>
              <w:rPr>
                <w:sz w:val="16"/>
                <w:szCs w:val="16"/>
                <w:color w:val="auto"/>
              </w:rPr>
            </w:pPr>
          </w:p>
        </w:tc>
        <w:tc>
          <w:tcPr>
            <w:tcW w:w="1200" w:type="dxa"/>
            <w:vAlign w:val="bottom"/>
            <w:tcBorders>
              <w:bottom w:val="single" w:sz="8" w:color="D8EEF4"/>
            </w:tcBorders>
          </w:tcPr>
          <w:p>
            <w:pPr>
              <w:spacing w:after="0"/>
              <w:rPr>
                <w:sz w:val="16"/>
                <w:szCs w:val="16"/>
                <w:color w:val="auto"/>
              </w:rPr>
            </w:pPr>
          </w:p>
        </w:tc>
        <w:tc>
          <w:tcPr>
            <w:tcW w:w="60" w:type="dxa"/>
            <w:vAlign w:val="bottom"/>
            <w:tcBorders>
              <w:bottom w:val="single" w:sz="8" w:color="4C4C4E"/>
            </w:tcBorders>
          </w:tcPr>
          <w:p>
            <w:pPr>
              <w:spacing w:after="0"/>
              <w:rPr>
                <w:sz w:val="16"/>
                <w:szCs w:val="16"/>
                <w:color w:val="auto"/>
              </w:rPr>
            </w:pPr>
          </w:p>
        </w:tc>
        <w:tc>
          <w:tcPr>
            <w:tcW w:w="700" w:type="dxa"/>
            <w:vAlign w:val="bottom"/>
            <w:tcBorders>
              <w:bottom w:val="single" w:sz="8" w:color="4C4C4E"/>
            </w:tcBorders>
          </w:tcPr>
          <w:p>
            <w:pPr>
              <w:spacing w:after="0"/>
              <w:rPr>
                <w:sz w:val="16"/>
                <w:szCs w:val="16"/>
                <w:color w:val="auto"/>
              </w:rPr>
            </w:pPr>
          </w:p>
        </w:tc>
        <w:tc>
          <w:tcPr>
            <w:tcW w:w="40" w:type="dxa"/>
            <w:vAlign w:val="bottom"/>
            <w:tcBorders>
              <w:bottom w:val="single" w:sz="8" w:color="D8EEF4"/>
            </w:tcBorders>
          </w:tcPr>
          <w:p>
            <w:pPr>
              <w:spacing w:after="0"/>
              <w:rPr>
                <w:sz w:val="16"/>
                <w:szCs w:val="16"/>
                <w:color w:val="auto"/>
              </w:rPr>
            </w:pPr>
          </w:p>
        </w:tc>
        <w:tc>
          <w:tcPr>
            <w:tcW w:w="100" w:type="dxa"/>
            <w:vAlign w:val="bottom"/>
            <w:tcBorders>
              <w:bottom w:val="single" w:sz="8" w:color="4C4C4E"/>
            </w:tcBorders>
          </w:tcPr>
          <w:p>
            <w:pPr>
              <w:spacing w:after="0"/>
              <w:rPr>
                <w:sz w:val="16"/>
                <w:szCs w:val="16"/>
                <w:color w:val="auto"/>
              </w:rPr>
            </w:pPr>
          </w:p>
        </w:tc>
        <w:tc>
          <w:tcPr>
            <w:tcW w:w="9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5"/>
                <w:szCs w:val="15"/>
                <w:color w:val="4C4C4E"/>
              </w:rPr>
              <w:t>(AUD 4,552)</w:t>
            </w:r>
          </w:p>
        </w:tc>
        <w:tc>
          <w:tcPr>
            <w:tcW w:w="40" w:type="dxa"/>
            <w:vAlign w:val="bottom"/>
            <w:tcBorders>
              <w:bottom w:val="single" w:sz="8" w:color="D8EEF4"/>
            </w:tcBorders>
          </w:tcPr>
          <w:p>
            <w:pPr>
              <w:spacing w:after="0"/>
              <w:rPr>
                <w:sz w:val="16"/>
                <w:szCs w:val="16"/>
                <w:color w:val="auto"/>
              </w:rPr>
            </w:pPr>
          </w:p>
        </w:tc>
        <w:tc>
          <w:tcPr>
            <w:tcW w:w="840" w:type="dxa"/>
            <w:vAlign w:val="bottom"/>
            <w:tcBorders>
              <w:bottom w:val="single" w:sz="8" w:color="4C4C4E"/>
            </w:tcBorders>
          </w:tcPr>
          <w:p>
            <w:pPr>
              <w:spacing w:after="0"/>
              <w:rPr>
                <w:sz w:val="16"/>
                <w:szCs w:val="16"/>
                <w:color w:val="auto"/>
              </w:rPr>
            </w:pPr>
          </w:p>
        </w:tc>
        <w:tc>
          <w:tcPr>
            <w:tcW w:w="160" w:type="dxa"/>
            <w:vAlign w:val="bottom"/>
            <w:tcBorders>
              <w:bottom w:val="single" w:sz="8" w:color="D8EEF4"/>
            </w:tcBorders>
          </w:tcPr>
          <w:p>
            <w:pPr>
              <w:spacing w:after="0"/>
              <w:rPr>
                <w:sz w:val="16"/>
                <w:szCs w:val="16"/>
                <w:color w:val="auto"/>
              </w:rPr>
            </w:pPr>
          </w:p>
        </w:tc>
        <w:tc>
          <w:tcPr>
            <w:tcW w:w="20" w:type="dxa"/>
            <w:vAlign w:val="bottom"/>
            <w:tcBorders>
              <w:bottom w:val="single" w:sz="8" w:color="D8EEF4"/>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tcBorders>
              <w:bottom w:val="single" w:sz="8" w:color="D8EEF4"/>
            </w:tcBorders>
            <w:shd w:val="clear" w:color="auto" w:fill="D8EEF4"/>
          </w:tcPr>
          <w:p>
            <w:pPr>
              <w:spacing w:after="0"/>
              <w:rPr>
                <w:sz w:val="17"/>
                <w:szCs w:val="17"/>
                <w:color w:val="auto"/>
              </w:rPr>
            </w:pPr>
          </w:p>
        </w:tc>
        <w:tc>
          <w:tcPr>
            <w:tcW w:w="2060" w:type="dxa"/>
            <w:vAlign w:val="bottom"/>
            <w:tcBorders>
              <w:bottom w:val="single" w:sz="8" w:color="D8EEF4"/>
            </w:tcBorders>
            <w:shd w:val="clear" w:color="auto" w:fill="D8EEF4"/>
          </w:tcPr>
          <w:p>
            <w:pPr>
              <w:spacing w:after="0"/>
              <w:rPr>
                <w:sz w:val="17"/>
                <w:szCs w:val="17"/>
                <w:color w:val="auto"/>
              </w:rPr>
            </w:pPr>
          </w:p>
        </w:tc>
        <w:tc>
          <w:tcPr>
            <w:tcW w:w="820" w:type="dxa"/>
            <w:vAlign w:val="bottom"/>
            <w:tcBorders>
              <w:bottom w:val="single" w:sz="8" w:color="D8EEF4"/>
            </w:tcBorders>
            <w:shd w:val="clear" w:color="auto" w:fill="D8EEF4"/>
          </w:tcPr>
          <w:p>
            <w:pPr>
              <w:spacing w:after="0"/>
              <w:rPr>
                <w:sz w:val="17"/>
                <w:szCs w:val="17"/>
                <w:color w:val="auto"/>
              </w:rPr>
            </w:pPr>
          </w:p>
        </w:tc>
        <w:tc>
          <w:tcPr>
            <w:tcW w:w="1840" w:type="dxa"/>
            <w:vAlign w:val="bottom"/>
            <w:tcBorders>
              <w:bottom w:val="single" w:sz="8" w:color="D8EEF4"/>
            </w:tcBorders>
            <w:shd w:val="clear" w:color="auto" w:fill="D8EEF4"/>
          </w:tcPr>
          <w:p>
            <w:pPr>
              <w:spacing w:after="0"/>
              <w:rPr>
                <w:sz w:val="17"/>
                <w:szCs w:val="17"/>
                <w:color w:val="auto"/>
              </w:rPr>
            </w:pPr>
          </w:p>
        </w:tc>
        <w:tc>
          <w:tcPr>
            <w:tcW w:w="1200" w:type="dxa"/>
            <w:vAlign w:val="bottom"/>
            <w:tcBorders>
              <w:bottom w:val="single" w:sz="8" w:color="D8EEF4"/>
              <w:right w:val="single" w:sz="8" w:color="D8EEF4"/>
            </w:tcBorders>
            <w:shd w:val="clear" w:color="auto" w:fill="D8EEF4"/>
          </w:tcPr>
          <w:p>
            <w:pPr>
              <w:spacing w:after="0"/>
              <w:rPr>
                <w:sz w:val="17"/>
                <w:szCs w:val="17"/>
                <w:color w:val="auto"/>
              </w:rPr>
            </w:pPr>
          </w:p>
        </w:tc>
        <w:tc>
          <w:tcPr>
            <w:tcW w:w="60" w:type="dxa"/>
            <w:vAlign w:val="bottom"/>
            <w:tcBorders>
              <w:bottom w:val="single" w:sz="8" w:color="4C4C4E"/>
            </w:tcBorders>
            <w:shd w:val="clear" w:color="auto" w:fill="D8EEF4"/>
          </w:tcPr>
          <w:p>
            <w:pPr>
              <w:spacing w:after="0"/>
              <w:rPr>
                <w:sz w:val="17"/>
                <w:szCs w:val="17"/>
                <w:color w:val="auto"/>
              </w:rPr>
            </w:pPr>
          </w:p>
        </w:tc>
        <w:tc>
          <w:tcPr>
            <w:tcW w:w="7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9,654</w:t>
            </w:r>
          </w:p>
        </w:tc>
        <w:tc>
          <w:tcPr>
            <w:tcW w:w="40" w:type="dxa"/>
            <w:vAlign w:val="bottom"/>
            <w:tcBorders>
              <w:bottom w:val="single" w:sz="8" w:color="D8EEF4"/>
            </w:tcBorders>
            <w:shd w:val="clear" w:color="auto" w:fill="D8EEF4"/>
          </w:tcPr>
          <w:p>
            <w:pPr>
              <w:spacing w:after="0"/>
              <w:rPr>
                <w:sz w:val="17"/>
                <w:szCs w:val="17"/>
                <w:color w:val="auto"/>
              </w:rPr>
            </w:pPr>
          </w:p>
        </w:tc>
        <w:tc>
          <w:tcPr>
            <w:tcW w:w="100" w:type="dxa"/>
            <w:vAlign w:val="bottom"/>
            <w:tcBorders>
              <w:bottom w:val="single" w:sz="8" w:color="4C4C4E"/>
            </w:tcBorders>
            <w:shd w:val="clear" w:color="auto" w:fill="D8EEF4"/>
          </w:tcPr>
          <w:p>
            <w:pPr>
              <w:spacing w:after="0"/>
              <w:rPr>
                <w:sz w:val="17"/>
                <w:szCs w:val="17"/>
                <w:color w:val="auto"/>
              </w:rPr>
            </w:pPr>
          </w:p>
        </w:tc>
        <w:tc>
          <w:tcPr>
            <w:tcW w:w="9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14,877</w:t>
            </w:r>
          </w:p>
        </w:tc>
        <w:tc>
          <w:tcPr>
            <w:tcW w:w="40" w:type="dxa"/>
            <w:vAlign w:val="bottom"/>
            <w:tcBorders>
              <w:bottom w:val="single" w:sz="8" w:color="D8EEF4"/>
            </w:tcBorders>
            <w:shd w:val="clear" w:color="auto" w:fill="D8EEF4"/>
          </w:tcPr>
          <w:p>
            <w:pPr>
              <w:spacing w:after="0"/>
              <w:rPr>
                <w:sz w:val="17"/>
                <w:szCs w:val="17"/>
                <w:color w:val="auto"/>
              </w:rPr>
            </w:pPr>
          </w:p>
        </w:tc>
        <w:tc>
          <w:tcPr>
            <w:tcW w:w="8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0.9</w:t>
            </w:r>
          </w:p>
        </w:tc>
        <w:tc>
          <w:tcPr>
            <w:tcW w:w="1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20" w:type="dxa"/>
            <w:vAlign w:val="bottom"/>
            <w:tcBorders>
              <w:bottom w:val="single" w:sz="8" w:color="D8EEF4"/>
            </w:tcBorders>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Internet Services</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Bayshore Intermediate #2, L.P.</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Co-Invest Common Units</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10/1/2021</w:t>
            </w: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8,837</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10,870</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0"/>
                <w:szCs w:val="10"/>
                <w:color w:val="4C4C4E"/>
              </w:rPr>
              <w:t>(11)(13)</w:t>
            </w: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(8,837,008 units)</w:t>
            </w:r>
          </w:p>
        </w:tc>
        <w:tc>
          <w:tcPr>
            <w:tcW w:w="8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Co-Invest 2 Common Units</w:t>
            </w:r>
          </w:p>
        </w:tc>
        <w:tc>
          <w:tcPr>
            <w:tcW w:w="8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10/1/2021</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3,494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4,297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(3,493,701 units)</w:t>
            </w:r>
          </w:p>
        </w:tc>
        <w:tc>
          <w:tcPr>
            <w:tcW w:w="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Lucidworks, Inc. </w:t>
            </w:r>
            <w:r>
              <w:rPr>
                <w:rFonts w:ascii="Times New Roman" w:cs="Times New Roman" w:eastAsia="Times New Roman" w:hAnsi="Times New Roman"/>
                <w:sz w:val="19"/>
                <w:szCs w:val="19"/>
                <w:color w:val="4C4C4E"/>
                <w:vertAlign w:val="superscript"/>
              </w:rPr>
              <w:t>(11)</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F Preferred Shares</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8/2/2019</w:t>
            </w: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800</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776</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(199,054 shares)</w:t>
            </w:r>
          </w:p>
        </w:tc>
        <w:tc>
          <w:tcPr>
            <w:tcW w:w="8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Piano Software, Inc. </w:t>
            </w:r>
            <w:r>
              <w:rPr>
                <w:rFonts w:ascii="Times New Roman" w:cs="Times New Roman" w:eastAsia="Times New Roman" w:hAnsi="Times New Roman"/>
                <w:sz w:val="19"/>
                <w:szCs w:val="19"/>
                <w:color w:val="4C4C4E"/>
                <w:vertAlign w:val="superscript"/>
              </w:rPr>
              <w:t>(11)</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C-1 Preferred Shares</w:t>
            </w:r>
          </w:p>
        </w:tc>
        <w:tc>
          <w:tcPr>
            <w:tcW w:w="8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12/22/2021</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2,400</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(418,527 shares)</w:t>
            </w:r>
          </w:p>
        </w:tc>
        <w:tc>
          <w:tcPr>
            <w:tcW w:w="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rPr>
                <w:sz w:val="14"/>
                <w:szCs w:val="14"/>
                <w:color w:val="auto"/>
              </w:rPr>
            </w:pP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C-2 Preferred Shares</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11/18/2022</w:t>
            </w: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198</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317</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(27,588 shares)</w:t>
            </w:r>
          </w:p>
        </w:tc>
        <w:tc>
          <w:tcPr>
            <w:tcW w:w="8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6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color w:val="4C4C4E"/>
              </w:rPr>
              <w:t>SMA Technologies Holdings, LLC Class A Units (1,584 units)</w:t>
            </w:r>
          </w:p>
        </w:tc>
        <w:tc>
          <w:tcPr>
            <w:tcW w:w="8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11/21/2022</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1,584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2,297</w:t>
            </w:r>
          </w:p>
        </w:tc>
        <w:tc>
          <w:tcPr>
            <w:tcW w:w="104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20"/>
                <w:szCs w:val="20"/>
                <w:color w:val="auto"/>
              </w:rPr>
            </w:pPr>
            <w:r>
              <w:rPr>
                <w:rFonts w:ascii="Times New Roman" w:cs="Times New Roman" w:eastAsia="Times New Roman" w:hAnsi="Times New Roman"/>
                <w:sz w:val="10"/>
                <w:szCs w:val="10"/>
                <w:color w:val="4C4C4E"/>
              </w:rPr>
              <w:t>(11)(12)</w:t>
            </w:r>
          </w:p>
        </w:tc>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1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Class B Units (1,124,813 units)</w:t>
            </w:r>
          </w:p>
        </w:tc>
        <w:tc>
          <w:tcPr>
            <w:tcW w:w="820" w:type="dxa"/>
            <w:vAlign w:val="bottom"/>
            <w:shd w:val="clear" w:color="auto" w:fill="D8EEF4"/>
          </w:tcPr>
          <w:p>
            <w:pPr>
              <w:jc w:val="right"/>
              <w:ind w:right="25"/>
              <w:spacing w:after="0"/>
              <w:rPr>
                <w:sz w:val="20"/>
                <w:szCs w:val="20"/>
                <w:color w:val="auto"/>
              </w:rPr>
            </w:pPr>
            <w:r>
              <w:rPr>
                <w:rFonts w:ascii="Times New Roman" w:cs="Times New Roman" w:eastAsia="Times New Roman" w:hAnsi="Times New Roman"/>
                <w:sz w:val="15"/>
                <w:szCs w:val="15"/>
                <w:color w:val="4C4C4E"/>
              </w:rPr>
              <w:t>11/21/2022</w:t>
            </w: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68</w:t>
            </w: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99</w:t>
            </w:r>
          </w:p>
        </w:tc>
        <w:tc>
          <w:tcPr>
            <w:tcW w:w="40" w:type="dxa"/>
            <w:vAlign w:val="bottom"/>
            <w:shd w:val="clear" w:color="auto" w:fill="D8EEF4"/>
          </w:tcPr>
          <w:p>
            <w:pPr>
              <w:spacing w:after="0"/>
              <w:rPr>
                <w:sz w:val="16"/>
                <w:szCs w:val="16"/>
                <w:color w:val="auto"/>
              </w:rPr>
            </w:pPr>
          </w:p>
        </w:tc>
        <w:tc>
          <w:tcPr>
            <w:tcW w:w="10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D8EEF4"/>
            </w:tcBorders>
          </w:tcPr>
          <w:p>
            <w:pPr>
              <w:spacing w:after="0" w:line="20" w:lineRule="exact"/>
              <w:rPr>
                <w:sz w:val="1"/>
                <w:szCs w:val="1"/>
                <w:color w:val="auto"/>
              </w:rPr>
            </w:pPr>
          </w:p>
        </w:tc>
        <w:tc>
          <w:tcPr>
            <w:tcW w:w="2060" w:type="dxa"/>
            <w:vAlign w:val="bottom"/>
            <w:tcBorders>
              <w:top w:val="single" w:sz="8" w:color="D8EEF4"/>
            </w:tcBorders>
          </w:tcPr>
          <w:p>
            <w:pPr>
              <w:spacing w:after="0" w:line="20" w:lineRule="exact"/>
              <w:rPr>
                <w:sz w:val="1"/>
                <w:szCs w:val="1"/>
                <w:color w:val="auto"/>
              </w:rPr>
            </w:pPr>
          </w:p>
        </w:tc>
        <w:tc>
          <w:tcPr>
            <w:tcW w:w="820" w:type="dxa"/>
            <w:vAlign w:val="bottom"/>
            <w:tcBorders>
              <w:top w:val="single" w:sz="8" w:color="D8EEF4"/>
            </w:tcBorders>
          </w:tcPr>
          <w:p>
            <w:pPr>
              <w:spacing w:after="0" w:line="20" w:lineRule="exact"/>
              <w:rPr>
                <w:sz w:val="1"/>
                <w:szCs w:val="1"/>
                <w:color w:val="auto"/>
              </w:rPr>
            </w:pPr>
          </w:p>
        </w:tc>
        <w:tc>
          <w:tcPr>
            <w:tcW w:w="1840" w:type="dxa"/>
            <w:vAlign w:val="bottom"/>
            <w:tcBorders>
              <w:top w:val="single" w:sz="8" w:color="D8EEF4"/>
            </w:tcBorders>
          </w:tcPr>
          <w:p>
            <w:pPr>
              <w:spacing w:after="0" w:line="20" w:lineRule="exact"/>
              <w:rPr>
                <w:sz w:val="1"/>
                <w:szCs w:val="1"/>
                <w:color w:val="auto"/>
              </w:rPr>
            </w:pPr>
          </w:p>
        </w:tc>
        <w:tc>
          <w:tcPr>
            <w:tcW w:w="1200" w:type="dxa"/>
            <w:vAlign w:val="bottom"/>
            <w:tcBorders>
              <w:top w:val="single" w:sz="8" w:color="D8EEF4"/>
            </w:tcBorders>
          </w:tcPr>
          <w:p>
            <w:pPr>
              <w:spacing w:after="0" w:line="20" w:lineRule="exact"/>
              <w:rPr>
                <w:sz w:val="1"/>
                <w:szCs w:val="1"/>
                <w:color w:val="auto"/>
              </w:rPr>
            </w:pPr>
          </w:p>
        </w:tc>
        <w:tc>
          <w:tcPr>
            <w:tcW w:w="60" w:type="dxa"/>
            <w:vAlign w:val="bottom"/>
            <w:tcBorders>
              <w:top w:val="single" w:sz="8" w:color="4C4C4E"/>
            </w:tcBorders>
            <w:shd w:val="clear" w:color="auto" w:fill="4C4C4E"/>
          </w:tcPr>
          <w:p>
            <w:pPr>
              <w:spacing w:after="0" w:line="20" w:lineRule="exact"/>
              <w:rPr>
                <w:sz w:val="1"/>
                <w:szCs w:val="1"/>
                <w:color w:val="auto"/>
              </w:rPr>
            </w:pPr>
          </w:p>
        </w:tc>
        <w:tc>
          <w:tcPr>
            <w:tcW w:w="700" w:type="dxa"/>
            <w:vAlign w:val="bottom"/>
            <w:tcBorders>
              <w:top w:val="single" w:sz="8" w:color="4C4C4E"/>
            </w:tcBorders>
            <w:shd w:val="clear" w:color="auto" w:fill="4C4C4E"/>
          </w:tcPr>
          <w:p>
            <w:pPr>
              <w:spacing w:after="0" w:line="20" w:lineRule="exact"/>
              <w:rPr>
                <w:sz w:val="1"/>
                <w:szCs w:val="1"/>
                <w:color w:val="auto"/>
              </w:rPr>
            </w:pPr>
          </w:p>
        </w:tc>
        <w:tc>
          <w:tcPr>
            <w:tcW w:w="40" w:type="dxa"/>
            <w:vAlign w:val="bottom"/>
            <w:tcBorders>
              <w:top w:val="single" w:sz="8" w:color="D8EEF4"/>
            </w:tcBorders>
          </w:tcPr>
          <w:p>
            <w:pPr>
              <w:spacing w:after="0" w:line="20" w:lineRule="exact"/>
              <w:rPr>
                <w:sz w:val="1"/>
                <w:szCs w:val="1"/>
                <w:color w:val="auto"/>
              </w:rPr>
            </w:pPr>
          </w:p>
        </w:tc>
        <w:tc>
          <w:tcPr>
            <w:tcW w:w="100" w:type="dxa"/>
            <w:vAlign w:val="bottom"/>
            <w:tcBorders>
              <w:top w:val="single" w:sz="8" w:color="4C4C4E"/>
            </w:tcBorders>
            <w:shd w:val="clear" w:color="auto" w:fill="4C4C4E"/>
          </w:tcPr>
          <w:p>
            <w:pPr>
              <w:spacing w:after="0" w:line="20" w:lineRule="exact"/>
              <w:rPr>
                <w:sz w:val="1"/>
                <w:szCs w:val="1"/>
                <w:color w:val="auto"/>
              </w:rPr>
            </w:pPr>
          </w:p>
        </w:tc>
        <w:tc>
          <w:tcPr>
            <w:tcW w:w="920" w:type="dxa"/>
            <w:vAlign w:val="bottom"/>
            <w:tcBorders>
              <w:top w:val="single" w:sz="8" w:color="4C4C4E"/>
            </w:tcBorders>
            <w:shd w:val="clear" w:color="auto" w:fill="4C4C4E"/>
          </w:tcPr>
          <w:p>
            <w:pPr>
              <w:spacing w:after="0" w:line="20" w:lineRule="exact"/>
              <w:rPr>
                <w:sz w:val="1"/>
                <w:szCs w:val="1"/>
                <w:color w:val="auto"/>
              </w:rPr>
            </w:pPr>
          </w:p>
        </w:tc>
        <w:tc>
          <w:tcPr>
            <w:tcW w:w="40" w:type="dxa"/>
            <w:vAlign w:val="bottom"/>
            <w:tcBorders>
              <w:top w:val="single" w:sz="8" w:color="D8EEF4"/>
            </w:tcBorders>
            <w:vMerge w:val="restart"/>
          </w:tcPr>
          <w:p>
            <w:pPr>
              <w:spacing w:after="0" w:line="20" w:lineRule="exact"/>
              <w:rPr>
                <w:sz w:val="1"/>
                <w:szCs w:val="1"/>
                <w:color w:val="auto"/>
              </w:rPr>
            </w:pPr>
          </w:p>
        </w:tc>
        <w:tc>
          <w:tcPr>
            <w:tcW w:w="840" w:type="dxa"/>
            <w:vAlign w:val="bottom"/>
            <w:tcBorders>
              <w:top w:val="single" w:sz="8" w:color="4C4C4E"/>
            </w:tcBorders>
            <w:shd w:val="clear" w:color="auto" w:fill="4C4C4E"/>
          </w:tcPr>
          <w:p>
            <w:pPr>
              <w:spacing w:after="0" w:line="20" w:lineRule="exact"/>
              <w:rPr>
                <w:sz w:val="1"/>
                <w:szCs w:val="1"/>
                <w:color w:val="auto"/>
              </w:rPr>
            </w:pPr>
          </w:p>
        </w:tc>
        <w:tc>
          <w:tcPr>
            <w:tcW w:w="160" w:type="dxa"/>
            <w:vAlign w:val="bottom"/>
            <w:tcBorders>
              <w:top w:val="single" w:sz="8" w:color="D8EEF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17,981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21,056</w:t>
            </w:r>
          </w:p>
        </w:tc>
        <w:tc>
          <w:tcPr>
            <w:tcW w:w="40" w:type="dxa"/>
            <w:vAlign w:val="bottom"/>
            <w:vMerge w:val="continue"/>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Marketing Services</w:t>
            </w:r>
          </w:p>
        </w:tc>
        <w:tc>
          <w:tcPr>
            <w:tcW w:w="2060" w:type="dxa"/>
            <w:vAlign w:val="bottom"/>
            <w:tcBorders>
              <w:top w:val="single" w:sz="8" w:color="D8EEF4"/>
            </w:tcBorders>
            <w:shd w:val="clear" w:color="auto" w:fill="D8EEF4"/>
          </w:tcPr>
          <w:p>
            <w:pPr>
              <w:spacing w:after="0"/>
              <w:rPr>
                <w:sz w:val="15"/>
                <w:szCs w:val="15"/>
                <w:color w:val="auto"/>
              </w:rPr>
            </w:pPr>
          </w:p>
        </w:tc>
        <w:tc>
          <w:tcPr>
            <w:tcW w:w="8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right w:val="single" w:sz="8" w:color="D8EEF4"/>
            </w:tcBorders>
            <w:shd w:val="clear" w:color="auto" w:fill="D8EEF4"/>
          </w:tcPr>
          <w:p>
            <w:pPr>
              <w:spacing w:after="0"/>
              <w:rPr>
                <w:sz w:val="15"/>
                <w:szCs w:val="15"/>
                <w:color w:val="auto"/>
              </w:rPr>
            </w:pPr>
          </w:p>
        </w:tc>
        <w:tc>
          <w:tcPr>
            <w:tcW w:w="60" w:type="dxa"/>
            <w:vAlign w:val="bottom"/>
            <w:tcBorders>
              <w:top w:val="single" w:sz="8" w:color="4C4C4E"/>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4C4C4E"/>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Validity, Inc. </w:t>
            </w:r>
            <w:r>
              <w:rPr>
                <w:rFonts w:ascii="Times New Roman" w:cs="Times New Roman" w:eastAsia="Times New Roman" w:hAnsi="Times New Roman"/>
                <w:sz w:val="19"/>
                <w:szCs w:val="19"/>
                <w:color w:val="4C4C4E"/>
                <w:vertAlign w:val="superscript"/>
              </w:rPr>
              <w:t>(11)</w:t>
            </w:r>
          </w:p>
        </w:tc>
        <w:tc>
          <w:tcPr>
            <w:tcW w:w="2060" w:type="dxa"/>
            <w:vAlign w:val="bottom"/>
          </w:tcPr>
          <w:p>
            <w:pPr>
              <w:ind w:left="60"/>
              <w:spacing w:after="0" w:line="171" w:lineRule="exact"/>
              <w:rPr>
                <w:sz w:val="20"/>
                <w:szCs w:val="20"/>
                <w:color w:val="auto"/>
              </w:rPr>
            </w:pPr>
            <w:r>
              <w:rPr>
                <w:rFonts w:ascii="Times New Roman" w:cs="Times New Roman" w:eastAsia="Times New Roman" w:hAnsi="Times New Roman"/>
                <w:sz w:val="15"/>
                <w:szCs w:val="15"/>
                <w:color w:val="4C4C4E"/>
              </w:rPr>
              <w:t>Series A Preferred Shares</w:t>
            </w:r>
          </w:p>
        </w:tc>
        <w:tc>
          <w:tcPr>
            <w:tcW w:w="8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5/31/2018</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3,840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4C4C4E"/>
              </w:rPr>
              <w:t>10,752</w:t>
            </w:r>
          </w:p>
        </w:tc>
        <w:tc>
          <w:tcPr>
            <w:tcW w:w="40" w:type="dxa"/>
            <w:vAlign w:val="bottom"/>
          </w:tcPr>
          <w:p>
            <w:pPr>
              <w:spacing w:after="0"/>
              <w:rPr>
                <w:sz w:val="14"/>
                <w:szCs w:val="14"/>
                <w:color w:val="auto"/>
              </w:rPr>
            </w:pPr>
          </w:p>
        </w:tc>
        <w:tc>
          <w:tcPr>
            <w:tcW w:w="10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(3,840,000 shares)</w:t>
            </w:r>
          </w:p>
        </w:tc>
        <w:tc>
          <w:tcPr>
            <w:tcW w:w="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Oil, Gas and Consumable Fuels</w:t>
            </w:r>
          </w:p>
        </w:tc>
        <w:tc>
          <w:tcPr>
            <w:tcW w:w="2060" w:type="dxa"/>
            <w:vAlign w:val="bottom"/>
            <w:shd w:val="clear" w:color="auto" w:fill="D8EEF4"/>
          </w:tcPr>
          <w:p>
            <w:pPr>
              <w:spacing w:after="0"/>
              <w:rPr>
                <w:sz w:val="16"/>
                <w:szCs w:val="16"/>
                <w:color w:val="auto"/>
              </w:rPr>
            </w:pPr>
          </w:p>
        </w:tc>
        <w:tc>
          <w:tcPr>
            <w:tcW w:w="8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Murchison Oil and Gas, LLC </w:t>
            </w:r>
            <w:r>
              <w:rPr>
                <w:rFonts w:ascii="Times New Roman" w:cs="Times New Roman" w:eastAsia="Times New Roman" w:hAnsi="Times New Roman"/>
                <w:sz w:val="20"/>
                <w:szCs w:val="20"/>
                <w:color w:val="4C4C4E"/>
                <w:vertAlign w:val="superscript"/>
              </w:rPr>
              <w:t>(13)</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Preferred Units (13,355 units)</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4C4C4E"/>
              </w:rPr>
              <w:t>6/30/2022</w:t>
            </w: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2,137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TRP Assets, LLC </w:t>
            </w:r>
            <w:r>
              <w:rPr>
                <w:rFonts w:ascii="Times New Roman" w:cs="Times New Roman" w:eastAsia="Times New Roman" w:hAnsi="Times New Roman"/>
                <w:sz w:val="19"/>
                <w:szCs w:val="19"/>
                <w:color w:val="4C4C4E"/>
                <w:vertAlign w:val="superscript"/>
              </w:rPr>
              <w:t>(13)</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Partnership Interest (1.89%</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8/25/2022</w:t>
            </w: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8,820</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7,475</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00" w:type="dxa"/>
            <w:vAlign w:val="bottom"/>
            <w:tcBorders>
              <w:bottom w:val="single" w:sz="8" w:color="D8EEF4"/>
            </w:tcBorders>
            <w:shd w:val="clear" w:color="auto" w:fill="D8EEF4"/>
          </w:tcPr>
          <w:p>
            <w:pPr>
              <w:spacing w:after="0"/>
              <w:rPr>
                <w:sz w:val="18"/>
                <w:szCs w:val="18"/>
                <w:color w:val="auto"/>
              </w:rPr>
            </w:pPr>
          </w:p>
        </w:tc>
        <w:tc>
          <w:tcPr>
            <w:tcW w:w="2060" w:type="dxa"/>
            <w:vAlign w:val="bottom"/>
            <w:tcBorders>
              <w:bottom w:val="single" w:sz="8" w:color="D8EEF4"/>
            </w:tcBorders>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ownership)</w:t>
            </w:r>
          </w:p>
        </w:tc>
        <w:tc>
          <w:tcPr>
            <w:tcW w:w="820" w:type="dxa"/>
            <w:vAlign w:val="bottom"/>
            <w:tcBorders>
              <w:bottom w:val="single" w:sz="8" w:color="D8EEF4"/>
            </w:tcBorders>
            <w:shd w:val="clear" w:color="auto" w:fill="D8EEF4"/>
          </w:tcPr>
          <w:p>
            <w:pPr>
              <w:spacing w:after="0"/>
              <w:rPr>
                <w:sz w:val="18"/>
                <w:szCs w:val="18"/>
                <w:color w:val="auto"/>
              </w:rPr>
            </w:pPr>
          </w:p>
        </w:tc>
        <w:tc>
          <w:tcPr>
            <w:tcW w:w="1840" w:type="dxa"/>
            <w:vAlign w:val="bottom"/>
            <w:tcBorders>
              <w:bottom w:val="single" w:sz="8" w:color="D8EEF4"/>
            </w:tcBorders>
            <w:shd w:val="clear" w:color="auto" w:fill="D8EEF4"/>
          </w:tcPr>
          <w:p>
            <w:pPr>
              <w:spacing w:after="0"/>
              <w:rPr>
                <w:sz w:val="18"/>
                <w:szCs w:val="18"/>
                <w:color w:val="auto"/>
              </w:rPr>
            </w:pPr>
          </w:p>
        </w:tc>
        <w:tc>
          <w:tcPr>
            <w:tcW w:w="1200" w:type="dxa"/>
            <w:vAlign w:val="bottom"/>
            <w:tcBorders>
              <w:bottom w:val="single" w:sz="8" w:color="D8EEF4"/>
              <w:right w:val="single" w:sz="8" w:color="D8EEF4"/>
            </w:tcBorders>
            <w:shd w:val="clear" w:color="auto" w:fill="D8EEF4"/>
          </w:tcPr>
          <w:p>
            <w:pPr>
              <w:spacing w:after="0"/>
              <w:rPr>
                <w:sz w:val="18"/>
                <w:szCs w:val="18"/>
                <w:color w:val="auto"/>
              </w:rPr>
            </w:pPr>
          </w:p>
        </w:tc>
        <w:tc>
          <w:tcPr>
            <w:tcW w:w="60" w:type="dxa"/>
            <w:vAlign w:val="bottom"/>
            <w:tcBorders>
              <w:bottom w:val="single" w:sz="8" w:color="4C4C4E"/>
            </w:tcBorders>
            <w:shd w:val="clear" w:color="auto" w:fill="D8EEF4"/>
          </w:tcPr>
          <w:p>
            <w:pPr>
              <w:spacing w:after="0"/>
              <w:rPr>
                <w:sz w:val="18"/>
                <w:szCs w:val="18"/>
                <w:color w:val="auto"/>
              </w:rPr>
            </w:pPr>
          </w:p>
        </w:tc>
        <w:tc>
          <w:tcPr>
            <w:tcW w:w="70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92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8,820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9,612</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Pharmaceuticals</w:t>
            </w:r>
          </w:p>
        </w:tc>
        <w:tc>
          <w:tcPr>
            <w:tcW w:w="2060" w:type="dxa"/>
            <w:vAlign w:val="bottom"/>
            <w:tcBorders>
              <w:top w:val="single" w:sz="8" w:color="D8EEF4"/>
            </w:tcBorders>
            <w:shd w:val="clear" w:color="auto" w:fill="D8EEF4"/>
          </w:tcPr>
          <w:p>
            <w:pPr>
              <w:spacing w:after="0"/>
              <w:rPr>
                <w:sz w:val="15"/>
                <w:szCs w:val="15"/>
                <w:color w:val="auto"/>
              </w:rPr>
            </w:pPr>
          </w:p>
        </w:tc>
        <w:tc>
          <w:tcPr>
            <w:tcW w:w="8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right w:val="single" w:sz="8" w:color="D8EEF4"/>
            </w:tcBorders>
            <w:shd w:val="clear" w:color="auto" w:fill="D8EEF4"/>
          </w:tcPr>
          <w:p>
            <w:pPr>
              <w:spacing w:after="0"/>
              <w:rPr>
                <w:sz w:val="15"/>
                <w:szCs w:val="15"/>
                <w:color w:val="auto"/>
              </w:rPr>
            </w:pPr>
          </w:p>
        </w:tc>
        <w:tc>
          <w:tcPr>
            <w:tcW w:w="60" w:type="dxa"/>
            <w:vAlign w:val="bottom"/>
            <w:tcBorders>
              <w:top w:val="single" w:sz="8" w:color="4C4C4E"/>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4C4C4E"/>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bottom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100" w:type="dxa"/>
            <w:vAlign w:val="bottom"/>
          </w:tcPr>
          <w:p>
            <w:pPr>
              <w:spacing w:after="0" w:line="166" w:lineRule="exact"/>
              <w:rPr>
                <w:sz w:val="20"/>
                <w:szCs w:val="20"/>
                <w:color w:val="auto"/>
              </w:rPr>
            </w:pPr>
            <w:r>
              <w:rPr>
                <w:rFonts w:ascii="Times New Roman" w:cs="Times New Roman" w:eastAsia="Times New Roman" w:hAnsi="Times New Roman"/>
                <w:sz w:val="14"/>
                <w:szCs w:val="14"/>
                <w:color w:val="4C4C4E"/>
              </w:rPr>
              <w:t xml:space="preserve">TherapeuticsMD, Inc. </w:t>
            </w:r>
            <w:r>
              <w:rPr>
                <w:rFonts w:ascii="Times New Roman" w:cs="Times New Roman" w:eastAsia="Times New Roman" w:hAnsi="Times New Roman"/>
                <w:sz w:val="19"/>
                <w:szCs w:val="19"/>
                <w:color w:val="4C4C4E"/>
                <w:vertAlign w:val="superscript"/>
              </w:rPr>
              <w:t>(4)(11)</w:t>
            </w:r>
          </w:p>
        </w:tc>
        <w:tc>
          <w:tcPr>
            <w:tcW w:w="206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4C4C4E"/>
              </w:rPr>
              <w:t>Warrants (14,256 warrants)</w:t>
            </w:r>
          </w:p>
        </w:tc>
        <w:tc>
          <w:tcPr>
            <w:tcW w:w="820" w:type="dxa"/>
            <w:vAlign w:val="bottom"/>
          </w:tcPr>
          <w:p>
            <w:pPr>
              <w:jc w:val="right"/>
              <w:ind w:right="25"/>
              <w:spacing w:after="0" w:line="167" w:lineRule="exact"/>
              <w:rPr>
                <w:sz w:val="20"/>
                <w:szCs w:val="20"/>
                <w:color w:val="auto"/>
              </w:rPr>
            </w:pPr>
            <w:r>
              <w:rPr>
                <w:rFonts w:ascii="Times New Roman" w:cs="Times New Roman" w:eastAsia="Times New Roman" w:hAnsi="Times New Roman"/>
                <w:sz w:val="15"/>
                <w:szCs w:val="15"/>
                <w:color w:val="4C4C4E"/>
              </w:rPr>
              <w:t>8/5/2020</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4C4C4E"/>
              </w:rPr>
              <w:t>1,029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4"/>
                <w:szCs w:val="14"/>
                <w:color w:val="auto"/>
              </w:rPr>
            </w:pPr>
          </w:p>
        </w:tc>
        <w:tc>
          <w:tcPr>
            <w:tcW w:w="10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Elysium BidCo Limited </w:t>
            </w:r>
            <w:r>
              <w:rPr>
                <w:rFonts w:ascii="Times New Roman" w:cs="Times New Roman" w:eastAsia="Times New Roman" w:hAnsi="Times New Roman"/>
                <w:sz w:val="19"/>
                <w:szCs w:val="19"/>
                <w:color w:val="4C4C4E"/>
                <w:vertAlign w:val="superscript"/>
              </w:rPr>
              <w:t>(4)(11)(12)</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Convertible Preference Shares</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12/11/2024</w:t>
            </w: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6,341</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6,341</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00" w:type="dxa"/>
            <w:vAlign w:val="bottom"/>
            <w:tcBorders>
              <w:bottom w:val="single" w:sz="8" w:color="D8EEF4"/>
            </w:tcBorders>
            <w:shd w:val="clear" w:color="auto" w:fill="D8EEF4"/>
          </w:tcPr>
          <w:p>
            <w:pPr>
              <w:spacing w:after="0"/>
              <w:rPr>
                <w:sz w:val="18"/>
                <w:szCs w:val="18"/>
                <w:color w:val="auto"/>
              </w:rPr>
            </w:pPr>
          </w:p>
        </w:tc>
        <w:tc>
          <w:tcPr>
            <w:tcW w:w="2060" w:type="dxa"/>
            <w:vAlign w:val="bottom"/>
            <w:tcBorders>
              <w:bottom w:val="single" w:sz="8" w:color="D8EEF4"/>
            </w:tcBorders>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(4,976,563 Shares)</w:t>
            </w:r>
          </w:p>
        </w:tc>
        <w:tc>
          <w:tcPr>
            <w:tcW w:w="820" w:type="dxa"/>
            <w:vAlign w:val="bottom"/>
            <w:tcBorders>
              <w:bottom w:val="single" w:sz="8" w:color="D8EEF4"/>
            </w:tcBorders>
            <w:shd w:val="clear" w:color="auto" w:fill="D8EEF4"/>
          </w:tcPr>
          <w:p>
            <w:pPr>
              <w:spacing w:after="0"/>
              <w:rPr>
                <w:sz w:val="18"/>
                <w:szCs w:val="18"/>
                <w:color w:val="auto"/>
              </w:rPr>
            </w:pPr>
          </w:p>
        </w:tc>
        <w:tc>
          <w:tcPr>
            <w:tcW w:w="1840" w:type="dxa"/>
            <w:vAlign w:val="bottom"/>
            <w:tcBorders>
              <w:bottom w:val="single" w:sz="8" w:color="D8EEF4"/>
            </w:tcBorders>
            <w:shd w:val="clear" w:color="auto" w:fill="D8EEF4"/>
          </w:tcPr>
          <w:p>
            <w:pPr>
              <w:spacing w:after="0"/>
              <w:rPr>
                <w:sz w:val="18"/>
                <w:szCs w:val="18"/>
                <w:color w:val="auto"/>
              </w:rPr>
            </w:pPr>
          </w:p>
        </w:tc>
        <w:tc>
          <w:tcPr>
            <w:tcW w:w="1200" w:type="dxa"/>
            <w:vAlign w:val="bottom"/>
            <w:tcBorders>
              <w:bottom w:val="single" w:sz="8" w:color="D8EEF4"/>
              <w:right w:val="single" w:sz="8" w:color="D8EEF4"/>
            </w:tcBorders>
            <w:shd w:val="clear" w:color="auto" w:fill="D8EEF4"/>
          </w:tcPr>
          <w:p>
            <w:pPr>
              <w:spacing w:after="0"/>
              <w:rPr>
                <w:sz w:val="18"/>
                <w:szCs w:val="18"/>
                <w:color w:val="auto"/>
              </w:rPr>
            </w:pPr>
          </w:p>
        </w:tc>
        <w:tc>
          <w:tcPr>
            <w:tcW w:w="60" w:type="dxa"/>
            <w:vAlign w:val="bottom"/>
            <w:tcBorders>
              <w:bottom w:val="single" w:sz="8" w:color="D8EEF4"/>
            </w:tcBorders>
            <w:shd w:val="clear" w:color="auto" w:fill="D8EEF4"/>
          </w:tcPr>
          <w:p>
            <w:pPr>
              <w:spacing w:after="0"/>
              <w:rPr>
                <w:sz w:val="18"/>
                <w:szCs w:val="18"/>
                <w:color w:val="auto"/>
              </w:rPr>
            </w:pPr>
          </w:p>
        </w:tc>
        <w:tc>
          <w:tcPr>
            <w:tcW w:w="70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D8EEF4"/>
            </w:tcBorders>
            <w:shd w:val="clear" w:color="auto" w:fill="D8EEF4"/>
          </w:tcPr>
          <w:p>
            <w:pPr>
              <w:spacing w:after="0"/>
              <w:rPr>
                <w:sz w:val="18"/>
                <w:szCs w:val="18"/>
                <w:color w:val="auto"/>
              </w:rPr>
            </w:pPr>
          </w:p>
        </w:tc>
        <w:tc>
          <w:tcPr>
            <w:tcW w:w="9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(GBP 5,063)</w:t>
            </w: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7,370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6,341</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Retail and Consumer Products</w:t>
            </w:r>
          </w:p>
        </w:tc>
        <w:tc>
          <w:tcPr>
            <w:tcW w:w="2060" w:type="dxa"/>
            <w:vAlign w:val="bottom"/>
            <w:tcBorders>
              <w:top w:val="single" w:sz="8" w:color="D8EEF4"/>
            </w:tcBorders>
            <w:shd w:val="clear" w:color="auto" w:fill="D8EEF4"/>
          </w:tcPr>
          <w:p>
            <w:pPr>
              <w:spacing w:after="0"/>
              <w:rPr>
                <w:sz w:val="15"/>
                <w:szCs w:val="15"/>
                <w:color w:val="auto"/>
              </w:rPr>
            </w:pPr>
          </w:p>
        </w:tc>
        <w:tc>
          <w:tcPr>
            <w:tcW w:w="820" w:type="dxa"/>
            <w:vAlign w:val="bottom"/>
            <w:tcBorders>
              <w:top w:val="single" w:sz="8" w:color="D8EEF4"/>
            </w:tcBorders>
            <w:shd w:val="clear" w:color="auto" w:fill="D8EEF4"/>
          </w:tcPr>
          <w:p>
            <w:pPr>
              <w:spacing w:after="0"/>
              <w:rPr>
                <w:sz w:val="15"/>
                <w:szCs w:val="15"/>
                <w:color w:val="auto"/>
              </w:rPr>
            </w:pPr>
          </w:p>
        </w:tc>
        <w:tc>
          <w:tcPr>
            <w:tcW w:w="1840" w:type="dxa"/>
            <w:vAlign w:val="bottom"/>
            <w:tcBorders>
              <w:top w:val="single" w:sz="8" w:color="D8EEF4"/>
            </w:tcBorders>
            <w:shd w:val="clear" w:color="auto" w:fill="D8EEF4"/>
          </w:tcPr>
          <w:p>
            <w:pPr>
              <w:spacing w:after="0"/>
              <w:rPr>
                <w:sz w:val="15"/>
                <w:szCs w:val="15"/>
                <w:color w:val="auto"/>
              </w:rPr>
            </w:pPr>
          </w:p>
        </w:tc>
        <w:tc>
          <w:tcPr>
            <w:tcW w:w="1200" w:type="dxa"/>
            <w:vAlign w:val="bottom"/>
            <w:tcBorders>
              <w:top w:val="single" w:sz="8" w:color="D8EEF4"/>
              <w:right w:val="single" w:sz="8" w:color="D8EEF4"/>
            </w:tcBorders>
            <w:shd w:val="clear" w:color="auto" w:fill="D8EEF4"/>
          </w:tcPr>
          <w:p>
            <w:pPr>
              <w:spacing w:after="0"/>
              <w:rPr>
                <w:sz w:val="15"/>
                <w:szCs w:val="15"/>
                <w:color w:val="auto"/>
              </w:rPr>
            </w:pPr>
          </w:p>
        </w:tc>
        <w:tc>
          <w:tcPr>
            <w:tcW w:w="60" w:type="dxa"/>
            <w:vAlign w:val="bottom"/>
            <w:tcBorders>
              <w:top w:val="single" w:sz="8" w:color="D8EEF4"/>
            </w:tcBorders>
            <w:shd w:val="clear" w:color="auto" w:fill="D8EEF4"/>
          </w:tcPr>
          <w:p>
            <w:pPr>
              <w:spacing w:after="0"/>
              <w:rPr>
                <w:sz w:val="15"/>
                <w:szCs w:val="15"/>
                <w:color w:val="auto"/>
              </w:rPr>
            </w:pPr>
          </w:p>
        </w:tc>
        <w:tc>
          <w:tcPr>
            <w:tcW w:w="70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D8EEF4"/>
            </w:tcBorders>
            <w:shd w:val="clear" w:color="auto" w:fill="D8EEF4"/>
          </w:tcPr>
          <w:p>
            <w:pPr>
              <w:spacing w:after="0"/>
              <w:rPr>
                <w:sz w:val="15"/>
                <w:szCs w:val="15"/>
                <w:color w:val="auto"/>
              </w:rPr>
            </w:pPr>
          </w:p>
        </w:tc>
        <w:tc>
          <w:tcPr>
            <w:tcW w:w="9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840" w:type="dxa"/>
            <w:vAlign w:val="bottom"/>
            <w:tcBorders>
              <w:top w:val="single" w:sz="8" w:color="4C4C4E"/>
            </w:tcBorders>
            <w:shd w:val="clear" w:color="auto" w:fill="D8EEF4"/>
          </w:tcPr>
          <w:p>
            <w:pPr>
              <w:spacing w:after="0"/>
              <w:rPr>
                <w:sz w:val="15"/>
                <w:szCs w:val="15"/>
                <w:color w:val="auto"/>
              </w:rPr>
            </w:pPr>
          </w:p>
        </w:tc>
        <w:tc>
          <w:tcPr>
            <w:tcW w:w="16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w w:val="98"/>
              </w:rPr>
              <w:t xml:space="preserve">American Achievement, Corp. </w:t>
            </w:r>
            <w:r>
              <w:rPr>
                <w:rFonts w:ascii="Times New Roman" w:cs="Times New Roman" w:eastAsia="Times New Roman" w:hAnsi="Times New Roman"/>
                <w:sz w:val="20"/>
                <w:szCs w:val="20"/>
                <w:color w:val="4C4C4E"/>
                <w:w w:val="98"/>
                <w:vertAlign w:val="superscript"/>
              </w:rPr>
              <w:t>(11)</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Class A Units (687 units)</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4C4C4E"/>
              </w:rPr>
              <w:t>3/16/2021</w:t>
            </w: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50</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4"/>
                <w:szCs w:val="14"/>
                <w:color w:val="4C4C4E"/>
              </w:rPr>
              <w:t xml:space="preserve">Copper Bidco, LLC </w:t>
            </w:r>
            <w:r>
              <w:rPr>
                <w:rFonts w:ascii="Times New Roman" w:cs="Times New Roman" w:eastAsia="Times New Roman" w:hAnsi="Times New Roman"/>
                <w:sz w:val="19"/>
                <w:szCs w:val="19"/>
                <w:color w:val="4C4C4E"/>
                <w:vertAlign w:val="superscript"/>
              </w:rPr>
              <w:t>(9)</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Trust Certificates (996,958</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1/30/2021</w:t>
            </w: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1,751</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11,963</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D8EEF4"/>
          </w:tcPr>
          <w:p>
            <w:pPr>
              <w:spacing w:after="0"/>
              <w:rPr>
                <w:sz w:val="16"/>
                <w:szCs w:val="16"/>
                <w:color w:val="auto"/>
              </w:rPr>
            </w:pPr>
          </w:p>
        </w:tc>
        <w:tc>
          <w:tcPr>
            <w:tcW w:w="2060" w:type="dxa"/>
            <w:vAlign w:val="bottom"/>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Certificates)</w:t>
            </w:r>
          </w:p>
        </w:tc>
        <w:tc>
          <w:tcPr>
            <w:tcW w:w="820" w:type="dxa"/>
            <w:vAlign w:val="bottom"/>
            <w:shd w:val="clear" w:color="auto" w:fill="D8EEF4"/>
          </w:tcPr>
          <w:p>
            <w:pPr>
              <w:spacing w:after="0"/>
              <w:rPr>
                <w:sz w:val="16"/>
                <w:szCs w:val="16"/>
                <w:color w:val="auto"/>
              </w:rPr>
            </w:pPr>
          </w:p>
        </w:tc>
        <w:tc>
          <w:tcPr>
            <w:tcW w:w="1840" w:type="dxa"/>
            <w:vAlign w:val="bottom"/>
            <w:shd w:val="clear" w:color="auto" w:fill="D8EEF4"/>
          </w:tcPr>
          <w:p>
            <w:pPr>
              <w:spacing w:after="0"/>
              <w:rPr>
                <w:sz w:val="16"/>
                <w:szCs w:val="16"/>
                <w:color w:val="auto"/>
              </w:rPr>
            </w:pPr>
          </w:p>
        </w:tc>
        <w:tc>
          <w:tcPr>
            <w:tcW w:w="1200" w:type="dxa"/>
            <w:vAlign w:val="bottom"/>
            <w:tcBorders>
              <w:right w:val="single" w:sz="8" w:color="D8EEF4"/>
            </w:tcBorders>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9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line="186" w:lineRule="exact"/>
              <w:rPr>
                <w:sz w:val="20"/>
                <w:szCs w:val="20"/>
                <w:color w:val="auto"/>
              </w:rPr>
            </w:pPr>
            <w:r>
              <w:rPr>
                <w:rFonts w:ascii="Times New Roman" w:cs="Times New Roman" w:eastAsia="Times New Roman" w:hAnsi="Times New Roman"/>
                <w:sz w:val="15"/>
                <w:szCs w:val="15"/>
                <w:color w:val="4C4C4E"/>
              </w:rPr>
              <w:t xml:space="preserve">Neuintel, LLC </w:t>
            </w:r>
            <w:r>
              <w:rPr>
                <w:rFonts w:ascii="Times New Roman" w:cs="Times New Roman" w:eastAsia="Times New Roman" w:hAnsi="Times New Roman"/>
                <w:sz w:val="20"/>
                <w:szCs w:val="20"/>
                <w:color w:val="4C4C4E"/>
                <w:vertAlign w:val="superscript"/>
              </w:rPr>
              <w:t>(11)(13)</w:t>
            </w:r>
          </w:p>
        </w:tc>
        <w:tc>
          <w:tcPr>
            <w:tcW w:w="2060" w:type="dxa"/>
            <w:vAlign w:val="bottom"/>
          </w:tcPr>
          <w:p>
            <w:pPr>
              <w:ind w:left="60"/>
              <w:spacing w:after="0"/>
              <w:rPr>
                <w:sz w:val="20"/>
                <w:szCs w:val="20"/>
                <w:color w:val="auto"/>
              </w:rPr>
            </w:pPr>
            <w:r>
              <w:rPr>
                <w:rFonts w:ascii="Times New Roman" w:cs="Times New Roman" w:eastAsia="Times New Roman" w:hAnsi="Times New Roman"/>
                <w:sz w:val="15"/>
                <w:szCs w:val="15"/>
                <w:color w:val="4C4C4E"/>
              </w:rPr>
              <w:t>Class A Units (1,176,494 units)</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4C4C4E"/>
              </w:rPr>
              <w:t>12/20/2021</w:t>
            </w: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578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4C4C4E"/>
              </w:rPr>
              <w:t>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tcBorders>
              <w:top w:val="single" w:sz="8" w:color="D8EEF4"/>
              <w:bottom w:val="single" w:sz="8" w:color="D8EEF4"/>
            </w:tcBorders>
            <w:shd w:val="clear" w:color="auto" w:fill="D8EEF4"/>
          </w:tcPr>
          <w:p>
            <w:pPr>
              <w:spacing w:after="0"/>
              <w:rPr>
                <w:sz w:val="17"/>
                <w:szCs w:val="17"/>
                <w:color w:val="auto"/>
              </w:rPr>
            </w:pPr>
          </w:p>
        </w:tc>
        <w:tc>
          <w:tcPr>
            <w:tcW w:w="2060" w:type="dxa"/>
            <w:vAlign w:val="bottom"/>
            <w:tcBorders>
              <w:top w:val="single" w:sz="8" w:color="D8EEF4"/>
              <w:bottom w:val="single" w:sz="8" w:color="D8EEF4"/>
            </w:tcBorders>
            <w:shd w:val="clear" w:color="auto" w:fill="D8EEF4"/>
          </w:tcPr>
          <w:p>
            <w:pPr>
              <w:spacing w:after="0"/>
              <w:rPr>
                <w:sz w:val="17"/>
                <w:szCs w:val="17"/>
                <w:color w:val="auto"/>
              </w:rPr>
            </w:pPr>
          </w:p>
        </w:tc>
        <w:tc>
          <w:tcPr>
            <w:tcW w:w="820" w:type="dxa"/>
            <w:vAlign w:val="bottom"/>
            <w:tcBorders>
              <w:top w:val="single" w:sz="8" w:color="D8EEF4"/>
              <w:bottom w:val="single" w:sz="8" w:color="D8EEF4"/>
            </w:tcBorders>
            <w:shd w:val="clear" w:color="auto" w:fill="D8EEF4"/>
          </w:tcPr>
          <w:p>
            <w:pPr>
              <w:spacing w:after="0"/>
              <w:rPr>
                <w:sz w:val="17"/>
                <w:szCs w:val="17"/>
                <w:color w:val="auto"/>
              </w:rPr>
            </w:pPr>
          </w:p>
        </w:tc>
        <w:tc>
          <w:tcPr>
            <w:tcW w:w="1840" w:type="dxa"/>
            <w:vAlign w:val="bottom"/>
            <w:tcBorders>
              <w:top w:val="single" w:sz="8" w:color="D8EEF4"/>
              <w:bottom w:val="single" w:sz="8" w:color="D8EEF4"/>
            </w:tcBorders>
            <w:shd w:val="clear" w:color="auto" w:fill="D8EEF4"/>
          </w:tcPr>
          <w:p>
            <w:pPr>
              <w:spacing w:after="0"/>
              <w:rPr>
                <w:sz w:val="17"/>
                <w:szCs w:val="17"/>
                <w:color w:val="auto"/>
              </w:rPr>
            </w:pPr>
          </w:p>
        </w:tc>
        <w:tc>
          <w:tcPr>
            <w:tcW w:w="1200" w:type="dxa"/>
            <w:vAlign w:val="bottom"/>
            <w:tcBorders>
              <w:top w:val="single" w:sz="8" w:color="D8EEF4"/>
              <w:bottom w:val="single" w:sz="8" w:color="D8EEF4"/>
              <w:right w:val="single" w:sz="8" w:color="D8EEF4"/>
            </w:tcBorders>
            <w:shd w:val="clear" w:color="auto" w:fill="D8EEF4"/>
          </w:tcPr>
          <w:p>
            <w:pPr>
              <w:spacing w:after="0"/>
              <w:rPr>
                <w:sz w:val="17"/>
                <w:szCs w:val="17"/>
                <w:color w:val="auto"/>
              </w:rPr>
            </w:pPr>
          </w:p>
        </w:tc>
        <w:tc>
          <w:tcPr>
            <w:tcW w:w="60" w:type="dxa"/>
            <w:vAlign w:val="bottom"/>
            <w:tcBorders>
              <w:top w:val="single" w:sz="8" w:color="4C4C4E"/>
              <w:bottom w:val="single" w:sz="8" w:color="4C4C4E"/>
            </w:tcBorders>
            <w:shd w:val="clear" w:color="auto" w:fill="D8EEF4"/>
          </w:tcPr>
          <w:p>
            <w:pPr>
              <w:spacing w:after="0"/>
              <w:rPr>
                <w:sz w:val="17"/>
                <w:szCs w:val="17"/>
                <w:color w:val="auto"/>
              </w:rPr>
            </w:pPr>
          </w:p>
        </w:tc>
        <w:tc>
          <w:tcPr>
            <w:tcW w:w="7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4,751</w:t>
            </w:r>
          </w:p>
        </w:tc>
        <w:tc>
          <w:tcPr>
            <w:tcW w:w="40" w:type="dxa"/>
            <w:vAlign w:val="bottom"/>
            <w:tcBorders>
              <w:top w:val="single" w:sz="8" w:color="D8EEF4"/>
              <w:bottom w:val="single" w:sz="8" w:color="D8EEF4"/>
            </w:tcBorders>
            <w:shd w:val="clear" w:color="auto" w:fill="D8EEF4"/>
          </w:tcPr>
          <w:p>
            <w:pPr>
              <w:spacing w:after="0"/>
              <w:rPr>
                <w:sz w:val="17"/>
                <w:szCs w:val="17"/>
                <w:color w:val="auto"/>
              </w:rPr>
            </w:pPr>
          </w:p>
        </w:tc>
        <w:tc>
          <w:tcPr>
            <w:tcW w:w="100" w:type="dxa"/>
            <w:vAlign w:val="bottom"/>
            <w:tcBorders>
              <w:top w:val="single" w:sz="8" w:color="4C4C4E"/>
              <w:bottom w:val="single" w:sz="8" w:color="4C4C4E"/>
            </w:tcBorders>
            <w:shd w:val="clear" w:color="auto" w:fill="D8EEF4"/>
          </w:tcPr>
          <w:p>
            <w:pPr>
              <w:spacing w:after="0"/>
              <w:rPr>
                <w:sz w:val="17"/>
                <w:szCs w:val="17"/>
                <w:color w:val="auto"/>
              </w:rPr>
            </w:pPr>
          </w:p>
        </w:tc>
        <w:tc>
          <w:tcPr>
            <w:tcW w:w="9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12,591</w:t>
            </w:r>
          </w:p>
        </w:tc>
        <w:tc>
          <w:tcPr>
            <w:tcW w:w="40" w:type="dxa"/>
            <w:vAlign w:val="bottom"/>
            <w:tcBorders>
              <w:top w:val="single" w:sz="8" w:color="D8EEF4"/>
              <w:bottom w:val="single" w:sz="8" w:color="D8EEF4"/>
            </w:tcBorders>
            <w:shd w:val="clear" w:color="auto" w:fill="D8EEF4"/>
          </w:tcPr>
          <w:p>
            <w:pPr>
              <w:spacing w:after="0"/>
              <w:rPr>
                <w:sz w:val="17"/>
                <w:szCs w:val="17"/>
                <w:color w:val="auto"/>
              </w:rPr>
            </w:pPr>
          </w:p>
        </w:tc>
        <w:tc>
          <w:tcPr>
            <w:tcW w:w="8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0.8</w:t>
            </w:r>
          </w:p>
        </w:tc>
        <w:tc>
          <w:tcPr>
            <w:tcW w:w="160" w:type="dxa"/>
            <w:vAlign w:val="bottom"/>
            <w:tcBorders>
              <w:top w:val="single" w:sz="8" w:color="D8EEF4"/>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w w:val="79"/>
                <w:shd w:val="clear" w:color="auto" w:fill="D8EEF4"/>
              </w:rPr>
              <w:t>%</w:t>
            </w:r>
          </w:p>
        </w:tc>
        <w:tc>
          <w:tcPr>
            <w:tcW w:w="20" w:type="dxa"/>
            <w:vAlign w:val="bottom"/>
            <w:tcBorders>
              <w:top w:val="single" w:sz="8" w:color="D8EEF4"/>
              <w:bottom w:val="single" w:sz="8" w:color="D8EEF4"/>
            </w:tcBorders>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Structured Credit</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D8EEF4"/>
          </w:tcPr>
          <w:p>
            <w:pPr>
              <w:spacing w:after="0" w:line="171" w:lineRule="exact"/>
              <w:rPr>
                <w:sz w:val="20"/>
                <w:szCs w:val="20"/>
                <w:color w:val="auto"/>
              </w:rPr>
            </w:pPr>
            <w:r>
              <w:rPr>
                <w:rFonts w:ascii="Times New Roman" w:cs="Times New Roman" w:eastAsia="Times New Roman" w:hAnsi="Times New Roman"/>
                <w:sz w:val="15"/>
                <w:szCs w:val="15"/>
                <w:color w:val="4C4C4E"/>
              </w:rPr>
              <w:t>Dryden Senior Loan Fund, Series</w:t>
            </w:r>
          </w:p>
        </w:tc>
        <w:tc>
          <w:tcPr>
            <w:tcW w:w="2060" w:type="dxa"/>
            <w:vAlign w:val="bottom"/>
            <w:shd w:val="clear" w:color="auto" w:fill="D8EEF4"/>
          </w:tcPr>
          <w:p>
            <w:pPr>
              <w:ind w:left="60"/>
              <w:spacing w:after="0" w:line="171" w:lineRule="exact"/>
              <w:rPr>
                <w:sz w:val="20"/>
                <w:szCs w:val="20"/>
                <w:color w:val="auto"/>
              </w:rPr>
            </w:pPr>
            <w:r>
              <w:rPr>
                <w:rFonts w:ascii="Times New Roman" w:cs="Times New Roman" w:eastAsia="Times New Roman" w:hAnsi="Times New Roman"/>
                <w:sz w:val="15"/>
                <w:szCs w:val="15"/>
                <w:color w:val="4C4C4E"/>
              </w:rPr>
              <w:t>Structured Credit ($1,500 par,</w:t>
            </w:r>
          </w:p>
        </w:tc>
        <w:tc>
          <w:tcPr>
            <w:tcW w:w="820" w:type="dxa"/>
            <w:vAlign w:val="bottom"/>
            <w:shd w:val="clear" w:color="auto" w:fill="D8EEF4"/>
          </w:tcPr>
          <w:p>
            <w:pPr>
              <w:jc w:val="right"/>
              <w:ind w:right="25"/>
              <w:spacing w:after="0" w:line="171" w:lineRule="exact"/>
              <w:rPr>
                <w:sz w:val="20"/>
                <w:szCs w:val="20"/>
                <w:color w:val="auto"/>
              </w:rPr>
            </w:pPr>
            <w:r>
              <w:rPr>
                <w:rFonts w:ascii="Times New Roman" w:cs="Times New Roman" w:eastAsia="Times New Roman" w:hAnsi="Times New Roman"/>
                <w:sz w:val="15"/>
                <w:szCs w:val="15"/>
                <w:color w:val="4C4C4E"/>
              </w:rPr>
              <w:t>8/17/2022</w:t>
            </w:r>
          </w:p>
        </w:tc>
        <w:tc>
          <w:tcPr>
            <w:tcW w:w="1840" w:type="dxa"/>
            <w:vAlign w:val="bottom"/>
            <w:shd w:val="clear" w:color="auto" w:fill="D8EEF4"/>
          </w:tcPr>
          <w:p>
            <w:pPr>
              <w:jc w:val="right"/>
              <w:ind w:right="745"/>
              <w:spacing w:after="0" w:line="171" w:lineRule="exact"/>
              <w:rPr>
                <w:sz w:val="20"/>
                <w:szCs w:val="20"/>
                <w:color w:val="auto"/>
              </w:rPr>
            </w:pPr>
            <w:r>
              <w:rPr>
                <w:rFonts w:ascii="Times New Roman" w:cs="Times New Roman" w:eastAsia="Times New Roman" w:hAnsi="Times New Roman"/>
                <w:sz w:val="15"/>
                <w:szCs w:val="15"/>
                <w:color w:val="4C4C4E"/>
              </w:rPr>
              <w:t>SOFR + 6.76%</w:t>
            </w:r>
          </w:p>
        </w:tc>
        <w:tc>
          <w:tcPr>
            <w:tcW w:w="1200" w:type="dxa"/>
            <w:vAlign w:val="bottom"/>
            <w:tcBorders>
              <w:right w:val="single" w:sz="8" w:color="D8EEF4"/>
            </w:tcBorders>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11.41%</w:t>
            </w: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1,500</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1,472</w:t>
            </w:r>
          </w:p>
        </w:tc>
        <w:tc>
          <w:tcPr>
            <w:tcW w:w="1040" w:type="dxa"/>
            <w:vAlign w:val="bottom"/>
            <w:gridSpan w:val="3"/>
            <w:shd w:val="clear" w:color="auto" w:fill="D8EEF4"/>
          </w:tcPr>
          <w:p>
            <w:pPr>
              <w:jc w:val="right"/>
              <w:spacing w:after="0" w:line="171" w:lineRule="exact"/>
              <w:rPr>
                <w:sz w:val="20"/>
                <w:szCs w:val="20"/>
                <w:color w:val="auto"/>
              </w:rPr>
            </w:pPr>
            <w:r>
              <w:rPr>
                <w:rFonts w:ascii="Times New Roman" w:cs="Times New Roman" w:eastAsia="Times New Roman" w:hAnsi="Times New Roman"/>
                <w:sz w:val="15"/>
                <w:szCs w:val="15"/>
                <w:color w:val="4C4C4E"/>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00" w:type="dxa"/>
            <w:vAlign w:val="bottom"/>
            <w:tcBorders>
              <w:bottom w:val="single" w:sz="8" w:color="D8EEF4"/>
            </w:tcBorders>
            <w:shd w:val="clear" w:color="auto" w:fill="D8EEF4"/>
          </w:tcPr>
          <w:p>
            <w:pPr>
              <w:spacing w:after="0" w:line="188" w:lineRule="exact"/>
              <w:rPr>
                <w:sz w:val="20"/>
                <w:szCs w:val="20"/>
                <w:color w:val="auto"/>
              </w:rPr>
            </w:pPr>
            <w:r>
              <w:rPr>
                <w:rFonts w:ascii="Times New Roman" w:cs="Times New Roman" w:eastAsia="Times New Roman" w:hAnsi="Times New Roman"/>
                <w:sz w:val="21"/>
                <w:szCs w:val="21"/>
                <w:color w:val="4C4C4E"/>
                <w:vertAlign w:val="subscript"/>
              </w:rPr>
              <w:t>2020-86A</w:t>
            </w:r>
            <w:r>
              <w:rPr>
                <w:rFonts w:ascii="Times New Roman" w:cs="Times New Roman" w:eastAsia="Times New Roman" w:hAnsi="Times New Roman"/>
                <w:sz w:val="9"/>
                <w:szCs w:val="9"/>
                <w:color w:val="4C4C4E"/>
              </w:rPr>
              <w:t xml:space="preserve"> (3)(4)(9)</w:t>
            </w:r>
          </w:p>
        </w:tc>
        <w:tc>
          <w:tcPr>
            <w:tcW w:w="2060" w:type="dxa"/>
            <w:vAlign w:val="bottom"/>
            <w:tcBorders>
              <w:bottom w:val="single" w:sz="8" w:color="D8EEF4"/>
            </w:tcBorders>
            <w:shd w:val="clear" w:color="auto" w:fill="D8EEF4"/>
          </w:tcPr>
          <w:p>
            <w:pPr>
              <w:ind w:left="60"/>
              <w:spacing w:after="0"/>
              <w:rPr>
                <w:sz w:val="20"/>
                <w:szCs w:val="20"/>
                <w:color w:val="auto"/>
              </w:rPr>
            </w:pPr>
            <w:r>
              <w:rPr>
                <w:rFonts w:ascii="Times New Roman" w:cs="Times New Roman" w:eastAsia="Times New Roman" w:hAnsi="Times New Roman"/>
                <w:sz w:val="15"/>
                <w:szCs w:val="15"/>
                <w:color w:val="4C4C4E"/>
              </w:rPr>
              <w:t>due 7/2034)</w:t>
            </w:r>
          </w:p>
        </w:tc>
        <w:tc>
          <w:tcPr>
            <w:tcW w:w="820" w:type="dxa"/>
            <w:vAlign w:val="bottom"/>
            <w:tcBorders>
              <w:bottom w:val="single" w:sz="8" w:color="D8EEF4"/>
            </w:tcBorders>
            <w:shd w:val="clear" w:color="auto" w:fill="D8EEF4"/>
          </w:tcPr>
          <w:p>
            <w:pPr>
              <w:spacing w:after="0"/>
              <w:rPr>
                <w:sz w:val="18"/>
                <w:szCs w:val="18"/>
                <w:color w:val="auto"/>
              </w:rPr>
            </w:pPr>
          </w:p>
        </w:tc>
        <w:tc>
          <w:tcPr>
            <w:tcW w:w="1840" w:type="dxa"/>
            <w:vAlign w:val="bottom"/>
            <w:tcBorders>
              <w:bottom w:val="single" w:sz="8" w:color="D8EEF4"/>
            </w:tcBorders>
            <w:shd w:val="clear" w:color="auto" w:fill="D8EEF4"/>
          </w:tcPr>
          <w:p>
            <w:pPr>
              <w:spacing w:after="0"/>
              <w:rPr>
                <w:sz w:val="18"/>
                <w:szCs w:val="18"/>
                <w:color w:val="auto"/>
              </w:rPr>
            </w:pPr>
          </w:p>
        </w:tc>
        <w:tc>
          <w:tcPr>
            <w:tcW w:w="1200" w:type="dxa"/>
            <w:vAlign w:val="bottom"/>
            <w:tcBorders>
              <w:bottom w:val="single" w:sz="8" w:color="D8EEF4"/>
              <w:right w:val="single" w:sz="8" w:color="D8EEF4"/>
            </w:tcBorders>
            <w:shd w:val="clear" w:color="auto" w:fill="D8EEF4"/>
          </w:tcPr>
          <w:p>
            <w:pPr>
              <w:spacing w:after="0"/>
              <w:rPr>
                <w:sz w:val="18"/>
                <w:szCs w:val="18"/>
                <w:color w:val="auto"/>
              </w:rPr>
            </w:pPr>
          </w:p>
        </w:tc>
        <w:tc>
          <w:tcPr>
            <w:tcW w:w="60" w:type="dxa"/>
            <w:vAlign w:val="bottom"/>
            <w:tcBorders>
              <w:bottom w:val="single" w:sz="8" w:color="4C4C4E"/>
            </w:tcBorders>
            <w:shd w:val="clear" w:color="auto" w:fill="D8EEF4"/>
          </w:tcPr>
          <w:p>
            <w:pPr>
              <w:spacing w:after="0"/>
              <w:rPr>
                <w:sz w:val="18"/>
                <w:szCs w:val="18"/>
                <w:color w:val="auto"/>
              </w:rPr>
            </w:pPr>
          </w:p>
        </w:tc>
        <w:tc>
          <w:tcPr>
            <w:tcW w:w="70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92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shd w:val="clear" w:color="auto" w:fill="D8EEF4"/>
          </w:tcPr>
          <w:p>
            <w:pPr>
              <w:spacing w:after="0"/>
              <w:rPr>
                <w:sz w:val="18"/>
                <w:szCs w:val="18"/>
                <w:color w:val="auto"/>
              </w:rPr>
            </w:pPr>
          </w:p>
        </w:tc>
        <w:tc>
          <w:tcPr>
            <w:tcW w:w="160" w:type="dxa"/>
            <w:vAlign w:val="bottom"/>
            <w:tcBorders>
              <w:bottom w:val="single" w:sz="8" w:color="D8EEF4"/>
            </w:tcBorders>
            <w:shd w:val="clear" w:color="auto" w:fill="D8EEF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1,500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4C4C4E"/>
              </w:rPr>
              <w:t>1,472</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4C4C4E"/>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Total Equity and Other</w:t>
            </w:r>
          </w:p>
        </w:tc>
        <w:tc>
          <w:tcPr>
            <w:tcW w:w="2060" w:type="dxa"/>
            <w:vAlign w:val="bottom"/>
            <w:shd w:val="clear" w:color="auto" w:fill="D8EEF4"/>
          </w:tcPr>
          <w:p>
            <w:pPr>
              <w:spacing w:after="0" w:line="20" w:lineRule="exact"/>
              <w:rPr>
                <w:sz w:val="1"/>
                <w:szCs w:val="1"/>
                <w:color w:val="auto"/>
              </w:rPr>
            </w:pPr>
          </w:p>
        </w:tc>
        <w:tc>
          <w:tcPr>
            <w:tcW w:w="820" w:type="dxa"/>
            <w:vAlign w:val="bottom"/>
            <w:shd w:val="clear" w:color="auto" w:fill="D8EEF4"/>
          </w:tcPr>
          <w:p>
            <w:pPr>
              <w:spacing w:after="0" w:line="20" w:lineRule="exact"/>
              <w:rPr>
                <w:sz w:val="1"/>
                <w:szCs w:val="1"/>
                <w:color w:val="auto"/>
              </w:rPr>
            </w:pPr>
          </w:p>
        </w:tc>
        <w:tc>
          <w:tcPr>
            <w:tcW w:w="1840" w:type="dxa"/>
            <w:vAlign w:val="bottom"/>
            <w:shd w:val="clear" w:color="auto" w:fill="D8EEF4"/>
          </w:tcPr>
          <w:p>
            <w:pPr>
              <w:spacing w:after="0" w:line="20" w:lineRule="exact"/>
              <w:rPr>
                <w:sz w:val="1"/>
                <w:szCs w:val="1"/>
                <w:color w:val="auto"/>
              </w:rPr>
            </w:pPr>
          </w:p>
        </w:tc>
        <w:tc>
          <w:tcPr>
            <w:tcW w:w="1200" w:type="dxa"/>
            <w:vAlign w:val="bottom"/>
            <w:tcBorders>
              <w:right w:val="single" w:sz="8" w:color="D8EEF4"/>
            </w:tcBorders>
            <w:shd w:val="clear" w:color="auto" w:fill="D8EEF4"/>
          </w:tcPr>
          <w:p>
            <w:pPr>
              <w:spacing w:after="0" w:line="20" w:lineRule="exact"/>
              <w:rPr>
                <w:sz w:val="1"/>
                <w:szCs w:val="1"/>
                <w:color w:val="auto"/>
              </w:rPr>
            </w:pPr>
          </w:p>
        </w:tc>
        <w:tc>
          <w:tcPr>
            <w:tcW w:w="60" w:type="dxa"/>
            <w:vAlign w:val="bottom"/>
            <w:shd w:val="clear" w:color="auto" w:fill="4C4C4E"/>
          </w:tcPr>
          <w:p>
            <w:pPr>
              <w:spacing w:after="0" w:line="20" w:lineRule="exact"/>
              <w:rPr>
                <w:sz w:val="1"/>
                <w:szCs w:val="1"/>
                <w:color w:val="auto"/>
              </w:rPr>
            </w:pPr>
          </w:p>
        </w:tc>
        <w:tc>
          <w:tcPr>
            <w:tcW w:w="700" w:type="dxa"/>
            <w:vAlign w:val="bottom"/>
            <w:shd w:val="clear" w:color="auto" w:fill="4C4C4E"/>
          </w:tcPr>
          <w:p>
            <w:pPr>
              <w:spacing w:after="0" w:line="20" w:lineRule="exact"/>
              <w:rPr>
                <w:sz w:val="1"/>
                <w:szCs w:val="1"/>
                <w:color w:val="auto"/>
              </w:rPr>
            </w:pPr>
          </w:p>
        </w:tc>
        <w:tc>
          <w:tcPr>
            <w:tcW w:w="40" w:type="dxa"/>
            <w:vAlign w:val="bottom"/>
            <w:shd w:val="clear" w:color="auto" w:fill="D8EEF4"/>
          </w:tcPr>
          <w:p>
            <w:pPr>
              <w:spacing w:after="0" w:line="20" w:lineRule="exact"/>
              <w:rPr>
                <w:sz w:val="1"/>
                <w:szCs w:val="1"/>
                <w:color w:val="auto"/>
              </w:rPr>
            </w:pPr>
          </w:p>
        </w:tc>
        <w:tc>
          <w:tcPr>
            <w:tcW w:w="100" w:type="dxa"/>
            <w:vAlign w:val="bottom"/>
            <w:shd w:val="clear" w:color="auto" w:fill="4C4C4E"/>
          </w:tcPr>
          <w:p>
            <w:pPr>
              <w:spacing w:after="0" w:line="20" w:lineRule="exact"/>
              <w:rPr>
                <w:sz w:val="1"/>
                <w:szCs w:val="1"/>
                <w:color w:val="auto"/>
              </w:rPr>
            </w:pPr>
          </w:p>
        </w:tc>
        <w:tc>
          <w:tcPr>
            <w:tcW w:w="920" w:type="dxa"/>
            <w:vAlign w:val="bottom"/>
            <w:shd w:val="clear" w:color="auto" w:fill="4C4C4E"/>
          </w:tcPr>
          <w:p>
            <w:pPr>
              <w:spacing w:after="0" w:line="20" w:lineRule="exact"/>
              <w:rPr>
                <w:sz w:val="1"/>
                <w:szCs w:val="1"/>
                <w:color w:val="auto"/>
              </w:rPr>
            </w:pPr>
          </w:p>
        </w:tc>
        <w:tc>
          <w:tcPr>
            <w:tcW w:w="40" w:type="dxa"/>
            <w:vAlign w:val="bottom"/>
            <w:shd w:val="clear" w:color="auto" w:fill="D8EEF4"/>
          </w:tcPr>
          <w:p>
            <w:pPr>
              <w:spacing w:after="0" w:line="20" w:lineRule="exact"/>
              <w:rPr>
                <w:sz w:val="1"/>
                <w:szCs w:val="1"/>
                <w:color w:val="auto"/>
              </w:rPr>
            </w:pPr>
          </w:p>
        </w:tc>
        <w:tc>
          <w:tcPr>
            <w:tcW w:w="840" w:type="dxa"/>
            <w:vAlign w:val="bottom"/>
            <w:shd w:val="clear" w:color="auto" w:fill="4C4C4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100" w:type="dxa"/>
            <w:vAlign w:val="bottom"/>
            <w:vMerge w:val="continue"/>
            <w:shd w:val="clear" w:color="auto" w:fill="D8EEF4"/>
          </w:tcPr>
          <w:p>
            <w:pPr>
              <w:spacing w:after="0"/>
              <w:rPr>
                <w:sz w:val="14"/>
                <w:szCs w:val="14"/>
                <w:color w:val="auto"/>
              </w:rPr>
            </w:pPr>
          </w:p>
        </w:tc>
        <w:tc>
          <w:tcPr>
            <w:tcW w:w="2060" w:type="dxa"/>
            <w:vAlign w:val="bottom"/>
            <w:shd w:val="clear" w:color="auto" w:fill="D8EEF4"/>
          </w:tcPr>
          <w:p>
            <w:pPr>
              <w:spacing w:after="0"/>
              <w:rPr>
                <w:sz w:val="14"/>
                <w:szCs w:val="14"/>
                <w:color w:val="auto"/>
              </w:rPr>
            </w:pPr>
          </w:p>
        </w:tc>
        <w:tc>
          <w:tcPr>
            <w:tcW w:w="820" w:type="dxa"/>
            <w:vAlign w:val="bottom"/>
            <w:shd w:val="clear" w:color="auto" w:fill="D8EEF4"/>
          </w:tcPr>
          <w:p>
            <w:pPr>
              <w:spacing w:after="0"/>
              <w:rPr>
                <w:sz w:val="14"/>
                <w:szCs w:val="14"/>
                <w:color w:val="auto"/>
              </w:rPr>
            </w:pPr>
          </w:p>
        </w:tc>
        <w:tc>
          <w:tcPr>
            <w:tcW w:w="1840" w:type="dxa"/>
            <w:vAlign w:val="bottom"/>
            <w:shd w:val="clear" w:color="auto" w:fill="D8EEF4"/>
          </w:tcPr>
          <w:p>
            <w:pPr>
              <w:spacing w:after="0"/>
              <w:rPr>
                <w:sz w:val="14"/>
                <w:szCs w:val="14"/>
                <w:color w:val="auto"/>
              </w:rPr>
            </w:pPr>
          </w:p>
        </w:tc>
        <w:tc>
          <w:tcPr>
            <w:tcW w:w="1200" w:type="dxa"/>
            <w:vAlign w:val="bottom"/>
            <w:tcBorders>
              <w:right w:val="single" w:sz="8" w:color="D8EEF4"/>
            </w:tcBorders>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00" w:type="dxa"/>
            <w:vAlign w:val="bottom"/>
            <w:shd w:val="clear" w:color="auto" w:fill="D8EEF4"/>
          </w:tcPr>
          <w:p>
            <w:pPr>
              <w:jc w:val="right"/>
              <w:spacing w:after="0" w:line="164" w:lineRule="exact"/>
              <w:rPr>
                <w:sz w:val="20"/>
                <w:szCs w:val="20"/>
                <w:color w:val="auto"/>
              </w:rPr>
            </w:pPr>
            <w:r>
              <w:rPr>
                <w:rFonts w:ascii="Times New Roman" w:cs="Times New Roman" w:eastAsia="Times New Roman" w:hAnsi="Times New Roman"/>
                <w:sz w:val="15"/>
                <w:szCs w:val="15"/>
                <w:color w:val="4C4C4E"/>
              </w:rPr>
              <w:t>150,909</w:t>
            </w:r>
          </w:p>
        </w:tc>
        <w:tc>
          <w:tcPr>
            <w:tcW w:w="4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920" w:type="dxa"/>
            <w:vAlign w:val="bottom"/>
            <w:shd w:val="clear" w:color="auto" w:fill="D8EEF4"/>
          </w:tcPr>
          <w:p>
            <w:pPr>
              <w:jc w:val="right"/>
              <w:spacing w:after="0" w:line="164" w:lineRule="exact"/>
              <w:rPr>
                <w:sz w:val="20"/>
                <w:szCs w:val="20"/>
                <w:color w:val="auto"/>
              </w:rPr>
            </w:pPr>
            <w:r>
              <w:rPr>
                <w:rFonts w:ascii="Times New Roman" w:cs="Times New Roman" w:eastAsia="Times New Roman" w:hAnsi="Times New Roman"/>
                <w:sz w:val="15"/>
                <w:szCs w:val="15"/>
                <w:color w:val="4C4C4E"/>
              </w:rPr>
              <w:t>156,973</w:t>
            </w:r>
          </w:p>
        </w:tc>
        <w:tc>
          <w:tcPr>
            <w:tcW w:w="40" w:type="dxa"/>
            <w:vAlign w:val="bottom"/>
            <w:shd w:val="clear" w:color="auto" w:fill="D8EEF4"/>
          </w:tcPr>
          <w:p>
            <w:pPr>
              <w:spacing w:after="0"/>
              <w:rPr>
                <w:sz w:val="14"/>
                <w:szCs w:val="14"/>
                <w:color w:val="auto"/>
              </w:rPr>
            </w:pPr>
          </w:p>
        </w:tc>
        <w:tc>
          <w:tcPr>
            <w:tcW w:w="100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5"/>
                <w:szCs w:val="15"/>
                <w:color w:val="4C4C4E"/>
              </w:rPr>
              <w:t>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Investments</w:t>
            </w:r>
          </w:p>
        </w:tc>
        <w:tc>
          <w:tcPr>
            <w:tcW w:w="2060" w:type="dxa"/>
            <w:vAlign w:val="bottom"/>
            <w:tcBorders>
              <w:bottom w:val="single" w:sz="8" w:color="D8EEF4"/>
            </w:tcBorders>
            <w:shd w:val="clear" w:color="auto" w:fill="D8EEF4"/>
          </w:tcPr>
          <w:p>
            <w:pPr>
              <w:spacing w:after="0"/>
              <w:rPr>
                <w:sz w:val="18"/>
                <w:szCs w:val="18"/>
                <w:color w:val="auto"/>
              </w:rPr>
            </w:pPr>
          </w:p>
        </w:tc>
        <w:tc>
          <w:tcPr>
            <w:tcW w:w="820" w:type="dxa"/>
            <w:vAlign w:val="bottom"/>
            <w:tcBorders>
              <w:bottom w:val="single" w:sz="8" w:color="D8EEF4"/>
            </w:tcBorders>
            <w:shd w:val="clear" w:color="auto" w:fill="D8EEF4"/>
          </w:tcPr>
          <w:p>
            <w:pPr>
              <w:spacing w:after="0"/>
              <w:rPr>
                <w:sz w:val="18"/>
                <w:szCs w:val="18"/>
                <w:color w:val="auto"/>
              </w:rPr>
            </w:pPr>
          </w:p>
        </w:tc>
        <w:tc>
          <w:tcPr>
            <w:tcW w:w="1840" w:type="dxa"/>
            <w:vAlign w:val="bottom"/>
            <w:tcBorders>
              <w:bottom w:val="single" w:sz="8" w:color="D8EEF4"/>
            </w:tcBorders>
            <w:shd w:val="clear" w:color="auto" w:fill="D8EEF4"/>
          </w:tcPr>
          <w:p>
            <w:pPr>
              <w:spacing w:after="0"/>
              <w:rPr>
                <w:sz w:val="18"/>
                <w:szCs w:val="18"/>
                <w:color w:val="auto"/>
              </w:rPr>
            </w:pPr>
          </w:p>
        </w:tc>
        <w:tc>
          <w:tcPr>
            <w:tcW w:w="1200" w:type="dxa"/>
            <w:vAlign w:val="bottom"/>
            <w:tcBorders>
              <w:bottom w:val="single" w:sz="8" w:color="D8EEF4"/>
              <w:right w:val="single" w:sz="8" w:color="D8EEF4"/>
            </w:tcBorders>
            <w:shd w:val="clear" w:color="auto" w:fill="D8EEF4"/>
          </w:tcPr>
          <w:p>
            <w:pPr>
              <w:spacing w:after="0"/>
              <w:rPr>
                <w:sz w:val="18"/>
                <w:szCs w:val="18"/>
                <w:color w:val="auto"/>
              </w:rPr>
            </w:pPr>
          </w:p>
        </w:tc>
        <w:tc>
          <w:tcPr>
            <w:tcW w:w="60" w:type="dxa"/>
            <w:vAlign w:val="bottom"/>
            <w:tcBorders>
              <w:bottom w:val="single" w:sz="8" w:color="4C4C4E"/>
            </w:tcBorders>
            <w:shd w:val="clear" w:color="auto" w:fill="D8EEF4"/>
          </w:tcPr>
          <w:p>
            <w:pPr>
              <w:spacing w:after="0"/>
              <w:rPr>
                <w:sz w:val="18"/>
                <w:szCs w:val="18"/>
                <w:color w:val="auto"/>
              </w:rPr>
            </w:pPr>
          </w:p>
        </w:tc>
        <w:tc>
          <w:tcPr>
            <w:tcW w:w="70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920" w:type="dxa"/>
            <w:vAlign w:val="bottom"/>
            <w:tcBorders>
              <w:bottom w:val="single" w:sz="8" w:color="4C4C4E"/>
            </w:tcBorders>
            <w:shd w:val="clear" w:color="auto" w:fill="D8EEF4"/>
          </w:tcPr>
          <w:p>
            <w:pPr>
              <w:spacing w:after="0"/>
              <w:rPr>
                <w:sz w:val="18"/>
                <w:szCs w:val="18"/>
                <w:color w:val="auto"/>
              </w:rPr>
            </w:pPr>
          </w:p>
        </w:tc>
        <w:tc>
          <w:tcPr>
            <w:tcW w:w="40" w:type="dxa"/>
            <w:vAlign w:val="bottom"/>
            <w:tcBorders>
              <w:bottom w:val="single" w:sz="8" w:color="D8EEF4"/>
            </w:tcBorders>
            <w:shd w:val="clear" w:color="auto" w:fill="D8EEF4"/>
          </w:tcPr>
          <w:p>
            <w:pPr>
              <w:spacing w:after="0"/>
              <w:rPr>
                <w:sz w:val="18"/>
                <w:szCs w:val="18"/>
                <w:color w:val="auto"/>
              </w:rPr>
            </w:pPr>
          </w:p>
        </w:tc>
        <w:tc>
          <w:tcPr>
            <w:tcW w:w="840" w:type="dxa"/>
            <w:vAlign w:val="bottom"/>
            <w:tcBorders>
              <w:bottom w:val="single" w:sz="8" w:color="4C4C4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Total Investments</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b w:val="1"/>
                <w:bCs w:val="1"/>
                <w:color w:val="4C4C4E"/>
                <w:w w:val="78"/>
              </w:rPr>
              <w:t>$</w:t>
            </w:r>
          </w:p>
        </w:tc>
        <w:tc>
          <w:tcPr>
            <w:tcW w:w="70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3,539,153</w:t>
            </w:r>
          </w:p>
        </w:tc>
        <w:tc>
          <w:tcPr>
            <w:tcW w:w="40" w:type="dxa"/>
            <w:vAlign w:val="bottom"/>
          </w:tcPr>
          <w:p>
            <w:pPr>
              <w:spacing w:after="0"/>
              <w:rPr>
                <w:sz w:val="14"/>
                <w:szCs w:val="14"/>
                <w:color w:val="auto"/>
              </w:rPr>
            </w:pPr>
          </w:p>
        </w:tc>
        <w:tc>
          <w:tcPr>
            <w:tcW w:w="10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w w:val="79"/>
              </w:rPr>
              <w:t>$</w:t>
            </w:r>
          </w:p>
        </w:tc>
        <w:tc>
          <w:tcPr>
            <w:tcW w:w="9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3,518,412</w:t>
            </w:r>
          </w:p>
        </w:tc>
        <w:tc>
          <w:tcPr>
            <w:tcW w:w="40" w:type="dxa"/>
            <w:vAlign w:val="bottom"/>
          </w:tcPr>
          <w:p>
            <w:pPr>
              <w:spacing w:after="0"/>
              <w:rPr>
                <w:sz w:val="14"/>
                <w:szCs w:val="14"/>
                <w:color w:val="auto"/>
              </w:rPr>
            </w:pPr>
          </w:p>
        </w:tc>
        <w:tc>
          <w:tcPr>
            <w:tcW w:w="10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218.9%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Borders>
              <w:top w:val="single" w:sz="8" w:color="4C4C4E"/>
              <w:bottom w:val="single" w:sz="8" w:color="4C4C4E"/>
            </w:tcBorders>
          </w:tcPr>
          <w:p>
            <w:pPr>
              <w:spacing w:after="0" w:line="20" w:lineRule="exact"/>
              <w:rPr>
                <w:sz w:val="1"/>
                <w:szCs w:val="1"/>
                <w:color w:val="auto"/>
              </w:rPr>
            </w:pPr>
          </w:p>
        </w:tc>
        <w:tc>
          <w:tcPr>
            <w:tcW w:w="700" w:type="dxa"/>
            <w:vAlign w:val="bottom"/>
            <w:tcBorders>
              <w:top w:val="single" w:sz="8" w:color="4C4C4E"/>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4C4C4E"/>
              <w:bottom w:val="single" w:sz="8" w:color="4C4C4E"/>
            </w:tcBorders>
          </w:tcPr>
          <w:p>
            <w:pPr>
              <w:spacing w:after="0" w:line="20" w:lineRule="exact"/>
              <w:rPr>
                <w:sz w:val="1"/>
                <w:szCs w:val="1"/>
                <w:color w:val="auto"/>
              </w:rPr>
            </w:pPr>
          </w:p>
        </w:tc>
        <w:tc>
          <w:tcPr>
            <w:tcW w:w="920" w:type="dxa"/>
            <w:vAlign w:val="bottom"/>
            <w:tcBorders>
              <w:top w:val="single" w:sz="8" w:color="4C4C4E"/>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4C4C4E"/>
              <w:bottom w:val="single" w:sz="8" w:color="4C4C4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6273800</wp:posOffset>
                </wp:positionH>
                <wp:positionV relativeFrom="paragraph">
                  <wp:posOffset>-383540</wp:posOffset>
                </wp:positionV>
                <wp:extent cx="532765" cy="22796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765" cy="227965"/>
                        </a:xfrm>
                        <a:prstGeom prst="rect">
                          <a:avLst/>
                        </a:prstGeom>
                        <a:solidFill>
                          <a:srgbClr val="D8EEF4"/>
                        </a:solidFill>
                      </wps:spPr>
                      <wps:bodyPr/>
                    </wps:wsp>
                  </a:graphicData>
                </a:graphic>
              </wp:anchor>
            </w:drawing>
          </mc:Choice>
          <mc:Fallback>
            <w:pict>
              <v:rect id="Shape 79" o:spid="_x0000_s1104" style="position:absolute;margin-left:494pt;margin-top:-30.1999pt;width:41.95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6806565</wp:posOffset>
                </wp:positionH>
                <wp:positionV relativeFrom="paragraph">
                  <wp:posOffset>-393700</wp:posOffset>
                </wp:positionV>
                <wp:extent cx="104140" cy="23749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7490"/>
                        </a:xfrm>
                        <a:prstGeom prst="rect">
                          <a:avLst/>
                        </a:prstGeom>
                        <a:solidFill>
                          <a:srgbClr val="D8EEF4"/>
                        </a:solidFill>
                      </wps:spPr>
                      <wps:bodyPr/>
                    </wps:wsp>
                  </a:graphicData>
                </a:graphic>
              </wp:anchor>
            </w:drawing>
          </mc:Choice>
          <mc:Fallback>
            <w:pict>
              <v:rect id="Shape 80" o:spid="_x0000_s1105" style="position:absolute;margin-left:535.95pt;margin-top:-31pt;width:8.2pt;height:1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ectPr>
          <w:pgSz w:w="11880" w:h="15480" w:orient="portrait"/>
          <w:cols w:equalWidth="0" w:num="1">
            <w:col w:w="10880"/>
          </w:cols>
          <w:pgMar w:left="500" w:top="710" w:right="500" w:bottom="6"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F-22</w:t>
      </w:r>
    </w:p>
    <w:p>
      <w:pPr>
        <w:sectPr>
          <w:pgSz w:w="11880" w:h="15480" w:orient="portrait"/>
          <w:cols w:equalWidth="0" w:num="1">
            <w:col w:w="10880"/>
          </w:cols>
          <w:pgMar w:left="500" w:top="710" w:right="500" w:bottom="6" w:gutter="0" w:footer="0" w:header="0"/>
          <w:type w:val="continuous"/>
        </w:sectPr>
      </w:pPr>
    </w:p>
    <w:bookmarkStart w:id="111" w:name="page112"/>
    <w:bookmarkEnd w:id="111"/>
    <w:tbl>
      <w:tblPr>
        <w:tblLayout w:type="fixed"/>
        <w:tblInd w:w="3" w:type="dxa"/>
        <w:tblCellMar>
          <w:top w:w="0" w:type="dxa"/>
          <w:left w:w="0" w:type="dxa"/>
          <w:bottom w:w="0" w:type="dxa"/>
          <w:right w:w="0" w:type="dxa"/>
        </w:tblCellMar>
      </w:tblPr>
      <w:tr>
        <w:trPr>
          <w:trHeight w:val="221"/>
        </w:trPr>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00" w:type="dxa"/>
            <w:vAlign w:val="bottom"/>
            <w:gridSpan w:val="11"/>
          </w:tcPr>
          <w:p>
            <w:pPr>
              <w:jc w:val="center"/>
              <w:ind w:right="240"/>
              <w:spacing w:after="0"/>
              <w:rPr>
                <w:sz w:val="20"/>
                <w:szCs w:val="20"/>
                <w:color w:val="auto"/>
              </w:rPr>
            </w:pPr>
            <w:r>
              <w:rPr>
                <w:rFonts w:ascii="Times New Roman" w:cs="Times New Roman" w:eastAsia="Times New Roman" w:hAnsi="Times New Roman"/>
                <w:sz w:val="16"/>
                <w:szCs w:val="16"/>
                <w:b w:val="1"/>
                <w:bCs w:val="1"/>
                <w:color w:val="4C4C4E"/>
              </w:rPr>
              <w:t>Interest Rate Swaps as of December 31, 2024</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4C4C4E"/>
              </w:rPr>
              <w:t>Change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4C4C4E"/>
              </w:rPr>
              <w:t>Fair</w:t>
            </w:r>
          </w:p>
        </w:tc>
        <w:tc>
          <w:tcPr>
            <w:tcW w:w="60" w:type="dxa"/>
            <w:vAlign w:val="bottom"/>
          </w:tcPr>
          <w:p>
            <w:pPr>
              <w:spacing w:after="0"/>
              <w:rPr>
                <w:sz w:val="16"/>
                <w:szCs w:val="16"/>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4C4C4E"/>
                <w:w w:val="97"/>
              </w:rPr>
              <w:t>Upfront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4C4C4E"/>
                <w:w w:val="99"/>
              </w:rPr>
              <w:t>Unrealized</w:t>
            </w: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rPr>
              <w:t>Company</w:t>
            </w:r>
          </w:p>
        </w:tc>
        <w:tc>
          <w:tcPr>
            <w:tcW w:w="1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w w:val="98"/>
              </w:rPr>
              <w:t>Company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4C4C4E"/>
              </w:rPr>
              <w:t>Notional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4C4C4E"/>
                <w:w w:val="96"/>
              </w:rPr>
              <w:t>Market</w:t>
            </w:r>
          </w:p>
        </w:tc>
        <w:tc>
          <w:tcPr>
            <w:tcW w:w="60" w:type="dxa"/>
            <w:vAlign w:val="bottom"/>
          </w:tcPr>
          <w:p>
            <w:pPr>
              <w:spacing w:after="0"/>
              <w:rPr>
                <w:sz w:val="16"/>
                <w:szCs w:val="16"/>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4C4C4E"/>
              </w:rPr>
              <w:t>(Payments) /</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4C4C4E"/>
                <w:w w:val="99"/>
              </w:rPr>
              <w:t>Gains / (Losses</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rPr>
              <w:t>Receives</w:t>
            </w: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w w:val="99"/>
              </w:rPr>
              <w:t>Pays</w:t>
            </w:r>
          </w:p>
        </w:tc>
        <w:tc>
          <w:tcPr>
            <w:tcW w:w="140" w:type="dxa"/>
            <w:vAlign w:val="bottom"/>
          </w:tcPr>
          <w:p>
            <w:pPr>
              <w:spacing w:after="0"/>
              <w:rPr>
                <w:sz w:val="17"/>
                <w:szCs w:val="17"/>
                <w:color w:val="auto"/>
              </w:rPr>
            </w:pPr>
          </w:p>
        </w:tc>
        <w:tc>
          <w:tcPr>
            <w:tcW w:w="1440" w:type="dxa"/>
            <w:vAlign w:val="bottom"/>
            <w:gridSpan w:val="4"/>
          </w:tcPr>
          <w:p>
            <w:pPr>
              <w:jc w:val="right"/>
              <w:ind w:right="325"/>
              <w:spacing w:after="0"/>
              <w:rPr>
                <w:sz w:val="20"/>
                <w:szCs w:val="20"/>
                <w:color w:val="auto"/>
              </w:rPr>
            </w:pPr>
            <w:r>
              <w:rPr>
                <w:rFonts w:ascii="Times New Roman" w:cs="Times New Roman" w:eastAsia="Times New Roman" w:hAnsi="Times New Roman"/>
                <w:sz w:val="16"/>
                <w:szCs w:val="16"/>
                <w:b w:val="1"/>
                <w:bCs w:val="1"/>
                <w:color w:val="4C4C4E"/>
              </w:rPr>
              <w:t>Maturity Date</w:t>
            </w: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4C4C4E"/>
                <w:w w:val="99"/>
              </w:rPr>
              <w:t>Amount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4C4C4E"/>
                <w:w w:val="99"/>
              </w:rPr>
              <w:t>Value</w:t>
            </w:r>
          </w:p>
        </w:tc>
        <w:tc>
          <w:tcPr>
            <w:tcW w:w="60" w:type="dxa"/>
            <w:vAlign w:val="bottom"/>
          </w:tcPr>
          <w:p>
            <w:pPr>
              <w:spacing w:after="0"/>
              <w:rPr>
                <w:sz w:val="17"/>
                <w:szCs w:val="17"/>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4C4C4E"/>
              </w:rPr>
              <w:t>Receipts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4C4C4E"/>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6"/>
                <w:szCs w:val="16"/>
                <w:color w:val="4C4C4E"/>
              </w:rPr>
              <w:t>Interest rate swap (a)(b)</w:t>
            </w:r>
          </w:p>
        </w:tc>
        <w:tc>
          <w:tcPr>
            <w:tcW w:w="1140" w:type="dxa"/>
            <w:vAlign w:val="bottom"/>
            <w:tcBorders>
              <w:top w:val="single" w:sz="8" w:color="4C4C4E"/>
            </w:tcBorders>
            <w:shd w:val="clear" w:color="auto" w:fill="D8EEF4"/>
          </w:tcPr>
          <w:p>
            <w:pPr>
              <w:jc w:val="center"/>
              <w:spacing w:after="0"/>
              <w:rPr>
                <w:sz w:val="20"/>
                <w:szCs w:val="20"/>
                <w:color w:val="auto"/>
              </w:rPr>
            </w:pPr>
            <w:r>
              <w:rPr>
                <w:rFonts w:ascii="Times New Roman" w:cs="Times New Roman" w:eastAsia="Times New Roman" w:hAnsi="Times New Roman"/>
                <w:sz w:val="16"/>
                <w:szCs w:val="16"/>
                <w:color w:val="4C4C4E"/>
                <w:w w:val="96"/>
              </w:rPr>
              <w:t>2.50%</w:t>
            </w:r>
          </w:p>
        </w:tc>
        <w:tc>
          <w:tcPr>
            <w:tcW w:w="140" w:type="dxa"/>
            <w:vAlign w:val="bottom"/>
            <w:tcBorders>
              <w:top w:val="single" w:sz="8" w:color="D8EEF4"/>
            </w:tcBorders>
            <w:shd w:val="clear" w:color="auto" w:fill="D8EEF4"/>
          </w:tcPr>
          <w:p>
            <w:pPr>
              <w:spacing w:after="0"/>
              <w:rPr>
                <w:sz w:val="16"/>
                <w:szCs w:val="16"/>
                <w:color w:val="auto"/>
              </w:rPr>
            </w:pPr>
          </w:p>
        </w:tc>
        <w:tc>
          <w:tcPr>
            <w:tcW w:w="1140" w:type="dxa"/>
            <w:vAlign w:val="bottom"/>
            <w:tcBorders>
              <w:top w:val="single" w:sz="8" w:color="4C4C4E"/>
            </w:tcBorders>
            <w:shd w:val="clear" w:color="auto" w:fill="D8EEF4"/>
          </w:tcPr>
          <w:p>
            <w:pPr>
              <w:jc w:val="center"/>
              <w:spacing w:after="0"/>
              <w:rPr>
                <w:sz w:val="20"/>
                <w:szCs w:val="20"/>
                <w:color w:val="auto"/>
              </w:rPr>
            </w:pPr>
            <w:r>
              <w:rPr>
                <w:rFonts w:ascii="Times New Roman" w:cs="Times New Roman" w:eastAsia="Times New Roman" w:hAnsi="Times New Roman"/>
                <w:sz w:val="16"/>
                <w:szCs w:val="16"/>
                <w:color w:val="4C4C4E"/>
                <w:w w:val="99"/>
              </w:rPr>
              <w:t>SOFR + 2.17%</w:t>
            </w:r>
          </w:p>
        </w:tc>
        <w:tc>
          <w:tcPr>
            <w:tcW w:w="140" w:type="dxa"/>
            <w:vAlign w:val="bottom"/>
            <w:tcBorders>
              <w:top w:val="single" w:sz="8" w:color="D8EEF4"/>
            </w:tcBorders>
            <w:shd w:val="clear" w:color="auto" w:fill="D8EEF4"/>
          </w:tcPr>
          <w:p>
            <w:pPr>
              <w:spacing w:after="0"/>
              <w:rPr>
                <w:sz w:val="16"/>
                <w:szCs w:val="16"/>
                <w:color w:val="auto"/>
              </w:rPr>
            </w:pPr>
          </w:p>
        </w:tc>
        <w:tc>
          <w:tcPr>
            <w:tcW w:w="1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8/1/2026</w:t>
            </w:r>
          </w:p>
        </w:tc>
        <w:tc>
          <w:tcPr>
            <w:tcW w:w="140" w:type="dxa"/>
            <w:vAlign w:val="bottom"/>
            <w:tcBorders>
              <w:top w:val="single" w:sz="8" w:color="D8EEF4"/>
            </w:tcBorders>
            <w:shd w:val="clear" w:color="auto" w:fill="D8EEF4"/>
          </w:tcPr>
          <w:p>
            <w:pPr>
              <w:spacing w:after="0"/>
              <w:rPr>
                <w:sz w:val="16"/>
                <w:szCs w:val="16"/>
                <w:color w:val="auto"/>
              </w:rPr>
            </w:pPr>
          </w:p>
        </w:tc>
        <w:tc>
          <w:tcPr>
            <w:tcW w:w="20" w:type="dxa"/>
            <w:vAlign w:val="bottom"/>
            <w:tcBorders>
              <w:top w:val="single" w:sz="8" w:color="D8EEF4"/>
            </w:tcBorders>
            <w:shd w:val="clear" w:color="auto" w:fill="D8EEF4"/>
          </w:tcPr>
          <w:p>
            <w:pPr>
              <w:spacing w:after="0"/>
              <w:rPr>
                <w:sz w:val="16"/>
                <w:szCs w:val="16"/>
                <w:color w:val="auto"/>
              </w:rPr>
            </w:pPr>
          </w:p>
        </w:tc>
        <w:tc>
          <w:tcPr>
            <w:tcW w:w="140" w:type="dxa"/>
            <w:vAlign w:val="bottom"/>
            <w:tcBorders>
              <w:top w:val="single" w:sz="8" w:color="4C4C4E"/>
            </w:tcBorders>
            <w:shd w:val="clear" w:color="auto" w:fill="D8EEF4"/>
          </w:tcPr>
          <w:p>
            <w:pPr>
              <w:jc w:val="right"/>
              <w:ind w:right="25"/>
              <w:spacing w:after="0"/>
              <w:rPr>
                <w:sz w:val="20"/>
                <w:szCs w:val="20"/>
                <w:color w:val="auto"/>
              </w:rPr>
            </w:pPr>
            <w:r>
              <w:rPr>
                <w:rFonts w:ascii="Times New Roman" w:cs="Times New Roman" w:eastAsia="Times New Roman" w:hAnsi="Times New Roman"/>
                <w:sz w:val="11"/>
                <w:szCs w:val="11"/>
                <w:color w:val="4C4C4E"/>
                <w:w w:val="71"/>
              </w:rPr>
              <w:t>$</w:t>
            </w:r>
          </w:p>
        </w:tc>
        <w:tc>
          <w:tcPr>
            <w:tcW w:w="9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300,000</w:t>
            </w:r>
          </w:p>
        </w:tc>
        <w:tc>
          <w:tcPr>
            <w:tcW w:w="200" w:type="dxa"/>
            <w:vAlign w:val="bottom"/>
            <w:tcBorders>
              <w:top w:val="single" w:sz="8" w:color="D8EEF4"/>
            </w:tcBorders>
            <w:shd w:val="clear" w:color="auto" w:fill="D8EEF4"/>
          </w:tcPr>
          <w:p>
            <w:pPr>
              <w:spacing w:after="0"/>
              <w:rPr>
                <w:sz w:val="16"/>
                <w:szCs w:val="16"/>
                <w:color w:val="auto"/>
              </w:rPr>
            </w:pPr>
          </w:p>
        </w:tc>
        <w:tc>
          <w:tcPr>
            <w:tcW w:w="20" w:type="dxa"/>
            <w:vAlign w:val="bottom"/>
            <w:tcBorders>
              <w:top w:val="single" w:sz="8" w:color="D8EEF4"/>
            </w:tcBorders>
            <w:shd w:val="clear" w:color="auto" w:fill="D8EEF4"/>
          </w:tcPr>
          <w:p>
            <w:pPr>
              <w:spacing w:after="0"/>
              <w:rPr>
                <w:sz w:val="16"/>
                <w:szCs w:val="16"/>
                <w:color w:val="auto"/>
              </w:rPr>
            </w:pPr>
          </w:p>
        </w:tc>
        <w:tc>
          <w:tcPr>
            <w:tcW w:w="160" w:type="dxa"/>
            <w:vAlign w:val="bottom"/>
            <w:tcBorders>
              <w:top w:val="single" w:sz="8" w:color="4C4C4E"/>
            </w:tcBorders>
            <w:shd w:val="clear" w:color="auto" w:fill="D8EEF4"/>
          </w:tcPr>
          <w:p>
            <w:pPr>
              <w:jc w:val="right"/>
              <w:ind w:right="45"/>
              <w:spacing w:after="0"/>
              <w:rPr>
                <w:sz w:val="20"/>
                <w:szCs w:val="20"/>
                <w:color w:val="auto"/>
              </w:rPr>
            </w:pPr>
            <w:r>
              <w:rPr>
                <w:rFonts w:ascii="Times New Roman" w:cs="Times New Roman" w:eastAsia="Times New Roman" w:hAnsi="Times New Roman"/>
                <w:sz w:val="11"/>
                <w:szCs w:val="11"/>
                <w:color w:val="4C4C4E"/>
                <w:w w:val="71"/>
              </w:rPr>
              <w:t>$</w:t>
            </w:r>
          </w:p>
        </w:tc>
        <w:tc>
          <w:tcPr>
            <w:tcW w:w="9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(17,618)</w:t>
            </w:r>
          </w:p>
        </w:tc>
        <w:tc>
          <w:tcPr>
            <w:tcW w:w="240" w:type="dxa"/>
            <w:vAlign w:val="bottom"/>
            <w:tcBorders>
              <w:top w:val="single" w:sz="8" w:color="D8EEF4"/>
            </w:tcBorders>
            <w:shd w:val="clear" w:color="auto" w:fill="D8EEF4"/>
          </w:tcPr>
          <w:p>
            <w:pPr>
              <w:spacing w:after="0"/>
              <w:rPr>
                <w:sz w:val="16"/>
                <w:szCs w:val="16"/>
                <w:color w:val="auto"/>
              </w:rPr>
            </w:pPr>
          </w:p>
        </w:tc>
        <w:tc>
          <w:tcPr>
            <w:tcW w:w="20" w:type="dxa"/>
            <w:vAlign w:val="bottom"/>
            <w:tcBorders>
              <w:top w:val="single" w:sz="8" w:color="D8EEF4"/>
            </w:tcBorders>
            <w:shd w:val="clear" w:color="auto" w:fill="D8EEF4"/>
          </w:tcPr>
          <w:p>
            <w:pPr>
              <w:spacing w:after="0"/>
              <w:rPr>
                <w:sz w:val="16"/>
                <w:szCs w:val="16"/>
                <w:color w:val="auto"/>
              </w:rPr>
            </w:pPr>
          </w:p>
        </w:tc>
        <w:tc>
          <w:tcPr>
            <w:tcW w:w="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1000" w:type="dxa"/>
            <w:vAlign w:val="bottom"/>
            <w:tcBorders>
              <w:top w:val="single" w:sz="8" w:color="4C4C4E"/>
            </w:tcBorders>
            <w:shd w:val="clear" w:color="auto" w:fill="D8EEF4"/>
          </w:tcPr>
          <w:p>
            <w:pPr>
              <w:ind w:left="840"/>
              <w:spacing w:after="0"/>
              <w:rPr>
                <w:sz w:val="20"/>
                <w:szCs w:val="20"/>
                <w:color w:val="auto"/>
              </w:rPr>
            </w:pPr>
            <w:r>
              <w:rPr>
                <w:rFonts w:ascii="Times New Roman" w:cs="Times New Roman" w:eastAsia="Times New Roman" w:hAnsi="Times New Roman"/>
                <w:sz w:val="16"/>
                <w:szCs w:val="16"/>
                <w:color w:val="4C4C4E"/>
                <w:w w:val="87"/>
              </w:rPr>
              <w:t>—</w:t>
            </w:r>
          </w:p>
        </w:tc>
        <w:tc>
          <w:tcPr>
            <w:tcW w:w="200" w:type="dxa"/>
            <w:vAlign w:val="bottom"/>
            <w:tcBorders>
              <w:top w:val="single" w:sz="8" w:color="D8EEF4"/>
            </w:tcBorders>
            <w:shd w:val="clear" w:color="auto" w:fill="D8EEF4"/>
          </w:tcPr>
          <w:p>
            <w:pPr>
              <w:spacing w:after="0"/>
              <w:rPr>
                <w:sz w:val="16"/>
                <w:szCs w:val="16"/>
                <w:color w:val="auto"/>
              </w:rPr>
            </w:pPr>
          </w:p>
        </w:tc>
        <w:tc>
          <w:tcPr>
            <w:tcW w:w="20" w:type="dxa"/>
            <w:vAlign w:val="bottom"/>
            <w:tcBorders>
              <w:top w:val="single" w:sz="8" w:color="D8EEF4"/>
            </w:tcBorders>
            <w:shd w:val="clear" w:color="auto" w:fill="D8EEF4"/>
          </w:tcPr>
          <w:p>
            <w:pPr>
              <w:spacing w:after="0"/>
              <w:rPr>
                <w:sz w:val="16"/>
                <w:szCs w:val="16"/>
                <w:color w:val="auto"/>
              </w:rPr>
            </w:pPr>
          </w:p>
        </w:tc>
        <w:tc>
          <w:tcPr>
            <w:tcW w:w="1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9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8,493</w:t>
            </w:r>
          </w:p>
        </w:tc>
        <w:tc>
          <w:tcPr>
            <w:tcW w:w="80" w:type="dxa"/>
            <w:vAlign w:val="bottom"/>
            <w:tcBorders>
              <w:top w:val="single" w:sz="8" w:color="D8EEF4"/>
            </w:tcBorders>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4C4C4E"/>
              </w:rPr>
              <w:t>Interest rate swap (a)(b)</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4C4C4E"/>
                <w:w w:val="96"/>
              </w:rPr>
              <w:t>6.95%</w:t>
            </w: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4C4C4E"/>
                <w:w w:val="99"/>
              </w:rPr>
              <w:t>SOFR + 2.99%</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8/14/2028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300,000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(1,377)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4C4C4E"/>
                <w:w w:val="87"/>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(6,057)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Interest rate swap (a)(b)</w:t>
            </w:r>
          </w:p>
        </w:tc>
        <w:tc>
          <w:tcPr>
            <w:tcW w:w="114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16"/>
                <w:szCs w:val="16"/>
                <w:color w:val="4C4C4E"/>
                <w:w w:val="97"/>
              </w:rPr>
              <w:t>6.125%</w:t>
            </w:r>
          </w:p>
        </w:tc>
        <w:tc>
          <w:tcPr>
            <w:tcW w:w="140" w:type="dxa"/>
            <w:vAlign w:val="bottom"/>
            <w:shd w:val="clear" w:color="auto" w:fill="D8EEF4"/>
          </w:tcPr>
          <w:p>
            <w:pPr>
              <w:spacing w:after="0"/>
              <w:rPr>
                <w:sz w:val="17"/>
                <w:szCs w:val="17"/>
                <w:color w:val="auto"/>
              </w:rPr>
            </w:pPr>
          </w:p>
        </w:tc>
        <w:tc>
          <w:tcPr>
            <w:tcW w:w="114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16"/>
                <w:szCs w:val="16"/>
                <w:color w:val="4C4C4E"/>
                <w:w w:val="99"/>
              </w:rPr>
              <w:t>SOFR + 2.44%</w:t>
            </w:r>
          </w:p>
        </w:tc>
        <w:tc>
          <w:tcPr>
            <w:tcW w:w="128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3/1/2029</w:t>
            </w:r>
          </w:p>
        </w:tc>
        <w:tc>
          <w:tcPr>
            <w:tcW w:w="14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350,000</w:t>
            </w:r>
          </w:p>
        </w:tc>
        <w:tc>
          <w:tcPr>
            <w:tcW w:w="20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160" w:type="dxa"/>
            <w:vAlign w:val="bottom"/>
            <w:shd w:val="clear" w:color="auto" w:fill="D8EEF4"/>
          </w:tcPr>
          <w:p>
            <w:pPr>
              <w:spacing w:after="0"/>
              <w:rPr>
                <w:sz w:val="17"/>
                <w:szCs w:val="17"/>
                <w:color w:val="auto"/>
              </w:rPr>
            </w:pPr>
          </w:p>
        </w:tc>
        <w:tc>
          <w:tcPr>
            <w:tcW w:w="1140" w:type="dxa"/>
            <w:vAlign w:val="bottom"/>
            <w:gridSpan w:val="2"/>
            <w:shd w:val="clear" w:color="auto" w:fill="D8EEF4"/>
          </w:tcPr>
          <w:p>
            <w:pPr>
              <w:jc w:val="right"/>
              <w:ind w:right="200"/>
              <w:spacing w:after="0"/>
              <w:rPr>
                <w:sz w:val="20"/>
                <w:szCs w:val="20"/>
                <w:color w:val="auto"/>
              </w:rPr>
            </w:pPr>
            <w:r>
              <w:rPr>
                <w:rFonts w:ascii="Times New Roman" w:cs="Times New Roman" w:eastAsia="Times New Roman" w:hAnsi="Times New Roman"/>
                <w:sz w:val="16"/>
                <w:szCs w:val="16"/>
                <w:color w:val="4C4C4E"/>
              </w:rPr>
              <w:t>(5,243)</w:t>
            </w:r>
          </w:p>
        </w:tc>
        <w:tc>
          <w:tcPr>
            <w:tcW w:w="20" w:type="dxa"/>
            <w:vAlign w:val="bottom"/>
            <w:shd w:val="clear" w:color="auto" w:fill="D8EEF4"/>
          </w:tcPr>
          <w:p>
            <w:pPr>
              <w:spacing w:after="0"/>
              <w:rPr>
                <w:sz w:val="17"/>
                <w:szCs w:val="17"/>
                <w:color w:val="auto"/>
              </w:rPr>
            </w:pPr>
          </w:p>
        </w:tc>
        <w:tc>
          <w:tcPr>
            <w:tcW w:w="60" w:type="dxa"/>
            <w:vAlign w:val="bottom"/>
            <w:shd w:val="clear" w:color="auto" w:fill="D8EEF4"/>
          </w:tcPr>
          <w:p>
            <w:pPr>
              <w:spacing w:after="0"/>
              <w:rPr>
                <w:sz w:val="17"/>
                <w:szCs w:val="17"/>
                <w:color w:val="auto"/>
              </w:rPr>
            </w:pPr>
          </w:p>
        </w:tc>
        <w:tc>
          <w:tcPr>
            <w:tcW w:w="1000" w:type="dxa"/>
            <w:vAlign w:val="bottom"/>
            <w:shd w:val="clear" w:color="auto" w:fill="D8EEF4"/>
          </w:tcPr>
          <w:p>
            <w:pPr>
              <w:ind w:left="840"/>
              <w:spacing w:after="0"/>
              <w:rPr>
                <w:sz w:val="20"/>
                <w:szCs w:val="20"/>
                <w:color w:val="auto"/>
              </w:rPr>
            </w:pPr>
            <w:r>
              <w:rPr>
                <w:rFonts w:ascii="Times New Roman" w:cs="Times New Roman" w:eastAsia="Times New Roman" w:hAnsi="Times New Roman"/>
                <w:sz w:val="16"/>
                <w:szCs w:val="16"/>
                <w:color w:val="4C4C4E"/>
                <w:w w:val="87"/>
              </w:rPr>
              <w:t>—</w:t>
            </w:r>
          </w:p>
        </w:tc>
        <w:tc>
          <w:tcPr>
            <w:tcW w:w="20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02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16"/>
                <w:szCs w:val="16"/>
                <w:color w:val="4C4C4E"/>
              </w:rPr>
              <w:t>(5,243)</w:t>
            </w:r>
          </w:p>
        </w:tc>
        <w:tc>
          <w:tcPr>
            <w:tcW w:w="0" w:type="dxa"/>
            <w:vAlign w:val="bottom"/>
          </w:tcPr>
          <w:p>
            <w:pPr>
              <w:spacing w:after="0"/>
              <w:rPr>
                <w:sz w:val="1"/>
                <w:szCs w:val="1"/>
                <w:color w:val="auto"/>
              </w:rPr>
            </w:pPr>
          </w:p>
        </w:tc>
      </w:tr>
      <w:tr>
        <w:trPr>
          <w:trHeight w:val="178"/>
        </w:trPr>
        <w:tc>
          <w:tcPr>
            <w:tcW w:w="20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4C4C4E"/>
              </w:rPr>
              <w:t>Total Hedge Accounting</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4C4C4E"/>
            </w:tcBorders>
          </w:tcPr>
          <w:p>
            <w:pPr>
              <w:spacing w:after="0"/>
              <w:rPr>
                <w:sz w:val="15"/>
                <w:szCs w:val="15"/>
                <w:color w:val="auto"/>
              </w:rPr>
            </w:pPr>
          </w:p>
        </w:tc>
        <w:tc>
          <w:tcPr>
            <w:tcW w:w="920" w:type="dxa"/>
            <w:vAlign w:val="bottom"/>
            <w:tcBorders>
              <w:top w:val="single" w:sz="8" w:color="4C4C4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4C4C4E"/>
            </w:tcBorders>
          </w:tcPr>
          <w:p>
            <w:pPr>
              <w:spacing w:after="0"/>
              <w:rPr>
                <w:sz w:val="15"/>
                <w:szCs w:val="15"/>
                <w:color w:val="auto"/>
              </w:rPr>
            </w:pPr>
          </w:p>
        </w:tc>
        <w:tc>
          <w:tcPr>
            <w:tcW w:w="900" w:type="dxa"/>
            <w:vAlign w:val="bottom"/>
            <w:tcBorders>
              <w:top w:val="single" w:sz="8" w:color="4C4C4E"/>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4C4C4E"/>
            </w:tcBorders>
          </w:tcPr>
          <w:p>
            <w:pPr>
              <w:spacing w:after="0"/>
              <w:rPr>
                <w:sz w:val="15"/>
                <w:szCs w:val="15"/>
                <w:color w:val="auto"/>
              </w:rPr>
            </w:pPr>
          </w:p>
        </w:tc>
        <w:tc>
          <w:tcPr>
            <w:tcW w:w="1000" w:type="dxa"/>
            <w:vAlign w:val="bottom"/>
            <w:tcBorders>
              <w:top w:val="single" w:sz="8" w:color="4C4C4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4C4C4E"/>
            </w:tcBorders>
          </w:tcPr>
          <w:p>
            <w:pPr>
              <w:spacing w:after="0"/>
              <w:rPr>
                <w:sz w:val="15"/>
                <w:szCs w:val="15"/>
                <w:color w:val="auto"/>
              </w:rPr>
            </w:pPr>
          </w:p>
        </w:tc>
        <w:tc>
          <w:tcPr>
            <w:tcW w:w="940" w:type="dxa"/>
            <w:vAlign w:val="bottom"/>
            <w:tcBorders>
              <w:top w:val="single" w:sz="8" w:color="4C4C4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4C4C4E"/>
              </w:rPr>
              <w:t>Swaps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950,000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4C4C4E"/>
              </w:rPr>
              <w:t>(24,238)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4C4C4E"/>
                <w:w w:val="87"/>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C4C4E"/>
              </w:rPr>
              <w:t>(2,807)</w:t>
            </w:r>
          </w:p>
        </w:tc>
        <w:tc>
          <w:tcPr>
            <w:tcW w:w="0" w:type="dxa"/>
            <w:vAlign w:val="bottom"/>
          </w:tcPr>
          <w:p>
            <w:pPr>
              <w:spacing w:after="0"/>
              <w:rPr>
                <w:sz w:val="1"/>
                <w:szCs w:val="1"/>
                <w:color w:val="auto"/>
              </w:rPr>
            </w:pPr>
          </w:p>
        </w:tc>
      </w:tr>
      <w:tr>
        <w:trPr>
          <w:trHeight w:val="198"/>
        </w:trPr>
        <w:tc>
          <w:tcPr>
            <w:tcW w:w="20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Cash collateral</w:t>
            </w:r>
          </w:p>
        </w:tc>
        <w:tc>
          <w:tcPr>
            <w:tcW w:w="114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14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14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20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160" w:type="dxa"/>
            <w:vAlign w:val="bottom"/>
            <w:shd w:val="clear" w:color="auto" w:fill="D8EEF4"/>
          </w:tcPr>
          <w:p>
            <w:pPr>
              <w:spacing w:after="0"/>
              <w:rPr>
                <w:sz w:val="17"/>
                <w:szCs w:val="17"/>
                <w:color w:val="auto"/>
              </w:rPr>
            </w:pPr>
          </w:p>
        </w:tc>
        <w:tc>
          <w:tcPr>
            <w:tcW w:w="9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46,601</w:t>
            </w:r>
          </w:p>
        </w:tc>
        <w:tc>
          <w:tcPr>
            <w:tcW w:w="24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60" w:type="dxa"/>
            <w:vAlign w:val="bottom"/>
            <w:shd w:val="clear" w:color="auto" w:fill="D8EEF4"/>
          </w:tcPr>
          <w:p>
            <w:pPr>
              <w:spacing w:after="0"/>
              <w:rPr>
                <w:sz w:val="17"/>
                <w:szCs w:val="17"/>
                <w:color w:val="auto"/>
              </w:rPr>
            </w:pPr>
          </w:p>
        </w:tc>
        <w:tc>
          <w:tcPr>
            <w:tcW w:w="1000" w:type="dxa"/>
            <w:vAlign w:val="bottom"/>
            <w:shd w:val="clear" w:color="auto" w:fill="D8EEF4"/>
          </w:tcPr>
          <w:p>
            <w:pPr>
              <w:ind w:left="840"/>
              <w:spacing w:after="0"/>
              <w:rPr>
                <w:sz w:val="20"/>
                <w:szCs w:val="20"/>
                <w:color w:val="auto"/>
              </w:rPr>
            </w:pPr>
            <w:r>
              <w:rPr>
                <w:rFonts w:ascii="Times New Roman" w:cs="Times New Roman" w:eastAsia="Times New Roman" w:hAnsi="Times New Roman"/>
                <w:sz w:val="16"/>
                <w:szCs w:val="16"/>
                <w:color w:val="4C4C4E"/>
                <w:w w:val="87"/>
              </w:rPr>
              <w:t>—</w:t>
            </w:r>
          </w:p>
        </w:tc>
        <w:tc>
          <w:tcPr>
            <w:tcW w:w="200" w:type="dxa"/>
            <w:vAlign w:val="bottom"/>
            <w:shd w:val="clear" w:color="auto" w:fill="D8EEF4"/>
          </w:tcPr>
          <w:p>
            <w:pPr>
              <w:spacing w:after="0"/>
              <w:rPr>
                <w:sz w:val="17"/>
                <w:szCs w:val="17"/>
                <w:color w:val="auto"/>
              </w:rPr>
            </w:pPr>
          </w:p>
        </w:tc>
        <w:tc>
          <w:tcPr>
            <w:tcW w:w="2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02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16"/>
                <w:szCs w:val="16"/>
                <w:color w:val="4C4C4E"/>
              </w:rPr>
              <w:t>—</w:t>
            </w:r>
          </w:p>
        </w:tc>
        <w:tc>
          <w:tcPr>
            <w:tcW w:w="0" w:type="dxa"/>
            <w:vAlign w:val="bottom"/>
          </w:tcPr>
          <w:p>
            <w:pPr>
              <w:spacing w:after="0"/>
              <w:rPr>
                <w:sz w:val="1"/>
                <w:szCs w:val="1"/>
                <w:color w:val="auto"/>
              </w:rPr>
            </w:pPr>
          </w:p>
        </w:tc>
      </w:tr>
      <w:tr>
        <w:trPr>
          <w:trHeight w:val="193"/>
        </w:trPr>
        <w:tc>
          <w:tcPr>
            <w:tcW w:w="20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4C4C4E"/>
              </w:rPr>
              <w:t>Total derivatives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spacing w:after="0"/>
              <w:rPr>
                <w:sz w:val="16"/>
                <w:szCs w:val="16"/>
                <w:color w:val="auto"/>
              </w:rPr>
            </w:pPr>
          </w:p>
        </w:tc>
        <w:tc>
          <w:tcPr>
            <w:tcW w:w="20" w:type="dxa"/>
            <w:vAlign w:val="bottom"/>
            <w:tcBorders>
              <w:bottom w:val="single" w:sz="8" w:color="4C4C4E"/>
            </w:tcBorders>
          </w:tcPr>
          <w:p>
            <w:pPr>
              <w:spacing w:after="0"/>
              <w:rPr>
                <w:sz w:val="16"/>
                <w:szCs w:val="16"/>
                <w:color w:val="auto"/>
              </w:rPr>
            </w:pPr>
          </w:p>
        </w:tc>
        <w:tc>
          <w:tcPr>
            <w:tcW w:w="140" w:type="dxa"/>
            <w:vAlign w:val="bottom"/>
            <w:tcBorders>
              <w:top w:val="single" w:sz="8" w:color="4C4C4E"/>
              <w:bottom w:val="single" w:sz="8" w:color="4C4C4E"/>
            </w:tcBorders>
          </w:tcPr>
          <w:p>
            <w:pPr>
              <w:jc w:val="right"/>
              <w:ind w:right="25"/>
              <w:spacing w:after="0"/>
              <w:rPr>
                <w:sz w:val="20"/>
                <w:szCs w:val="20"/>
                <w:color w:val="auto"/>
              </w:rPr>
            </w:pPr>
            <w:r>
              <w:rPr>
                <w:rFonts w:ascii="Times New Roman" w:cs="Times New Roman" w:eastAsia="Times New Roman" w:hAnsi="Times New Roman"/>
                <w:sz w:val="11"/>
                <w:szCs w:val="11"/>
                <w:color w:val="4C4C4E"/>
                <w:w w:val="71"/>
              </w:rPr>
              <w:t>$</w:t>
            </w:r>
          </w:p>
        </w:tc>
        <w:tc>
          <w:tcPr>
            <w:tcW w:w="92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950,000</w:t>
            </w:r>
          </w:p>
        </w:tc>
        <w:tc>
          <w:tcPr>
            <w:tcW w:w="200" w:type="dxa"/>
            <w:vAlign w:val="bottom"/>
          </w:tcPr>
          <w:p>
            <w:pPr>
              <w:spacing w:after="0"/>
              <w:rPr>
                <w:sz w:val="16"/>
                <w:szCs w:val="16"/>
                <w:color w:val="auto"/>
              </w:rPr>
            </w:pPr>
          </w:p>
        </w:tc>
        <w:tc>
          <w:tcPr>
            <w:tcW w:w="20" w:type="dxa"/>
            <w:vAlign w:val="bottom"/>
            <w:tcBorders>
              <w:bottom w:val="single" w:sz="8" w:color="4C4C4E"/>
            </w:tcBorders>
          </w:tcPr>
          <w:p>
            <w:pPr>
              <w:spacing w:after="0"/>
              <w:rPr>
                <w:sz w:val="16"/>
                <w:szCs w:val="16"/>
                <w:color w:val="auto"/>
              </w:rPr>
            </w:pPr>
          </w:p>
        </w:tc>
        <w:tc>
          <w:tcPr>
            <w:tcW w:w="160" w:type="dxa"/>
            <w:vAlign w:val="bottom"/>
            <w:tcBorders>
              <w:top w:val="single" w:sz="8" w:color="4C4C4E"/>
              <w:bottom w:val="single" w:sz="8" w:color="4C4C4E"/>
            </w:tcBorders>
          </w:tcPr>
          <w:p>
            <w:pPr>
              <w:jc w:val="right"/>
              <w:ind w:right="45"/>
              <w:spacing w:after="0"/>
              <w:rPr>
                <w:sz w:val="20"/>
                <w:szCs w:val="20"/>
                <w:color w:val="auto"/>
              </w:rPr>
            </w:pPr>
            <w:r>
              <w:rPr>
                <w:rFonts w:ascii="Times New Roman" w:cs="Times New Roman" w:eastAsia="Times New Roman" w:hAnsi="Times New Roman"/>
                <w:sz w:val="11"/>
                <w:szCs w:val="11"/>
                <w:color w:val="4C4C4E"/>
                <w:w w:val="71"/>
              </w:rPr>
              <w:t>$</w:t>
            </w:r>
          </w:p>
        </w:tc>
        <w:tc>
          <w:tcPr>
            <w:tcW w:w="90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22,363</w:t>
            </w:r>
          </w:p>
        </w:tc>
        <w:tc>
          <w:tcPr>
            <w:tcW w:w="240" w:type="dxa"/>
            <w:vAlign w:val="bottom"/>
          </w:tcPr>
          <w:p>
            <w:pPr>
              <w:spacing w:after="0"/>
              <w:rPr>
                <w:sz w:val="16"/>
                <w:szCs w:val="16"/>
                <w:color w:val="auto"/>
              </w:rPr>
            </w:pPr>
          </w:p>
        </w:tc>
        <w:tc>
          <w:tcPr>
            <w:tcW w:w="20" w:type="dxa"/>
            <w:vAlign w:val="bottom"/>
            <w:tcBorders>
              <w:bottom w:val="single" w:sz="8" w:color="4C4C4E"/>
            </w:tcBorders>
          </w:tcPr>
          <w:p>
            <w:pPr>
              <w:spacing w:after="0"/>
              <w:rPr>
                <w:sz w:val="16"/>
                <w:szCs w:val="16"/>
                <w:color w:val="auto"/>
              </w:rPr>
            </w:pPr>
          </w:p>
        </w:tc>
        <w:tc>
          <w:tcPr>
            <w:tcW w:w="6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1000" w:type="dxa"/>
            <w:vAlign w:val="bottom"/>
            <w:tcBorders>
              <w:top w:val="single" w:sz="8" w:color="4C4C4E"/>
              <w:bottom w:val="single" w:sz="8" w:color="4C4C4E"/>
            </w:tcBorders>
          </w:tcPr>
          <w:p>
            <w:pPr>
              <w:ind w:left="840"/>
              <w:spacing w:after="0"/>
              <w:rPr>
                <w:sz w:val="20"/>
                <w:szCs w:val="20"/>
                <w:color w:val="auto"/>
              </w:rPr>
            </w:pPr>
            <w:r>
              <w:rPr>
                <w:rFonts w:ascii="Times New Roman" w:cs="Times New Roman" w:eastAsia="Times New Roman" w:hAnsi="Times New Roman"/>
                <w:sz w:val="16"/>
                <w:szCs w:val="16"/>
                <w:color w:val="4C4C4E"/>
                <w:w w:val="87"/>
              </w:rPr>
              <w:t>—</w:t>
            </w:r>
          </w:p>
        </w:tc>
        <w:tc>
          <w:tcPr>
            <w:tcW w:w="200" w:type="dxa"/>
            <w:vAlign w:val="bottom"/>
          </w:tcPr>
          <w:p>
            <w:pPr>
              <w:spacing w:after="0"/>
              <w:rPr>
                <w:sz w:val="16"/>
                <w:szCs w:val="16"/>
                <w:color w:val="auto"/>
              </w:rPr>
            </w:pPr>
          </w:p>
        </w:tc>
        <w:tc>
          <w:tcPr>
            <w:tcW w:w="20" w:type="dxa"/>
            <w:vAlign w:val="bottom"/>
            <w:tcBorders>
              <w:bottom w:val="single" w:sz="8" w:color="4C4C4E"/>
            </w:tcBorders>
          </w:tcPr>
          <w:p>
            <w:pPr>
              <w:spacing w:after="0"/>
              <w:rPr>
                <w:sz w:val="16"/>
                <w:szCs w:val="16"/>
                <w:color w:val="auto"/>
              </w:rPr>
            </w:pPr>
          </w:p>
        </w:tc>
        <w:tc>
          <w:tcPr>
            <w:tcW w:w="10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94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(2,807)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92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90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60" w:type="dxa"/>
            <w:vAlign w:val="bottom"/>
            <w:tcBorders>
              <w:bottom w:val="single" w:sz="8" w:color="4C4C4E"/>
            </w:tcBorders>
          </w:tcPr>
          <w:p>
            <w:pPr>
              <w:spacing w:after="0" w:line="20" w:lineRule="exact"/>
              <w:rPr>
                <w:sz w:val="1"/>
                <w:szCs w:val="1"/>
                <w:color w:val="auto"/>
              </w:rPr>
            </w:pPr>
          </w:p>
        </w:tc>
        <w:tc>
          <w:tcPr>
            <w:tcW w:w="100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94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-1427480</wp:posOffset>
            </wp:positionV>
            <wp:extent cx="562038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3">
                      <a:extLst>
                        <a:ext uri="{28A0092B-C50C-407E-A947-70E740481C1C}"/>
                      </a:extLst>
                    </a:blip>
                    <a:srcRect/>
                    <a:stretch>
                      <a:fillRect/>
                    </a:stretch>
                  </pic:blipFill>
                  <pic:spPr bwMode="auto">
                    <a:xfrm>
                      <a:off x="0" y="0"/>
                      <a:ext cx="5620385" cy="38100"/>
                    </a:xfrm>
                    <a:prstGeom prst="rect">
                      <a:avLst/>
                    </a:prstGeom>
                    <a:noFill/>
                  </pic:spPr>
                </pic:pic>
              </a:graphicData>
            </a:graphic>
          </wp:anchor>
        </w:drawing>
      </w:r>
    </w:p>
    <w:p>
      <w:pPr>
        <w:spacing w:after="0" w:line="191" w:lineRule="exact"/>
        <w:rPr>
          <w:sz w:val="20"/>
          <w:szCs w:val="20"/>
          <w:color w:val="auto"/>
        </w:rPr>
      </w:pPr>
    </w:p>
    <w:p>
      <w:pPr>
        <w:ind w:left="983" w:hanging="493"/>
        <w:spacing w:after="0"/>
        <w:tabs>
          <w:tab w:leader="none" w:pos="983" w:val="left"/>
        </w:tabs>
        <w:numPr>
          <w:ilvl w:val="1"/>
          <w:numId w:val="73"/>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Contains a variable rate structure. Bears interest at a rate determined by SOFR.</w:t>
      </w:r>
    </w:p>
    <w:p>
      <w:pPr>
        <w:spacing w:after="0" w:line="28" w:lineRule="exact"/>
        <w:rPr>
          <w:rFonts w:ascii="Times New Roman" w:cs="Times New Roman" w:eastAsia="Times New Roman" w:hAnsi="Times New Roman"/>
          <w:sz w:val="20"/>
          <w:szCs w:val="20"/>
          <w:color w:val="4C4C4E"/>
        </w:rPr>
      </w:pPr>
    </w:p>
    <w:p>
      <w:pPr>
        <w:ind w:left="983" w:right="600" w:hanging="493"/>
        <w:spacing w:after="0" w:line="248" w:lineRule="auto"/>
        <w:tabs>
          <w:tab w:leader="none" w:pos="983" w:val="left"/>
        </w:tabs>
        <w:numPr>
          <w:ilvl w:val="1"/>
          <w:numId w:val="73"/>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Instrument is used in a hedge accounting relationship. The associated change in fair value is recorded along with the change in fair value of the hedged item within interest expense.</w:t>
      </w:r>
    </w:p>
    <w:p>
      <w:pPr>
        <w:spacing w:after="0" w:line="76" w:lineRule="exact"/>
        <w:rPr>
          <w:rFonts w:ascii="Times New Roman" w:cs="Times New Roman" w:eastAsia="Times New Roman" w:hAnsi="Times New Roman"/>
          <w:sz w:val="20"/>
          <w:szCs w:val="20"/>
          <w:color w:val="4C4C4E"/>
        </w:rPr>
      </w:pPr>
    </w:p>
    <w:p>
      <w:pPr>
        <w:ind w:left="483" w:hanging="483"/>
        <w:spacing w:after="0"/>
        <w:tabs>
          <w:tab w:leader="none" w:pos="483" w:val="left"/>
        </w:tabs>
        <w:numPr>
          <w:ilvl w:val="0"/>
          <w:numId w:val="7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Certain portfolio company investments are subject to contractual restrictions on sales.</w:t>
      </w:r>
    </w:p>
    <w:p>
      <w:pPr>
        <w:spacing w:after="0" w:line="28" w:lineRule="exact"/>
        <w:rPr>
          <w:rFonts w:ascii="Times New Roman" w:cs="Times New Roman" w:eastAsia="Times New Roman" w:hAnsi="Times New Roman"/>
          <w:sz w:val="20"/>
          <w:szCs w:val="20"/>
          <w:color w:val="4C4C4E"/>
        </w:rPr>
      </w:pPr>
    </w:p>
    <w:p>
      <w:pPr>
        <w:ind w:left="483" w:right="260" w:hanging="483"/>
        <w:spacing w:after="0"/>
        <w:tabs>
          <w:tab w:leader="none" w:pos="483" w:val="left"/>
        </w:tabs>
        <w:numPr>
          <w:ilvl w:val="0"/>
          <w:numId w:val="7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amortized cost represents the original cost adjusted for the amortization of discounts and premiums, as applicable, on debt investments using the effective interest method.</w:t>
      </w:r>
    </w:p>
    <w:p>
      <w:pPr>
        <w:ind w:left="483" w:right="100" w:hanging="483"/>
        <w:spacing w:after="0"/>
        <w:tabs>
          <w:tab w:leader="none" w:pos="483" w:val="left"/>
        </w:tabs>
        <w:numPr>
          <w:ilvl w:val="0"/>
          <w:numId w:val="7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ind w:left="483" w:right="180" w:hanging="483"/>
        <w:spacing w:after="0"/>
        <w:tabs>
          <w:tab w:leader="none" w:pos="483" w:val="left"/>
        </w:tabs>
        <w:numPr>
          <w:ilvl w:val="0"/>
          <w:numId w:val="7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December 31, 2024.</w:t>
      </w:r>
    </w:p>
    <w:p>
      <w:pPr>
        <w:ind w:left="483" w:right="60" w:hanging="483"/>
        <w:spacing w:after="0"/>
        <w:tabs>
          <w:tab w:leader="none" w:pos="483" w:val="left"/>
        </w:tabs>
        <w:numPr>
          <w:ilvl w:val="0"/>
          <w:numId w:val="7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483" w:right="60" w:hanging="483"/>
        <w:spacing w:after="0" w:line="242" w:lineRule="auto"/>
        <w:tabs>
          <w:tab w:leader="none" w:pos="483" w:val="left"/>
        </w:tabs>
        <w:numPr>
          <w:ilvl w:val="0"/>
          <w:numId w:val="7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2024 in which the issuer was an Affiliated Person of and was deemed to Control a portfolio company are as follows:</w:t>
      </w:r>
    </w:p>
    <w:p>
      <w:pPr>
        <w:spacing w:after="0" w:line="6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4C4C4E"/>
        </w:rPr>
        <w:t>Controlled, Affiliated Investments during the year ended December 31, 2024</w:t>
      </w:r>
    </w:p>
    <w:p>
      <w:pPr>
        <w:spacing w:after="0" w:line="12"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4C4C4E"/>
            </w:tcBorders>
          </w:tcPr>
          <w:p>
            <w:pPr>
              <w:spacing w:after="0"/>
              <w:rPr>
                <w:sz w:val="13"/>
                <w:szCs w:val="13"/>
                <w:color w:val="auto"/>
              </w:rPr>
            </w:pPr>
          </w:p>
        </w:tc>
        <w:tc>
          <w:tcPr>
            <w:tcW w:w="1100" w:type="dxa"/>
            <w:vAlign w:val="bottom"/>
            <w:tcBorders>
              <w:top w:val="single" w:sz="8" w:color="4C4C4E"/>
            </w:tcBorders>
            <w:gridSpan w:val="5"/>
          </w:tcPr>
          <w:p>
            <w:pPr>
              <w:jc w:val="center"/>
              <w:ind w:right="360"/>
              <w:spacing w:after="0" w:line="154" w:lineRule="exact"/>
              <w:rPr>
                <w:sz w:val="20"/>
                <w:szCs w:val="20"/>
                <w:color w:val="auto"/>
              </w:rPr>
            </w:pPr>
            <w:r>
              <w:rPr>
                <w:rFonts w:ascii="Times New Roman" w:cs="Times New Roman" w:eastAsia="Times New Roman" w:hAnsi="Times New Roman"/>
                <w:sz w:val="16"/>
                <w:szCs w:val="16"/>
                <w:b w:val="1"/>
                <w:bCs w:val="1"/>
                <w:color w:val="4C4C4E"/>
              </w:rPr>
              <w:t>Fair</w:t>
            </w:r>
          </w:p>
        </w:tc>
        <w:tc>
          <w:tcPr>
            <w:tcW w:w="80" w:type="dxa"/>
            <w:vAlign w:val="bottom"/>
            <w:tcBorders>
              <w:top w:val="single" w:sz="8" w:color="4C4C4E"/>
            </w:tcBorders>
          </w:tcPr>
          <w:p>
            <w:pPr>
              <w:spacing w:after="0"/>
              <w:rPr>
                <w:sz w:val="13"/>
                <w:szCs w:val="13"/>
                <w:color w:val="auto"/>
              </w:rPr>
            </w:pPr>
          </w:p>
        </w:tc>
        <w:tc>
          <w:tcPr>
            <w:tcW w:w="600" w:type="dxa"/>
            <w:vAlign w:val="bottom"/>
            <w:tcBorders>
              <w:top w:val="single" w:sz="8" w:color="4C4C4E"/>
            </w:tcBorders>
          </w:tcPr>
          <w:p>
            <w:pPr>
              <w:spacing w:after="0"/>
              <w:rPr>
                <w:sz w:val="13"/>
                <w:szCs w:val="13"/>
                <w:color w:val="auto"/>
              </w:rPr>
            </w:pPr>
          </w:p>
        </w:tc>
        <w:tc>
          <w:tcPr>
            <w:tcW w:w="20" w:type="dxa"/>
            <w:vAlign w:val="bottom"/>
            <w:tcBorders>
              <w:top w:val="single" w:sz="8" w:color="4C4C4E"/>
            </w:tcBorders>
          </w:tcPr>
          <w:p>
            <w:pPr>
              <w:spacing w:after="0"/>
              <w:rPr>
                <w:sz w:val="13"/>
                <w:szCs w:val="13"/>
                <w:color w:val="auto"/>
              </w:rPr>
            </w:pPr>
          </w:p>
        </w:tc>
        <w:tc>
          <w:tcPr>
            <w:tcW w:w="140" w:type="dxa"/>
            <w:vAlign w:val="bottom"/>
            <w:tcBorders>
              <w:top w:val="single" w:sz="8" w:color="4C4C4E"/>
            </w:tcBorders>
          </w:tcPr>
          <w:p>
            <w:pPr>
              <w:spacing w:after="0"/>
              <w:rPr>
                <w:sz w:val="13"/>
                <w:szCs w:val="13"/>
                <w:color w:val="auto"/>
              </w:rPr>
            </w:pPr>
          </w:p>
        </w:tc>
        <w:tc>
          <w:tcPr>
            <w:tcW w:w="20" w:type="dxa"/>
            <w:vAlign w:val="bottom"/>
            <w:tcBorders>
              <w:top w:val="single" w:sz="8" w:color="4C4C4E"/>
            </w:tcBorders>
          </w:tcPr>
          <w:p>
            <w:pPr>
              <w:spacing w:after="0"/>
              <w:rPr>
                <w:sz w:val="13"/>
                <w:szCs w:val="13"/>
                <w:color w:val="auto"/>
              </w:rPr>
            </w:pPr>
          </w:p>
        </w:tc>
        <w:tc>
          <w:tcPr>
            <w:tcW w:w="120" w:type="dxa"/>
            <w:vAlign w:val="bottom"/>
            <w:tcBorders>
              <w:top w:val="single" w:sz="8" w:color="4C4C4E"/>
            </w:tcBorders>
          </w:tcPr>
          <w:p>
            <w:pPr>
              <w:spacing w:after="0"/>
              <w:rPr>
                <w:sz w:val="13"/>
                <w:szCs w:val="13"/>
                <w:color w:val="auto"/>
              </w:rPr>
            </w:pPr>
          </w:p>
        </w:tc>
        <w:tc>
          <w:tcPr>
            <w:tcW w:w="840" w:type="dxa"/>
            <w:vAlign w:val="bottom"/>
            <w:tcBorders>
              <w:top w:val="single" w:sz="8" w:color="4C4C4E"/>
            </w:tcBorders>
            <w:gridSpan w:val="4"/>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4C4C4E"/>
                <w:w w:val="99"/>
              </w:rPr>
              <w:t>Gross</w:t>
            </w:r>
          </w:p>
        </w:tc>
        <w:tc>
          <w:tcPr>
            <w:tcW w:w="280" w:type="dxa"/>
            <w:vAlign w:val="bottom"/>
            <w:tcBorders>
              <w:top w:val="single" w:sz="8" w:color="4C4C4E"/>
            </w:tcBorders>
          </w:tcPr>
          <w:p>
            <w:pPr>
              <w:spacing w:after="0"/>
              <w:rPr>
                <w:sz w:val="13"/>
                <w:szCs w:val="13"/>
                <w:color w:val="auto"/>
              </w:rPr>
            </w:pPr>
          </w:p>
        </w:tc>
        <w:tc>
          <w:tcPr>
            <w:tcW w:w="660" w:type="dxa"/>
            <w:vAlign w:val="bottom"/>
            <w:tcBorders>
              <w:top w:val="single" w:sz="8" w:color="4C4C4E"/>
            </w:tcBorders>
          </w:tcPr>
          <w:p>
            <w:pPr>
              <w:spacing w:after="0"/>
              <w:rPr>
                <w:sz w:val="13"/>
                <w:szCs w:val="13"/>
                <w:color w:val="auto"/>
              </w:rPr>
            </w:pPr>
          </w:p>
        </w:tc>
        <w:tc>
          <w:tcPr>
            <w:tcW w:w="20" w:type="dxa"/>
            <w:vAlign w:val="bottom"/>
            <w:tcBorders>
              <w:top w:val="single" w:sz="8" w:color="4C4C4E"/>
            </w:tcBorders>
          </w:tcPr>
          <w:p>
            <w:pPr>
              <w:spacing w:after="0"/>
              <w:rPr>
                <w:sz w:val="13"/>
                <w:szCs w:val="13"/>
                <w:color w:val="auto"/>
              </w:rPr>
            </w:pPr>
          </w:p>
        </w:tc>
        <w:tc>
          <w:tcPr>
            <w:tcW w:w="180" w:type="dxa"/>
            <w:vAlign w:val="bottom"/>
            <w:tcBorders>
              <w:top w:val="single" w:sz="8" w:color="4C4C4E"/>
            </w:tcBorders>
          </w:tcPr>
          <w:p>
            <w:pPr>
              <w:spacing w:after="0"/>
              <w:rPr>
                <w:sz w:val="13"/>
                <w:szCs w:val="13"/>
                <w:color w:val="auto"/>
              </w:rPr>
            </w:pPr>
          </w:p>
        </w:tc>
        <w:tc>
          <w:tcPr>
            <w:tcW w:w="20" w:type="dxa"/>
            <w:vAlign w:val="bottom"/>
            <w:tcBorders>
              <w:top w:val="single" w:sz="8" w:color="4C4C4E"/>
            </w:tcBorders>
          </w:tcPr>
          <w:p>
            <w:pPr>
              <w:spacing w:after="0"/>
              <w:rPr>
                <w:sz w:val="13"/>
                <w:szCs w:val="13"/>
                <w:color w:val="auto"/>
              </w:rPr>
            </w:pPr>
          </w:p>
        </w:tc>
        <w:tc>
          <w:tcPr>
            <w:tcW w:w="100" w:type="dxa"/>
            <w:vAlign w:val="bottom"/>
            <w:tcBorders>
              <w:top w:val="single" w:sz="8" w:color="4C4C4E"/>
            </w:tcBorders>
          </w:tcPr>
          <w:p>
            <w:pPr>
              <w:spacing w:after="0"/>
              <w:rPr>
                <w:sz w:val="13"/>
                <w:szCs w:val="13"/>
                <w:color w:val="auto"/>
              </w:rPr>
            </w:pPr>
          </w:p>
        </w:tc>
        <w:tc>
          <w:tcPr>
            <w:tcW w:w="760" w:type="dxa"/>
            <w:vAlign w:val="bottom"/>
            <w:tcBorders>
              <w:top w:val="single" w:sz="8" w:color="4C4C4E"/>
            </w:tcBorders>
          </w:tcPr>
          <w:p>
            <w:pPr>
              <w:spacing w:after="0"/>
              <w:rPr>
                <w:sz w:val="13"/>
                <w:szCs w:val="13"/>
                <w:color w:val="auto"/>
              </w:rPr>
            </w:pPr>
          </w:p>
        </w:tc>
        <w:tc>
          <w:tcPr>
            <w:tcW w:w="20" w:type="dxa"/>
            <w:vAlign w:val="bottom"/>
            <w:tcBorders>
              <w:top w:val="single" w:sz="8" w:color="4C4C4E"/>
            </w:tcBorders>
          </w:tcPr>
          <w:p>
            <w:pPr>
              <w:spacing w:after="0"/>
              <w:rPr>
                <w:sz w:val="13"/>
                <w:szCs w:val="13"/>
                <w:color w:val="auto"/>
              </w:rPr>
            </w:pPr>
          </w:p>
        </w:tc>
        <w:tc>
          <w:tcPr>
            <w:tcW w:w="140" w:type="dxa"/>
            <w:vAlign w:val="bottom"/>
            <w:tcBorders>
              <w:top w:val="single" w:sz="8" w:color="4C4C4E"/>
            </w:tcBorders>
          </w:tcPr>
          <w:p>
            <w:pPr>
              <w:spacing w:after="0"/>
              <w:rPr>
                <w:sz w:val="13"/>
                <w:szCs w:val="13"/>
                <w:color w:val="auto"/>
              </w:rPr>
            </w:pPr>
          </w:p>
        </w:tc>
        <w:tc>
          <w:tcPr>
            <w:tcW w:w="20" w:type="dxa"/>
            <w:vAlign w:val="bottom"/>
            <w:tcBorders>
              <w:top w:val="single" w:sz="8" w:color="4C4C4E"/>
            </w:tcBorders>
          </w:tcPr>
          <w:p>
            <w:pPr>
              <w:spacing w:after="0"/>
              <w:rPr>
                <w:sz w:val="13"/>
                <w:szCs w:val="13"/>
                <w:color w:val="auto"/>
              </w:rPr>
            </w:pPr>
          </w:p>
        </w:tc>
        <w:tc>
          <w:tcPr>
            <w:tcW w:w="320" w:type="dxa"/>
            <w:vAlign w:val="bottom"/>
            <w:tcBorders>
              <w:top w:val="single" w:sz="8" w:color="4C4C4E"/>
            </w:tcBorders>
          </w:tcPr>
          <w:p>
            <w:pPr>
              <w:spacing w:after="0"/>
              <w:rPr>
                <w:sz w:val="13"/>
                <w:szCs w:val="13"/>
                <w:color w:val="auto"/>
              </w:rPr>
            </w:pPr>
          </w:p>
        </w:tc>
        <w:tc>
          <w:tcPr>
            <w:tcW w:w="400" w:type="dxa"/>
            <w:vAlign w:val="bottom"/>
            <w:tcBorders>
              <w:top w:val="single" w:sz="8" w:color="4C4C4E"/>
            </w:tcBorders>
          </w:tcPr>
          <w:p>
            <w:pPr>
              <w:spacing w:after="0"/>
              <w:rPr>
                <w:sz w:val="13"/>
                <w:szCs w:val="13"/>
                <w:color w:val="auto"/>
              </w:rPr>
            </w:pPr>
          </w:p>
        </w:tc>
        <w:tc>
          <w:tcPr>
            <w:tcW w:w="20" w:type="dxa"/>
            <w:vAlign w:val="bottom"/>
            <w:tcBorders>
              <w:top w:val="single" w:sz="8" w:color="4C4C4E"/>
            </w:tcBorders>
          </w:tcPr>
          <w:p>
            <w:pPr>
              <w:spacing w:after="0"/>
              <w:rPr>
                <w:sz w:val="13"/>
                <w:szCs w:val="13"/>
                <w:color w:val="auto"/>
              </w:rPr>
            </w:pPr>
          </w:p>
        </w:tc>
        <w:tc>
          <w:tcPr>
            <w:tcW w:w="200" w:type="dxa"/>
            <w:vAlign w:val="bottom"/>
            <w:tcBorders>
              <w:top w:val="single" w:sz="8" w:color="4C4C4E"/>
            </w:tcBorders>
          </w:tcPr>
          <w:p>
            <w:pPr>
              <w:spacing w:after="0"/>
              <w:rPr>
                <w:sz w:val="13"/>
                <w:szCs w:val="13"/>
                <w:color w:val="auto"/>
              </w:rPr>
            </w:pPr>
          </w:p>
        </w:tc>
        <w:tc>
          <w:tcPr>
            <w:tcW w:w="20" w:type="dxa"/>
            <w:vAlign w:val="bottom"/>
            <w:tcBorders>
              <w:top w:val="single" w:sz="8" w:color="4C4C4E"/>
            </w:tcBorders>
          </w:tcPr>
          <w:p>
            <w:pPr>
              <w:spacing w:after="0"/>
              <w:rPr>
                <w:sz w:val="13"/>
                <w:szCs w:val="13"/>
                <w:color w:val="auto"/>
              </w:rPr>
            </w:pPr>
          </w:p>
        </w:tc>
        <w:tc>
          <w:tcPr>
            <w:tcW w:w="120" w:type="dxa"/>
            <w:vAlign w:val="bottom"/>
            <w:tcBorders>
              <w:top w:val="single" w:sz="8" w:color="4C4C4E"/>
            </w:tcBorders>
          </w:tcPr>
          <w:p>
            <w:pPr>
              <w:spacing w:after="0"/>
              <w:rPr>
                <w:sz w:val="13"/>
                <w:szCs w:val="13"/>
                <w:color w:val="auto"/>
              </w:rPr>
            </w:pPr>
          </w:p>
        </w:tc>
        <w:tc>
          <w:tcPr>
            <w:tcW w:w="200" w:type="dxa"/>
            <w:vAlign w:val="bottom"/>
            <w:tcBorders>
              <w:top w:val="single" w:sz="8" w:color="4C4C4E"/>
            </w:tcBorders>
          </w:tcPr>
          <w:p>
            <w:pPr>
              <w:spacing w:after="0"/>
              <w:rPr>
                <w:sz w:val="13"/>
                <w:szCs w:val="13"/>
                <w:color w:val="auto"/>
              </w:rPr>
            </w:pPr>
          </w:p>
        </w:tc>
        <w:tc>
          <w:tcPr>
            <w:tcW w:w="800" w:type="dxa"/>
            <w:vAlign w:val="bottom"/>
            <w:gridSpan w:val="4"/>
          </w:tcPr>
          <w:p>
            <w:pPr>
              <w:jc w:val="center"/>
              <w:ind w:right="520"/>
              <w:spacing w:after="0" w:line="154" w:lineRule="exact"/>
              <w:rPr>
                <w:sz w:val="20"/>
                <w:szCs w:val="20"/>
                <w:color w:val="auto"/>
              </w:rPr>
            </w:pPr>
            <w:r>
              <w:rPr>
                <w:rFonts w:ascii="Times New Roman" w:cs="Times New Roman" w:eastAsia="Times New Roman" w:hAnsi="Times New Roman"/>
                <w:sz w:val="16"/>
                <w:szCs w:val="16"/>
                <w:b w:val="1"/>
                <w:bCs w:val="1"/>
                <w:color w:val="4C4C4E"/>
                <w:w w:val="95"/>
              </w:rPr>
              <w:t>Fair</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5"/>
          </w:tcPr>
          <w:p>
            <w:pPr>
              <w:jc w:val="center"/>
              <w:ind w:right="360"/>
              <w:spacing w:after="0" w:line="176" w:lineRule="exact"/>
              <w:rPr>
                <w:sz w:val="20"/>
                <w:szCs w:val="20"/>
                <w:color w:val="auto"/>
              </w:rPr>
            </w:pPr>
            <w:r>
              <w:rPr>
                <w:rFonts w:ascii="Times New Roman" w:cs="Times New Roman" w:eastAsia="Times New Roman" w:hAnsi="Times New Roman"/>
                <w:sz w:val="16"/>
                <w:szCs w:val="16"/>
                <w:b w:val="1"/>
                <w:bCs w:val="1"/>
                <w:color w:val="4C4C4E"/>
              </w:rPr>
              <w:t>Value at</w:t>
            </w:r>
          </w:p>
        </w:tc>
        <w:tc>
          <w:tcPr>
            <w:tcW w:w="80" w:type="dxa"/>
            <w:vAlign w:val="bottom"/>
          </w:tcPr>
          <w:p>
            <w:pPr>
              <w:spacing w:after="0"/>
              <w:rPr>
                <w:sz w:val="15"/>
                <w:szCs w:val="15"/>
                <w:color w:val="auto"/>
              </w:rPr>
            </w:pPr>
          </w:p>
        </w:tc>
        <w:tc>
          <w:tcPr>
            <w:tcW w:w="6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6"/>
                <w:szCs w:val="16"/>
                <w:b w:val="1"/>
                <w:bCs w:val="1"/>
                <w:color w:val="4C4C4E"/>
              </w:rPr>
              <w:t>Gross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116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6"/>
                <w:szCs w:val="16"/>
                <w:b w:val="1"/>
                <w:bCs w:val="1"/>
                <w:color w:val="4C4C4E"/>
              </w:rPr>
              <w:t>Net Change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center"/>
              <w:ind w:right="320"/>
              <w:spacing w:after="0" w:line="176" w:lineRule="exact"/>
              <w:rPr>
                <w:sz w:val="20"/>
                <w:szCs w:val="20"/>
                <w:color w:val="auto"/>
              </w:rPr>
            </w:pPr>
            <w:r>
              <w:rPr>
                <w:rFonts w:ascii="Times New Roman" w:cs="Times New Roman" w:eastAsia="Times New Roman" w:hAnsi="Times New Roman"/>
                <w:sz w:val="16"/>
                <w:szCs w:val="16"/>
                <w:b w:val="1"/>
                <w:bCs w:val="1"/>
                <w:color w:val="4C4C4E"/>
                <w:w w:val="97"/>
              </w:rPr>
              <w:t>Value at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4C4C4E"/>
              </w:rPr>
              <w:t>December 31,</w:t>
            </w:r>
          </w:p>
        </w:tc>
        <w:tc>
          <w:tcPr>
            <w:tcW w:w="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4C4C4E"/>
              </w:rPr>
              <w:t>Additions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4C4C4E"/>
              </w:rPr>
              <w:t>Reductions</w:t>
            </w:r>
          </w:p>
        </w:tc>
        <w:tc>
          <w:tcPr>
            <w:tcW w:w="11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4C4C4E"/>
              </w:rPr>
              <w:t>In Unrealized</w:t>
            </w:r>
          </w:p>
        </w:tc>
        <w:tc>
          <w:tcPr>
            <w:tcW w:w="100" w:type="dxa"/>
            <w:vAlign w:val="bottom"/>
          </w:tcPr>
          <w:p>
            <w:pPr>
              <w:spacing w:after="0"/>
              <w:rPr>
                <w:sz w:val="16"/>
                <w:szCs w:val="16"/>
                <w:color w:val="auto"/>
              </w:rPr>
            </w:pPr>
          </w:p>
        </w:tc>
        <w:tc>
          <w:tcPr>
            <w:tcW w:w="9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4C4C4E"/>
              </w:rPr>
              <w:t>Realized</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4C4C4E"/>
                <w:w w:val="98"/>
              </w:rPr>
              <w:t>December 31,</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C4C4E"/>
              </w:rPr>
              <w:t>Other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4C4C4E"/>
              </w:rPr>
              <w:t>Interest</w:t>
            </w:r>
          </w:p>
        </w:tc>
        <w:tc>
          <w:tcPr>
            <w:tcW w:w="0" w:type="dxa"/>
            <w:vAlign w:val="bottom"/>
          </w:tcPr>
          <w:p>
            <w:pPr>
              <w:spacing w:after="0"/>
              <w:rPr>
                <w:sz w:val="1"/>
                <w:szCs w:val="1"/>
                <w:color w:val="auto"/>
              </w:rPr>
            </w:pPr>
          </w:p>
        </w:tc>
      </w:tr>
      <w:tr>
        <w:trPr>
          <w:trHeight w:val="203"/>
        </w:trPr>
        <w:tc>
          <w:tcPr>
            <w:tcW w:w="202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4C4C4E"/>
              </w:rPr>
              <w:t>Company</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4C4C4E"/>
                <w:w w:val="99"/>
              </w:rPr>
              <w:t>2023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4C4C4E"/>
              </w:rPr>
              <w:t>(a)</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4C4C4E"/>
              </w:rPr>
              <w:t>(b)</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4C4C4E"/>
              </w:rPr>
              <w:t>Gain/(Loss)</w:t>
            </w:r>
          </w:p>
        </w:tc>
        <w:tc>
          <w:tcPr>
            <w:tcW w:w="10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4C4C4E"/>
                <w:w w:val="99"/>
              </w:rPr>
              <w:t>Gain/(Loss)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4C4C4E"/>
              </w:rPr>
              <w:t>Transfers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4C4C4E"/>
                <w:w w:val="99"/>
              </w:rPr>
              <w:t>2024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4C4C4E"/>
              </w:rPr>
              <w:t>Income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4C4C4E"/>
              </w:rPr>
              <w:t>Income</w:t>
            </w:r>
          </w:p>
        </w:tc>
        <w:tc>
          <w:tcPr>
            <w:tcW w:w="0" w:type="dxa"/>
            <w:vAlign w:val="bottom"/>
          </w:tcPr>
          <w:p>
            <w:pPr>
              <w:spacing w:after="0"/>
              <w:rPr>
                <w:sz w:val="1"/>
                <w:szCs w:val="1"/>
                <w:color w:val="auto"/>
              </w:rPr>
            </w:pPr>
          </w:p>
        </w:tc>
      </w:tr>
      <w:tr>
        <w:trPr>
          <w:trHeight w:val="179"/>
        </w:trPr>
        <w:tc>
          <w:tcPr>
            <w:tcW w:w="2020" w:type="dxa"/>
            <w:vAlign w:val="bottom"/>
            <w:tcBorders>
              <w:top w:val="single" w:sz="8" w:color="4C4C4E"/>
            </w:tcBorders>
            <w:shd w:val="clear" w:color="auto" w:fill="D8EEF4"/>
          </w:tcPr>
          <w:p>
            <w:pPr>
              <w:spacing w:after="0" w:line="179" w:lineRule="exact"/>
              <w:rPr>
                <w:sz w:val="20"/>
                <w:szCs w:val="20"/>
                <w:color w:val="auto"/>
              </w:rPr>
            </w:pPr>
            <w:r>
              <w:rPr>
                <w:rFonts w:ascii="Times New Roman" w:cs="Times New Roman" w:eastAsia="Times New Roman" w:hAnsi="Times New Roman"/>
                <w:sz w:val="16"/>
                <w:szCs w:val="16"/>
                <w:color w:val="4C4C4E"/>
              </w:rPr>
              <w:t>IRGSE Holding Corp.</w:t>
            </w:r>
          </w:p>
        </w:tc>
        <w:tc>
          <w:tcPr>
            <w:tcW w:w="1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40" w:type="dxa"/>
            <w:vAlign w:val="bottom"/>
            <w:tcBorders>
              <w:top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940" w:type="dxa"/>
            <w:vAlign w:val="bottom"/>
            <w:tcBorders>
              <w:top w:val="single" w:sz="8" w:color="4C4C4E"/>
            </w:tcBorders>
            <w:gridSpan w:val="2"/>
            <w:shd w:val="clear" w:color="auto" w:fill="D8EEF4"/>
          </w:tcPr>
          <w:p>
            <w:pPr>
              <w:jc w:val="right"/>
              <w:ind w:right="20"/>
              <w:spacing w:after="0" w:line="179" w:lineRule="exact"/>
              <w:rPr>
                <w:sz w:val="20"/>
                <w:szCs w:val="20"/>
                <w:color w:val="auto"/>
              </w:rPr>
            </w:pPr>
            <w:r>
              <w:rPr>
                <w:rFonts w:ascii="Times New Roman" w:cs="Times New Roman" w:eastAsia="Times New Roman" w:hAnsi="Times New Roman"/>
                <w:sz w:val="16"/>
                <w:szCs w:val="16"/>
                <w:color w:val="4C4C4E"/>
              </w:rPr>
              <w:t>59,913</w:t>
            </w:r>
          </w:p>
        </w:tc>
        <w:tc>
          <w:tcPr>
            <w:tcW w:w="20" w:type="dxa"/>
            <w:vAlign w:val="bottom"/>
            <w:tcBorders>
              <w:top w:val="single" w:sz="8" w:color="D8EEF4"/>
            </w:tcBorders>
            <w:shd w:val="clear" w:color="auto" w:fill="D8EEF4"/>
          </w:tcPr>
          <w:p>
            <w:pPr>
              <w:spacing w:after="0"/>
              <w:rPr>
                <w:sz w:val="15"/>
                <w:szCs w:val="15"/>
                <w:color w:val="auto"/>
              </w:rPr>
            </w:pPr>
          </w:p>
        </w:tc>
        <w:tc>
          <w:tcPr>
            <w:tcW w:w="1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spacing w:after="0" w:line="179" w:lineRule="exact"/>
              <w:rPr>
                <w:sz w:val="20"/>
                <w:szCs w:val="20"/>
                <w:color w:val="auto"/>
              </w:rPr>
            </w:pPr>
            <w:r>
              <w:rPr>
                <w:rFonts w:ascii="Times New Roman" w:cs="Times New Roman" w:eastAsia="Times New Roman" w:hAnsi="Times New Roman"/>
                <w:sz w:val="16"/>
                <w:szCs w:val="16"/>
                <w:color w:val="4C4C4E"/>
                <w:w w:val="74"/>
                <w:shd w:val="clear" w:color="auto" w:fill="D8EEF4"/>
              </w:rPr>
              <w:t>$</w:t>
            </w:r>
          </w:p>
        </w:tc>
        <w:tc>
          <w:tcPr>
            <w:tcW w:w="620" w:type="dxa"/>
            <w:vAlign w:val="bottom"/>
            <w:tcBorders>
              <w:top w:val="single" w:sz="8" w:color="4C4C4E"/>
            </w:tcBorders>
            <w:gridSpan w:val="2"/>
            <w:shd w:val="clear" w:color="auto" w:fill="D8EEF4"/>
          </w:tcPr>
          <w:p>
            <w:pPr>
              <w:ind w:left="160"/>
              <w:spacing w:after="0" w:line="179" w:lineRule="exact"/>
              <w:rPr>
                <w:sz w:val="20"/>
                <w:szCs w:val="20"/>
                <w:color w:val="auto"/>
              </w:rPr>
            </w:pPr>
            <w:r>
              <w:rPr>
                <w:rFonts w:ascii="Times New Roman" w:cs="Times New Roman" w:eastAsia="Times New Roman" w:hAnsi="Times New Roman"/>
                <w:sz w:val="16"/>
                <w:szCs w:val="16"/>
                <w:color w:val="4C4C4E"/>
                <w:w w:val="99"/>
                <w:shd w:val="clear" w:color="auto" w:fill="D8EEF4"/>
              </w:rPr>
              <w:t>10,351</w:t>
            </w:r>
          </w:p>
        </w:tc>
        <w:tc>
          <w:tcPr>
            <w:tcW w:w="14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20" w:type="dxa"/>
            <w:vAlign w:val="bottom"/>
            <w:tcBorders>
              <w:top w:val="single" w:sz="8" w:color="4C4C4E"/>
            </w:tcBorders>
            <w:shd w:val="clear" w:color="auto" w:fill="D8EEF4"/>
          </w:tcPr>
          <w:p>
            <w:pPr>
              <w:spacing w:after="0" w:line="179" w:lineRule="exact"/>
              <w:rPr>
                <w:sz w:val="20"/>
                <w:szCs w:val="20"/>
                <w:color w:val="auto"/>
              </w:rPr>
            </w:pPr>
            <w:r>
              <w:rPr>
                <w:rFonts w:ascii="Times New Roman" w:cs="Times New Roman" w:eastAsia="Times New Roman" w:hAnsi="Times New Roman"/>
                <w:sz w:val="16"/>
                <w:szCs w:val="16"/>
                <w:color w:val="4C4C4E"/>
              </w:rPr>
              <w:t>$</w:t>
            </w:r>
          </w:p>
        </w:tc>
        <w:tc>
          <w:tcPr>
            <w:tcW w:w="680" w:type="dxa"/>
            <w:vAlign w:val="bottom"/>
            <w:tcBorders>
              <w:top w:val="single" w:sz="8" w:color="4C4C4E"/>
            </w:tcBorders>
            <w:gridSpan w:val="2"/>
            <w:shd w:val="clear" w:color="auto" w:fill="D8EEF4"/>
          </w:tcPr>
          <w:p>
            <w:pPr>
              <w:ind w:left="500"/>
              <w:spacing w:after="0" w:line="179" w:lineRule="exact"/>
              <w:rPr>
                <w:sz w:val="20"/>
                <w:szCs w:val="20"/>
                <w:color w:val="auto"/>
              </w:rPr>
            </w:pPr>
            <w:r>
              <w:rPr>
                <w:rFonts w:ascii="Times New Roman" w:cs="Times New Roman" w:eastAsia="Times New Roman" w:hAnsi="Times New Roman"/>
                <w:sz w:val="16"/>
                <w:szCs w:val="16"/>
                <w:color w:val="4C4C4E"/>
                <w:w w:val="99"/>
              </w:rPr>
              <w:t>—</w:t>
            </w:r>
          </w:p>
        </w:tc>
        <w:tc>
          <w:tcPr>
            <w:tcW w:w="14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280" w:type="dxa"/>
            <w:vAlign w:val="bottom"/>
            <w:tcBorders>
              <w:top w:val="single" w:sz="8" w:color="4C4C4E"/>
            </w:tcBorders>
            <w:shd w:val="clear" w:color="auto" w:fill="D8EEF4"/>
          </w:tcPr>
          <w:p>
            <w:pPr>
              <w:spacing w:after="0" w:line="179" w:lineRule="exact"/>
              <w:rPr>
                <w:sz w:val="20"/>
                <w:szCs w:val="20"/>
                <w:color w:val="auto"/>
              </w:rPr>
            </w:pPr>
            <w:r>
              <w:rPr>
                <w:rFonts w:ascii="Times New Roman" w:cs="Times New Roman" w:eastAsia="Times New Roman" w:hAnsi="Times New Roman"/>
                <w:sz w:val="16"/>
                <w:szCs w:val="16"/>
                <w:color w:val="4C4C4E"/>
              </w:rPr>
              <w:t>$</w:t>
            </w:r>
          </w:p>
        </w:tc>
        <w:tc>
          <w:tcPr>
            <w:tcW w:w="680" w:type="dxa"/>
            <w:vAlign w:val="bottom"/>
            <w:tcBorders>
              <w:top w:val="single" w:sz="8" w:color="4C4C4E"/>
            </w:tcBorders>
            <w:gridSpan w:val="2"/>
            <w:shd w:val="clear" w:color="auto" w:fill="D8EEF4"/>
          </w:tcPr>
          <w:p>
            <w:pPr>
              <w:jc w:val="right"/>
              <w:ind w:right="20"/>
              <w:spacing w:after="0" w:line="179" w:lineRule="exact"/>
              <w:rPr>
                <w:sz w:val="20"/>
                <w:szCs w:val="20"/>
                <w:color w:val="auto"/>
              </w:rPr>
            </w:pPr>
            <w:r>
              <w:rPr>
                <w:rFonts w:ascii="Times New Roman" w:cs="Times New Roman" w:eastAsia="Times New Roman" w:hAnsi="Times New Roman"/>
                <w:sz w:val="16"/>
                <w:szCs w:val="16"/>
                <w:color w:val="4C4C4E"/>
              </w:rPr>
              <w:t>(5,169)</w:t>
            </w:r>
          </w:p>
        </w:tc>
        <w:tc>
          <w:tcPr>
            <w:tcW w:w="18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780" w:type="dxa"/>
            <w:vAlign w:val="bottom"/>
            <w:tcBorders>
              <w:top w:val="single" w:sz="8" w:color="4C4C4E"/>
            </w:tcBorders>
            <w:gridSpan w:val="2"/>
            <w:shd w:val="clear" w:color="auto" w:fill="D8EEF4"/>
          </w:tcPr>
          <w:p>
            <w:pPr>
              <w:ind w:left="600"/>
              <w:spacing w:after="0" w:line="179" w:lineRule="exact"/>
              <w:rPr>
                <w:sz w:val="20"/>
                <w:szCs w:val="20"/>
                <w:color w:val="auto"/>
              </w:rPr>
            </w:pPr>
            <w:r>
              <w:rPr>
                <w:rFonts w:ascii="Times New Roman" w:cs="Times New Roman" w:eastAsia="Times New Roman" w:hAnsi="Times New Roman"/>
                <w:sz w:val="16"/>
                <w:szCs w:val="16"/>
                <w:color w:val="4C4C4E"/>
                <w:w w:val="99"/>
              </w:rPr>
              <w:t>—</w:t>
            </w:r>
          </w:p>
        </w:tc>
        <w:tc>
          <w:tcPr>
            <w:tcW w:w="14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320" w:type="dxa"/>
            <w:vAlign w:val="bottom"/>
            <w:tcBorders>
              <w:top w:val="single" w:sz="8" w:color="4C4C4E"/>
            </w:tcBorders>
            <w:shd w:val="clear" w:color="auto" w:fill="D8EEF4"/>
          </w:tcPr>
          <w:p>
            <w:pPr>
              <w:jc w:val="right"/>
              <w:ind w:right="197"/>
              <w:spacing w:after="0"/>
              <w:rPr>
                <w:sz w:val="20"/>
                <w:szCs w:val="20"/>
                <w:color w:val="auto"/>
              </w:rPr>
            </w:pPr>
            <w:r>
              <w:rPr>
                <w:rFonts w:ascii="Times New Roman" w:cs="Times New Roman" w:eastAsia="Times New Roman" w:hAnsi="Times New Roman"/>
                <w:sz w:val="11"/>
                <w:szCs w:val="11"/>
                <w:color w:val="4C4C4E"/>
                <w:w w:val="71"/>
              </w:rPr>
              <w:t>$</w:t>
            </w:r>
          </w:p>
        </w:tc>
        <w:tc>
          <w:tcPr>
            <w:tcW w:w="420" w:type="dxa"/>
            <w:vAlign w:val="bottom"/>
            <w:tcBorders>
              <w:top w:val="single" w:sz="8" w:color="4C4C4E"/>
            </w:tcBorders>
            <w:gridSpan w:val="2"/>
            <w:shd w:val="clear" w:color="auto" w:fill="D8EEF4"/>
          </w:tcPr>
          <w:p>
            <w:pPr>
              <w:ind w:left="240"/>
              <w:spacing w:after="0" w:line="179" w:lineRule="exact"/>
              <w:rPr>
                <w:sz w:val="20"/>
                <w:szCs w:val="20"/>
                <w:color w:val="auto"/>
              </w:rPr>
            </w:pPr>
            <w:r>
              <w:rPr>
                <w:rFonts w:ascii="Times New Roman" w:cs="Times New Roman" w:eastAsia="Times New Roman" w:hAnsi="Times New Roman"/>
                <w:sz w:val="16"/>
                <w:szCs w:val="16"/>
                <w:color w:val="4C4C4E"/>
                <w:w w:val="99"/>
              </w:rPr>
              <w:t>—</w:t>
            </w:r>
          </w:p>
        </w:tc>
        <w:tc>
          <w:tcPr>
            <w:tcW w:w="20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840" w:type="dxa"/>
            <w:vAlign w:val="bottom"/>
            <w:tcBorders>
              <w:top w:val="single" w:sz="8" w:color="4C4C4E"/>
            </w:tcBorders>
            <w:gridSpan w:val="3"/>
            <w:shd w:val="clear" w:color="auto" w:fill="D8EEF4"/>
          </w:tcPr>
          <w:p>
            <w:pPr>
              <w:jc w:val="right"/>
              <w:ind w:right="20"/>
              <w:spacing w:after="0" w:line="179" w:lineRule="exact"/>
              <w:rPr>
                <w:sz w:val="20"/>
                <w:szCs w:val="20"/>
                <w:color w:val="auto"/>
              </w:rPr>
            </w:pPr>
            <w:r>
              <w:rPr>
                <w:rFonts w:ascii="Times New Roman" w:cs="Times New Roman" w:eastAsia="Times New Roman" w:hAnsi="Times New Roman"/>
                <w:sz w:val="16"/>
                <w:szCs w:val="16"/>
                <w:color w:val="4C4C4E"/>
              </w:rPr>
              <w:t>65,095</w:t>
            </w:r>
          </w:p>
        </w:tc>
        <w:tc>
          <w:tcPr>
            <w:tcW w:w="14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220" w:type="dxa"/>
            <w:vAlign w:val="bottom"/>
            <w:tcBorders>
              <w:top w:val="single" w:sz="8" w:color="4C4C4E"/>
            </w:tcBorders>
            <w:shd w:val="clear" w:color="auto" w:fill="D8EEF4"/>
          </w:tcPr>
          <w:p>
            <w:pPr>
              <w:spacing w:after="0" w:line="179" w:lineRule="exact"/>
              <w:rPr>
                <w:sz w:val="20"/>
                <w:szCs w:val="20"/>
                <w:color w:val="auto"/>
              </w:rPr>
            </w:pPr>
            <w:r>
              <w:rPr>
                <w:rFonts w:ascii="Times New Roman" w:cs="Times New Roman" w:eastAsia="Times New Roman" w:hAnsi="Times New Roman"/>
                <w:sz w:val="16"/>
                <w:szCs w:val="16"/>
                <w:color w:val="4C4C4E"/>
              </w:rPr>
              <w:t>$</w:t>
            </w:r>
          </w:p>
        </w:tc>
        <w:tc>
          <w:tcPr>
            <w:tcW w:w="320" w:type="dxa"/>
            <w:vAlign w:val="bottom"/>
            <w:tcBorders>
              <w:top w:val="single" w:sz="8" w:color="4C4C4E"/>
            </w:tcBorders>
            <w:gridSpan w:val="2"/>
            <w:shd w:val="clear" w:color="auto" w:fill="D8EEF4"/>
          </w:tcPr>
          <w:p>
            <w:pPr>
              <w:jc w:val="right"/>
              <w:ind w:right="20"/>
              <w:spacing w:after="0" w:line="179" w:lineRule="exact"/>
              <w:rPr>
                <w:sz w:val="20"/>
                <w:szCs w:val="20"/>
                <w:color w:val="auto"/>
              </w:rPr>
            </w:pPr>
            <w:r>
              <w:rPr>
                <w:rFonts w:ascii="Times New Roman" w:cs="Times New Roman" w:eastAsia="Times New Roman" w:hAnsi="Times New Roman"/>
                <w:sz w:val="16"/>
                <w:szCs w:val="16"/>
                <w:color w:val="4C4C4E"/>
              </w:rPr>
              <w:t>13</w:t>
            </w:r>
          </w:p>
        </w:tc>
        <w:tc>
          <w:tcPr>
            <w:tcW w:w="14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4C4C4E"/>
            </w:tcBorders>
            <w:shd w:val="clear" w:color="auto" w:fill="D8EEF4"/>
          </w:tcPr>
          <w:p>
            <w:pPr>
              <w:jc w:val="right"/>
              <w:ind w:right="33"/>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500" w:type="dxa"/>
            <w:vAlign w:val="bottom"/>
            <w:tcBorders>
              <w:top w:val="single" w:sz="8" w:color="4C4C4E"/>
            </w:tcBorders>
            <w:gridSpan w:val="2"/>
            <w:shd w:val="clear" w:color="auto" w:fill="D8EEF4"/>
          </w:tcPr>
          <w:p>
            <w:pPr>
              <w:jc w:val="right"/>
              <w:ind w:right="20"/>
              <w:spacing w:after="0" w:line="179" w:lineRule="exact"/>
              <w:rPr>
                <w:sz w:val="20"/>
                <w:szCs w:val="20"/>
                <w:color w:val="auto"/>
              </w:rPr>
            </w:pPr>
            <w:r>
              <w:rPr>
                <w:rFonts w:ascii="Times New Roman" w:cs="Times New Roman" w:eastAsia="Times New Roman" w:hAnsi="Times New Roman"/>
                <w:sz w:val="16"/>
                <w:szCs w:val="16"/>
                <w:color w:val="4C4C4E"/>
                <w:shd w:val="clear" w:color="auto" w:fill="D8EEF4"/>
              </w:rPr>
              <w:t>9,428</w:t>
            </w:r>
          </w:p>
        </w:tc>
        <w:tc>
          <w:tcPr>
            <w:tcW w:w="2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4C4C4E"/>
              </w:rPr>
              <w:t>Total</w:t>
            </w:r>
          </w:p>
        </w:tc>
        <w:tc>
          <w:tcPr>
            <w:tcW w:w="120" w:type="dxa"/>
            <w:vAlign w:val="bottom"/>
          </w:tcPr>
          <w:p>
            <w:pPr>
              <w:spacing w:after="0"/>
              <w:rPr>
                <w:sz w:val="15"/>
                <w:szCs w:val="15"/>
                <w:color w:val="auto"/>
              </w:rPr>
            </w:pPr>
          </w:p>
        </w:tc>
        <w:tc>
          <w:tcPr>
            <w:tcW w:w="20" w:type="dxa"/>
            <w:vAlign w:val="bottom"/>
            <w:tcBorders>
              <w:top w:val="single" w:sz="8" w:color="4C4C4E"/>
              <w:bottom w:val="single" w:sz="8" w:color="4C4C4E"/>
            </w:tcBorders>
          </w:tcPr>
          <w:p>
            <w:pPr>
              <w:spacing w:after="0"/>
              <w:rPr>
                <w:sz w:val="15"/>
                <w:szCs w:val="15"/>
                <w:color w:val="auto"/>
              </w:rPr>
            </w:pPr>
          </w:p>
        </w:tc>
        <w:tc>
          <w:tcPr>
            <w:tcW w:w="140" w:type="dxa"/>
            <w:vAlign w:val="bottom"/>
            <w:tcBorders>
              <w:top w:val="single" w:sz="8" w:color="4C4C4E"/>
              <w:bottom w:val="single" w:sz="8" w:color="4C4C4E"/>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4C4C4E"/>
                <w:w w:val="71"/>
              </w:rPr>
              <w:t>$</w:t>
            </w:r>
          </w:p>
        </w:tc>
        <w:tc>
          <w:tcPr>
            <w:tcW w:w="920" w:type="dxa"/>
            <w:vAlign w:val="bottom"/>
            <w:tcBorders>
              <w:top w:val="single" w:sz="8" w:color="4C4C4E"/>
              <w:bottom w:val="single" w:sz="8" w:color="4C4C4E"/>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4C4C4E"/>
              </w:rPr>
              <w:t>59,913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4C4C4E"/>
              <w:bottom w:val="single" w:sz="8" w:color="4C4C4E"/>
            </w:tcBorders>
          </w:tcPr>
          <w:p>
            <w:pPr>
              <w:spacing w:after="0"/>
              <w:rPr>
                <w:sz w:val="15"/>
                <w:szCs w:val="15"/>
                <w:color w:val="auto"/>
              </w:rPr>
            </w:pPr>
          </w:p>
        </w:tc>
        <w:tc>
          <w:tcPr>
            <w:tcW w:w="80" w:type="dxa"/>
            <w:vAlign w:val="bottom"/>
            <w:tcBorders>
              <w:top w:val="single" w:sz="8" w:color="4C4C4E"/>
              <w:bottom w:val="single" w:sz="8" w:color="4C4C4E"/>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4C4C4E"/>
                <w:w w:val="74"/>
              </w:rPr>
              <w:t>$</w:t>
            </w:r>
          </w:p>
        </w:tc>
        <w:tc>
          <w:tcPr>
            <w:tcW w:w="600" w:type="dxa"/>
            <w:vAlign w:val="bottom"/>
            <w:tcBorders>
              <w:top w:val="single" w:sz="8" w:color="4C4C4E"/>
              <w:bottom w:val="single" w:sz="8" w:color="4C4C4E"/>
            </w:tcBorders>
          </w:tcPr>
          <w:p>
            <w:pPr>
              <w:ind w:left="160"/>
              <w:spacing w:after="0" w:line="179" w:lineRule="exact"/>
              <w:rPr>
                <w:sz w:val="20"/>
                <w:szCs w:val="20"/>
                <w:color w:val="auto"/>
              </w:rPr>
            </w:pPr>
            <w:r>
              <w:rPr>
                <w:rFonts w:ascii="Times New Roman" w:cs="Times New Roman" w:eastAsia="Times New Roman" w:hAnsi="Times New Roman"/>
                <w:sz w:val="16"/>
                <w:szCs w:val="16"/>
                <w:b w:val="1"/>
                <w:bCs w:val="1"/>
                <w:color w:val="4C4C4E"/>
                <w:w w:val="95"/>
              </w:rPr>
              <w:t>10,351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4C4C4E"/>
              <w:bottom w:val="single" w:sz="8" w:color="4C4C4E"/>
            </w:tcBorders>
          </w:tcPr>
          <w:p>
            <w:pPr>
              <w:spacing w:after="0"/>
              <w:rPr>
                <w:sz w:val="15"/>
                <w:szCs w:val="15"/>
                <w:color w:val="auto"/>
              </w:rPr>
            </w:pPr>
          </w:p>
        </w:tc>
        <w:tc>
          <w:tcPr>
            <w:tcW w:w="120" w:type="dxa"/>
            <w:vAlign w:val="bottom"/>
            <w:tcBorders>
              <w:top w:val="single" w:sz="8" w:color="4C4C4E"/>
              <w:bottom w:val="single" w:sz="8" w:color="4C4C4E"/>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4C4C4E"/>
              </w:rPr>
              <w:t>$</w:t>
            </w:r>
          </w:p>
        </w:tc>
        <w:tc>
          <w:tcPr>
            <w:tcW w:w="660" w:type="dxa"/>
            <w:vAlign w:val="bottom"/>
            <w:tcBorders>
              <w:top w:val="single" w:sz="8" w:color="4C4C4E"/>
              <w:bottom w:val="single" w:sz="8" w:color="4C4C4E"/>
            </w:tcBorders>
          </w:tcPr>
          <w:p>
            <w:pPr>
              <w:ind w:left="500"/>
              <w:spacing w:after="0" w:line="179" w:lineRule="exact"/>
              <w:rPr>
                <w:sz w:val="20"/>
                <w:szCs w:val="20"/>
                <w:color w:val="auto"/>
              </w:rPr>
            </w:pPr>
            <w:r>
              <w:rPr>
                <w:rFonts w:ascii="Times New Roman" w:cs="Times New Roman" w:eastAsia="Times New Roman" w:hAnsi="Times New Roman"/>
                <w:sz w:val="16"/>
                <w:szCs w:val="16"/>
                <w:b w:val="1"/>
                <w:bCs w:val="1"/>
                <w:color w:val="4C4C4E"/>
                <w:w w:val="87"/>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4C4C4E"/>
              <w:bottom w:val="single" w:sz="8" w:color="4C4C4E"/>
            </w:tcBorders>
          </w:tcPr>
          <w:p>
            <w:pPr>
              <w:spacing w:after="0"/>
              <w:rPr>
                <w:sz w:val="15"/>
                <w:szCs w:val="15"/>
                <w:color w:val="auto"/>
              </w:rPr>
            </w:pPr>
          </w:p>
        </w:tc>
        <w:tc>
          <w:tcPr>
            <w:tcW w:w="280" w:type="dxa"/>
            <w:vAlign w:val="bottom"/>
            <w:tcBorders>
              <w:top w:val="single" w:sz="8" w:color="4C4C4E"/>
              <w:bottom w:val="single" w:sz="8" w:color="4C4C4E"/>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4C4C4E"/>
              </w:rPr>
              <w:t>$</w:t>
            </w:r>
          </w:p>
        </w:tc>
        <w:tc>
          <w:tcPr>
            <w:tcW w:w="660" w:type="dxa"/>
            <w:vAlign w:val="bottom"/>
            <w:tcBorders>
              <w:top w:val="single" w:sz="8" w:color="4C4C4E"/>
              <w:bottom w:val="single" w:sz="8" w:color="4C4C4E"/>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4C4C4E"/>
              </w:rPr>
              <w:t>(5,169)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4C4C4E"/>
              <w:bottom w:val="single" w:sz="8" w:color="4C4C4E"/>
            </w:tcBorders>
          </w:tcPr>
          <w:p>
            <w:pPr>
              <w:spacing w:after="0"/>
              <w:rPr>
                <w:sz w:val="15"/>
                <w:szCs w:val="15"/>
                <w:color w:val="auto"/>
              </w:rPr>
            </w:pPr>
          </w:p>
        </w:tc>
        <w:tc>
          <w:tcPr>
            <w:tcW w:w="10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11"/>
                <w:szCs w:val="11"/>
                <w:b w:val="1"/>
                <w:bCs w:val="1"/>
                <w:color w:val="4C4C4E"/>
                <w:w w:val="71"/>
              </w:rPr>
              <w:t>$</w:t>
            </w:r>
          </w:p>
        </w:tc>
        <w:tc>
          <w:tcPr>
            <w:tcW w:w="760" w:type="dxa"/>
            <w:vAlign w:val="bottom"/>
            <w:tcBorders>
              <w:top w:val="single" w:sz="8" w:color="4C4C4E"/>
              <w:bottom w:val="single" w:sz="8" w:color="4C4C4E"/>
            </w:tcBorders>
          </w:tcPr>
          <w:p>
            <w:pPr>
              <w:ind w:left="600"/>
              <w:spacing w:after="0" w:line="179" w:lineRule="exact"/>
              <w:rPr>
                <w:sz w:val="20"/>
                <w:szCs w:val="20"/>
                <w:color w:val="auto"/>
              </w:rPr>
            </w:pPr>
            <w:r>
              <w:rPr>
                <w:rFonts w:ascii="Times New Roman" w:cs="Times New Roman" w:eastAsia="Times New Roman" w:hAnsi="Times New Roman"/>
                <w:sz w:val="16"/>
                <w:szCs w:val="16"/>
                <w:b w:val="1"/>
                <w:bCs w:val="1"/>
                <w:color w:val="4C4C4E"/>
                <w:w w:val="87"/>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4C4C4E"/>
              <w:bottom w:val="single" w:sz="8" w:color="4C4C4E"/>
            </w:tcBorders>
          </w:tcPr>
          <w:p>
            <w:pPr>
              <w:spacing w:after="0"/>
              <w:rPr>
                <w:sz w:val="15"/>
                <w:szCs w:val="15"/>
                <w:color w:val="auto"/>
              </w:rPr>
            </w:pPr>
          </w:p>
        </w:tc>
        <w:tc>
          <w:tcPr>
            <w:tcW w:w="320" w:type="dxa"/>
            <w:vAlign w:val="bottom"/>
            <w:tcBorders>
              <w:top w:val="single" w:sz="8" w:color="4C4C4E"/>
              <w:bottom w:val="single" w:sz="8" w:color="4C4C4E"/>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4C4C4E"/>
                <w:w w:val="71"/>
              </w:rPr>
              <w:t>$</w:t>
            </w:r>
          </w:p>
        </w:tc>
        <w:tc>
          <w:tcPr>
            <w:tcW w:w="400" w:type="dxa"/>
            <w:vAlign w:val="bottom"/>
            <w:tcBorders>
              <w:top w:val="single" w:sz="8" w:color="4C4C4E"/>
              <w:bottom w:val="single" w:sz="8" w:color="4C4C4E"/>
            </w:tcBorders>
          </w:tcPr>
          <w:p>
            <w:pPr>
              <w:ind w:left="240"/>
              <w:spacing w:after="0" w:line="179" w:lineRule="exact"/>
              <w:rPr>
                <w:sz w:val="20"/>
                <w:szCs w:val="20"/>
                <w:color w:val="auto"/>
              </w:rPr>
            </w:pPr>
            <w:r>
              <w:rPr>
                <w:rFonts w:ascii="Times New Roman" w:cs="Times New Roman" w:eastAsia="Times New Roman" w:hAnsi="Times New Roman"/>
                <w:sz w:val="16"/>
                <w:szCs w:val="16"/>
                <w:b w:val="1"/>
                <w:bCs w:val="1"/>
                <w:color w:val="4C4C4E"/>
                <w:w w:val="87"/>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4C4C4E"/>
              <w:bottom w:val="single" w:sz="8" w:color="4C4C4E"/>
            </w:tcBorders>
          </w:tcPr>
          <w:p>
            <w:pPr>
              <w:spacing w:after="0"/>
              <w:rPr>
                <w:sz w:val="15"/>
                <w:szCs w:val="15"/>
                <w:color w:val="auto"/>
              </w:rPr>
            </w:pPr>
          </w:p>
        </w:tc>
        <w:tc>
          <w:tcPr>
            <w:tcW w:w="120" w:type="dxa"/>
            <w:vAlign w:val="bottom"/>
            <w:tcBorders>
              <w:top w:val="single" w:sz="8" w:color="4C4C4E"/>
              <w:bottom w:val="single" w:sz="8" w:color="4C4C4E"/>
            </w:tcBorders>
          </w:tcPr>
          <w:p>
            <w:pPr>
              <w:jc w:val="right"/>
              <w:spacing w:after="0"/>
              <w:rPr>
                <w:sz w:val="20"/>
                <w:szCs w:val="20"/>
                <w:color w:val="auto"/>
              </w:rPr>
            </w:pPr>
            <w:r>
              <w:rPr>
                <w:rFonts w:ascii="Times New Roman" w:cs="Times New Roman" w:eastAsia="Times New Roman" w:hAnsi="Times New Roman"/>
                <w:sz w:val="11"/>
                <w:szCs w:val="11"/>
                <w:b w:val="1"/>
                <w:bCs w:val="1"/>
                <w:color w:val="4C4C4E"/>
                <w:w w:val="71"/>
              </w:rPr>
              <w:t>$</w:t>
            </w:r>
          </w:p>
        </w:tc>
        <w:tc>
          <w:tcPr>
            <w:tcW w:w="820" w:type="dxa"/>
            <w:vAlign w:val="bottom"/>
            <w:tcBorders>
              <w:top w:val="single" w:sz="8" w:color="4C4C4E"/>
              <w:bottom w:val="single" w:sz="8" w:color="4C4C4E"/>
            </w:tcBorders>
            <w:gridSpan w:val="2"/>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4C4C4E"/>
              </w:rPr>
              <w:t>65,095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4C4C4E"/>
              <w:bottom w:val="single" w:sz="8" w:color="4C4C4E"/>
            </w:tcBorders>
          </w:tcPr>
          <w:p>
            <w:pPr>
              <w:spacing w:after="0"/>
              <w:rPr>
                <w:sz w:val="15"/>
                <w:szCs w:val="15"/>
                <w:color w:val="auto"/>
              </w:rPr>
            </w:pPr>
          </w:p>
        </w:tc>
        <w:tc>
          <w:tcPr>
            <w:tcW w:w="220" w:type="dxa"/>
            <w:vAlign w:val="bottom"/>
            <w:tcBorders>
              <w:top w:val="single" w:sz="8" w:color="4C4C4E"/>
              <w:bottom w:val="single" w:sz="8" w:color="4C4C4E"/>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4C4C4E"/>
              </w:rPr>
              <w:t>$</w:t>
            </w:r>
          </w:p>
        </w:tc>
        <w:tc>
          <w:tcPr>
            <w:tcW w:w="300" w:type="dxa"/>
            <w:vAlign w:val="bottom"/>
            <w:tcBorders>
              <w:top w:val="single" w:sz="8" w:color="4C4C4E"/>
              <w:bottom w:val="single" w:sz="8" w:color="4C4C4E"/>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4C4C4E"/>
              </w:rPr>
              <w:t>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4C4C4E"/>
              <w:bottom w:val="single" w:sz="8" w:color="4C4C4E"/>
            </w:tcBorders>
          </w:tcPr>
          <w:p>
            <w:pPr>
              <w:spacing w:after="0"/>
              <w:rPr>
                <w:sz w:val="15"/>
                <w:szCs w:val="15"/>
                <w:color w:val="auto"/>
              </w:rPr>
            </w:pPr>
          </w:p>
        </w:tc>
        <w:tc>
          <w:tcPr>
            <w:tcW w:w="160" w:type="dxa"/>
            <w:vAlign w:val="bottom"/>
            <w:tcBorders>
              <w:top w:val="single" w:sz="8" w:color="4C4C4E"/>
              <w:bottom w:val="single" w:sz="8" w:color="4C4C4E"/>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4C4C4E"/>
                <w:w w:val="71"/>
              </w:rPr>
              <w:t>$</w:t>
            </w:r>
          </w:p>
        </w:tc>
        <w:tc>
          <w:tcPr>
            <w:tcW w:w="480" w:type="dxa"/>
            <w:vAlign w:val="bottom"/>
            <w:tcBorders>
              <w:top w:val="single" w:sz="8" w:color="4C4C4E"/>
              <w:bottom w:val="single" w:sz="8" w:color="4C4C4E"/>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4C4C4E"/>
              </w:rPr>
              <w:t>9,428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92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66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80" w:type="dxa"/>
            <w:vAlign w:val="bottom"/>
            <w:tcBorders>
              <w:bottom w:val="single" w:sz="8" w:color="4C4C4E"/>
            </w:tcBorders>
          </w:tcPr>
          <w:p>
            <w:pPr>
              <w:spacing w:after="0" w:line="20" w:lineRule="exact"/>
              <w:rPr>
                <w:sz w:val="1"/>
                <w:szCs w:val="1"/>
                <w:color w:val="auto"/>
              </w:rPr>
            </w:pPr>
          </w:p>
        </w:tc>
        <w:tc>
          <w:tcPr>
            <w:tcW w:w="66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76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320" w:type="dxa"/>
            <w:vAlign w:val="bottom"/>
            <w:tcBorders>
              <w:bottom w:val="single" w:sz="8" w:color="4C4C4E"/>
            </w:tcBorders>
          </w:tcPr>
          <w:p>
            <w:pPr>
              <w:spacing w:after="0" w:line="20" w:lineRule="exact"/>
              <w:rPr>
                <w:sz w:val="1"/>
                <w:szCs w:val="1"/>
                <w:color w:val="auto"/>
              </w:rPr>
            </w:pPr>
          </w:p>
        </w:tc>
        <w:tc>
          <w:tcPr>
            <w:tcW w:w="40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200" w:type="dxa"/>
            <w:vAlign w:val="bottom"/>
            <w:tcBorders>
              <w:bottom w:val="single" w:sz="8" w:color="4C4C4E"/>
            </w:tcBorders>
          </w:tcPr>
          <w:p>
            <w:pPr>
              <w:spacing w:after="0" w:line="20" w:lineRule="exact"/>
              <w:rPr>
                <w:sz w:val="1"/>
                <w:szCs w:val="1"/>
                <w:color w:val="auto"/>
              </w:rPr>
            </w:pPr>
          </w:p>
        </w:tc>
        <w:tc>
          <w:tcPr>
            <w:tcW w:w="62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30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48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983" w:right="40" w:hanging="494"/>
        <w:spacing w:after="0" w:line="254" w:lineRule="auto"/>
        <w:tabs>
          <w:tab w:leader="none" w:pos="983" w:val="left"/>
        </w:tabs>
        <w:numPr>
          <w:ilvl w:val="1"/>
          <w:numId w:val="75"/>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Times New Roman" w:cs="Times New Roman" w:eastAsia="Times New Roman" w:hAnsi="Times New Roman"/>
          <w:sz w:val="20"/>
          <w:szCs w:val="20"/>
          <w:color w:val="4C4C4E"/>
        </w:rPr>
      </w:pPr>
    </w:p>
    <w:p>
      <w:pPr>
        <w:ind w:left="983" w:right="640" w:hanging="494"/>
        <w:spacing w:after="0" w:line="242" w:lineRule="auto"/>
        <w:tabs>
          <w:tab w:leader="none" w:pos="983" w:val="left"/>
        </w:tabs>
        <w:numPr>
          <w:ilvl w:val="1"/>
          <w:numId w:val="75"/>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1" w:lineRule="exact"/>
        <w:rPr>
          <w:rFonts w:ascii="Times New Roman" w:cs="Times New Roman" w:eastAsia="Times New Roman" w:hAnsi="Times New Roman"/>
          <w:sz w:val="20"/>
          <w:szCs w:val="20"/>
          <w:color w:val="4C4C4E"/>
        </w:rPr>
      </w:pPr>
    </w:p>
    <w:p>
      <w:pPr>
        <w:ind w:left="483" w:right="520" w:hanging="483"/>
        <w:spacing w:after="0" w:line="254" w:lineRule="auto"/>
        <w:tabs>
          <w:tab w:leader="none" w:pos="483" w:val="left"/>
        </w:tabs>
        <w:numPr>
          <w:ilvl w:val="0"/>
          <w:numId w:val="76"/>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As of December 31, 2024, the estimated cost basis of investments for U.S. federal tax purposes was $3,535,963 resulting in estimated gross unrealized gains and losses of $207,435 and $216,975, respectively.</w:t>
      </w:r>
    </w:p>
    <w:p>
      <w:pPr>
        <w:spacing w:after="0" w:line="1" w:lineRule="exact"/>
        <w:rPr>
          <w:rFonts w:ascii="Times New Roman" w:cs="Times New Roman" w:eastAsia="Times New Roman" w:hAnsi="Times New Roman"/>
          <w:sz w:val="20"/>
          <w:szCs w:val="20"/>
          <w:color w:val="4C4C4E"/>
        </w:rPr>
      </w:pPr>
    </w:p>
    <w:p>
      <w:pPr>
        <w:ind w:left="483" w:right="820" w:hanging="483"/>
        <w:spacing w:after="0" w:line="248" w:lineRule="auto"/>
        <w:tabs>
          <w:tab w:leader="none" w:pos="483" w:val="left"/>
        </w:tabs>
        <w:numPr>
          <w:ilvl w:val="0"/>
          <w:numId w:val="76"/>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 xml:space="preserve">In accordance with Financial Accounting Standards Board Accounting Standards Codification Topic 820, </w:t>
      </w:r>
      <w:r>
        <w:rPr>
          <w:rFonts w:ascii="Times New Roman" w:cs="Times New Roman" w:eastAsia="Times New Roman" w:hAnsi="Times New Roman"/>
          <w:sz w:val="20"/>
          <w:szCs w:val="20"/>
          <w:i w:val="1"/>
          <w:iCs w:val="1"/>
          <w:color w:val="4C4C4E"/>
        </w:rPr>
        <w:t>Fair Value</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 xml:space="preserve">Measurements </w:t>
      </w:r>
      <w:r>
        <w:rPr>
          <w:rFonts w:ascii="Times New Roman" w:cs="Times New Roman" w:eastAsia="Times New Roman" w:hAnsi="Times New Roman"/>
          <w:sz w:val="20"/>
          <w:szCs w:val="20"/>
          <w:color w:val="4C4C4E"/>
        </w:rPr>
        <w:t>(“ASC Topic 820”), unless otherwise indicated, the fair values of all investments were determined using</w:t>
      </w:r>
    </w:p>
    <w:p>
      <w:pPr>
        <w:spacing w:after="0" w:line="26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color w:val="4C4C4E"/>
        </w:rPr>
        <w:t>F-23</w:t>
      </w:r>
    </w:p>
    <w:p>
      <w:pPr>
        <w:sectPr>
          <w:pgSz w:w="11880" w:h="15480" w:orient="portrait"/>
          <w:cols w:equalWidth="0" w:num="1">
            <w:col w:w="10883"/>
          </w:cols>
          <w:pgMar w:left="497" w:top="994" w:right="500" w:bottom="0" w:gutter="0" w:footer="0" w:header="0"/>
        </w:sectPr>
      </w:pPr>
    </w:p>
    <w:bookmarkStart w:id="112" w:name="page113"/>
    <w:bookmarkEnd w:id="112"/>
    <w:p>
      <w:pPr>
        <w:ind w:left="483"/>
        <w:spacing w:after="0" w:line="254" w:lineRule="auto"/>
        <w:rPr>
          <w:sz w:val="20"/>
          <w:szCs w:val="20"/>
          <w:color w:val="auto"/>
        </w:rPr>
      </w:pPr>
      <w:r>
        <w:rPr>
          <w:rFonts w:ascii="Times New Roman" w:cs="Times New Roman" w:eastAsia="Times New Roman" w:hAnsi="Times New Roman"/>
          <w:sz w:val="20"/>
          <w:szCs w:val="20"/>
          <w:color w:val="4C4C4E"/>
        </w:rPr>
        <w:t>significant unobservable inputs and are considered Level 3 investments. See Note 6 for further information related to investments at fair value.</w:t>
      </w:r>
    </w:p>
    <w:p>
      <w:pPr>
        <w:spacing w:after="0" w:line="1" w:lineRule="exact"/>
        <w:rPr>
          <w:sz w:val="20"/>
          <w:szCs w:val="20"/>
          <w:color w:val="auto"/>
        </w:rPr>
      </w:pPr>
    </w:p>
    <w:p>
      <w:pPr>
        <w:ind w:left="483" w:right="380" w:hanging="483"/>
        <w:spacing w:after="0"/>
        <w:tabs>
          <w:tab w:leader="none" w:pos="483" w:val="left"/>
        </w:tabs>
        <w:numPr>
          <w:ilvl w:val="0"/>
          <w:numId w:val="7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This investment is valued using observable inputs and is considered a Level 2 investment. See Note 6 for further information related to investments at fair value.</w:t>
      </w:r>
    </w:p>
    <w:p>
      <w:pPr>
        <w:ind w:left="483" w:right="380" w:hanging="483"/>
        <w:spacing w:after="0"/>
        <w:tabs>
          <w:tab w:leader="none" w:pos="483" w:val="left"/>
        </w:tabs>
        <w:numPr>
          <w:ilvl w:val="0"/>
          <w:numId w:val="7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This investment is valued using observable inputs and is considered a Level 1 investment. See Note 6 for further information related to investments at fair value.</w:t>
      </w:r>
    </w:p>
    <w:p>
      <w:pPr>
        <w:ind w:left="483" w:hanging="483"/>
        <w:spacing w:after="0"/>
        <w:tabs>
          <w:tab w:leader="none" w:pos="483" w:val="left"/>
        </w:tabs>
        <w:numPr>
          <w:ilvl w:val="0"/>
          <w:numId w:val="7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This investment is non-income producing.</w:t>
      </w:r>
    </w:p>
    <w:p>
      <w:pPr>
        <w:ind w:left="483" w:right="60" w:hanging="483"/>
        <w:spacing w:after="0"/>
        <w:tabs>
          <w:tab w:leader="none" w:pos="483" w:val="left"/>
        </w:tabs>
        <w:numPr>
          <w:ilvl w:val="0"/>
          <w:numId w:val="7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All or a portion of this security was acquired in a transaction exempt from registration under the Securities Act of 1933, and may be deemed to be “restricted securities” under the Securities Act. As of December 31, 2024, the aggregate fair value of these securities is $12,926, or 0.8% of the Company’s net assets.</w:t>
      </w:r>
    </w:p>
    <w:p>
      <w:pPr>
        <w:ind w:left="483" w:hanging="483"/>
        <w:spacing w:after="0"/>
        <w:tabs>
          <w:tab w:leader="none" w:pos="483" w:val="left"/>
        </w:tabs>
        <w:numPr>
          <w:ilvl w:val="0"/>
          <w:numId w:val="7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Ownership of equity investments may occur through a holding company or partnership.</w:t>
      </w:r>
    </w:p>
    <w:p>
      <w:pPr>
        <w:ind w:left="483" w:hanging="483"/>
        <w:spacing w:after="0"/>
        <w:tabs>
          <w:tab w:leader="none" w:pos="483" w:val="left"/>
        </w:tabs>
        <w:numPr>
          <w:ilvl w:val="0"/>
          <w:numId w:val="7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Investment is on non-accrual status as of December 31, 2024.</w:t>
      </w:r>
    </w:p>
    <w:p>
      <w:pPr>
        <w:ind w:left="483" w:right="60" w:hanging="483"/>
        <w:spacing w:after="0" w:line="242" w:lineRule="auto"/>
        <w:tabs>
          <w:tab w:leader="none" w:pos="483" w:val="left"/>
        </w:tabs>
        <w:numPr>
          <w:ilvl w:val="0"/>
          <w:numId w:val="7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 addition to the principal amount outstanding and accrued interest owed on this investment, the Company is entitled to a separate Make-Whole Amount (the “Make-Whole”) of $13.7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75"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20"/>
          <w:szCs w:val="20"/>
          <w:color w:val="4C4C4E"/>
        </w:rPr>
        <w:t>The accompanying notes are an integral part of these consolidated financial statements.</w:t>
      </w:r>
    </w:p>
    <w:p>
      <w:pPr>
        <w:sectPr>
          <w:pgSz w:w="11880" w:h="15480" w:orient="portrait"/>
          <w:cols w:equalWidth="0" w:num="1">
            <w:col w:w="10863"/>
          </w:cols>
          <w:pgMar w:left="497" w:top="750" w:right="5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9"/>
          <w:szCs w:val="19"/>
          <w:color w:val="4C4C4E"/>
        </w:rPr>
        <w:t>F-24</w:t>
      </w:r>
    </w:p>
    <w:p>
      <w:pPr>
        <w:sectPr>
          <w:pgSz w:w="11880" w:h="15480" w:orient="portrait"/>
          <w:cols w:equalWidth="0" w:num="1">
            <w:col w:w="10863"/>
          </w:cols>
          <w:pgMar w:left="497" w:top="750" w:right="520" w:bottom="6"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4C4C4E"/>
        </w:rPr>
        <w:t>Sixth Street Specialty Lending,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C4C4E"/>
        </w:rPr>
        <w:t>Consolidated Statements of Changes in Net Assets</w:t>
      </w:r>
    </w:p>
    <w:p>
      <w:pPr>
        <w:jc w:val="center"/>
        <w:spacing w:after="0"/>
        <w:rPr>
          <w:sz w:val="20"/>
          <w:szCs w:val="20"/>
          <w:color w:val="auto"/>
        </w:rPr>
      </w:pPr>
      <w:r>
        <w:rPr>
          <w:rFonts w:ascii="Times New Roman" w:cs="Times New Roman" w:eastAsia="Times New Roman" w:hAnsi="Times New Roman"/>
          <w:sz w:val="20"/>
          <w:szCs w:val="20"/>
          <w:b w:val="1"/>
          <w:bCs w:val="1"/>
          <w:color w:val="4C4C4E"/>
        </w:rPr>
        <w:t>(Amounts in thousands, except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8"/>
          </w:tcPr>
          <w:p>
            <w:pPr>
              <w:jc w:val="right"/>
              <w:ind w:right="285"/>
              <w:spacing w:after="0"/>
              <w:rPr>
                <w:sz w:val="20"/>
                <w:szCs w:val="20"/>
                <w:color w:val="auto"/>
              </w:rPr>
            </w:pPr>
            <w:r>
              <w:rPr>
                <w:rFonts w:ascii="Times New Roman" w:cs="Times New Roman" w:eastAsia="Times New Roman" w:hAnsi="Times New Roman"/>
                <w:sz w:val="15"/>
                <w:szCs w:val="15"/>
                <w:b w:val="1"/>
                <w:bCs w:val="1"/>
                <w:color w:val="4C4C4E"/>
              </w:rPr>
              <w:t>Common Stock</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16"/>
          </w:tcPr>
          <w:p>
            <w:pPr>
              <w:ind w:left="240"/>
              <w:spacing w:after="0"/>
              <w:rPr>
                <w:sz w:val="20"/>
                <w:szCs w:val="20"/>
                <w:color w:val="auto"/>
              </w:rPr>
            </w:pPr>
            <w:r>
              <w:rPr>
                <w:rFonts w:ascii="Times New Roman" w:cs="Times New Roman" w:eastAsia="Times New Roman" w:hAnsi="Times New Roman"/>
                <w:sz w:val="15"/>
                <w:szCs w:val="15"/>
                <w:b w:val="1"/>
                <w:bCs w:val="1"/>
                <w:color w:val="4C4C4E"/>
              </w:rPr>
              <w:t>Treasury Stock</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4C4C4E"/>
              </w:rPr>
              <w:t>Paid in</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4C4C4E"/>
            </w:tcBorders>
          </w:tcPr>
          <w:p>
            <w:pPr>
              <w:spacing w:after="0"/>
              <w:rPr>
                <w:sz w:val="14"/>
                <w:szCs w:val="14"/>
                <w:color w:val="auto"/>
              </w:rPr>
            </w:pPr>
          </w:p>
        </w:tc>
        <w:tc>
          <w:tcPr>
            <w:tcW w:w="6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8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80" w:type="dxa"/>
            <w:vAlign w:val="bottom"/>
            <w:tcBorders>
              <w:top w:val="single" w:sz="8" w:color="4C4C4E"/>
            </w:tcBorders>
          </w:tcPr>
          <w:p>
            <w:pPr>
              <w:spacing w:after="0"/>
              <w:rPr>
                <w:sz w:val="14"/>
                <w:szCs w:val="14"/>
                <w:color w:val="auto"/>
              </w:rPr>
            </w:pPr>
          </w:p>
        </w:tc>
        <w:tc>
          <w:tcPr>
            <w:tcW w:w="480" w:type="dxa"/>
            <w:vAlign w:val="bottom"/>
            <w:tcBorders>
              <w:top w:val="single" w:sz="8" w:color="4C4C4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70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12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60" w:type="dxa"/>
            <w:vAlign w:val="bottom"/>
            <w:tcBorders>
              <w:top w:val="single" w:sz="8" w:color="4C4C4E"/>
            </w:tcBorders>
          </w:tcPr>
          <w:p>
            <w:pPr>
              <w:spacing w:after="0"/>
              <w:rPr>
                <w:sz w:val="14"/>
                <w:szCs w:val="14"/>
                <w:color w:val="auto"/>
              </w:rPr>
            </w:pPr>
          </w:p>
        </w:tc>
        <w:tc>
          <w:tcPr>
            <w:tcW w:w="56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5"/>
          </w:tcPr>
          <w:p>
            <w:pPr>
              <w:jc w:val="center"/>
              <w:ind w:right="400"/>
              <w:spacing w:after="0"/>
              <w:rPr>
                <w:sz w:val="20"/>
                <w:szCs w:val="20"/>
                <w:color w:val="auto"/>
              </w:rPr>
            </w:pPr>
            <w:r>
              <w:rPr>
                <w:rFonts w:ascii="Times New Roman" w:cs="Times New Roman" w:eastAsia="Times New Roman" w:hAnsi="Times New Roman"/>
                <w:sz w:val="15"/>
                <w:szCs w:val="15"/>
                <w:b w:val="1"/>
                <w:bCs w:val="1"/>
                <w:color w:val="4C4C4E"/>
              </w:rPr>
              <w:t>Capital in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4C4C4E"/>
              </w:rPr>
              <w:t>Par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5"/>
          </w:tcPr>
          <w:p>
            <w:pPr>
              <w:jc w:val="center"/>
              <w:ind w:right="420"/>
              <w:spacing w:after="0"/>
              <w:rPr>
                <w:sz w:val="20"/>
                <w:szCs w:val="20"/>
                <w:color w:val="auto"/>
              </w:rPr>
            </w:pPr>
            <w:r>
              <w:rPr>
                <w:rFonts w:ascii="Times New Roman" w:cs="Times New Roman" w:eastAsia="Times New Roman" w:hAnsi="Times New Roman"/>
                <w:sz w:val="15"/>
                <w:szCs w:val="15"/>
                <w:b w:val="1"/>
                <w:bCs w:val="1"/>
                <w:color w:val="4C4C4E"/>
                <w:w w:val="98"/>
              </w:rPr>
              <w:t>Excess</w:t>
            </w:r>
          </w:p>
        </w:tc>
        <w:tc>
          <w:tcPr>
            <w:tcW w:w="9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4C4C4E"/>
              </w:rPr>
              <w:t>Distributable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4C4C4E"/>
                <w:w w:val="99"/>
              </w:rPr>
              <w:t>Total Net</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85"/>
              <w:spacing w:after="0"/>
              <w:rPr>
                <w:sz w:val="20"/>
                <w:szCs w:val="20"/>
                <w:color w:val="auto"/>
              </w:rPr>
            </w:pPr>
            <w:r>
              <w:rPr>
                <w:rFonts w:ascii="Times New Roman" w:cs="Times New Roman" w:eastAsia="Times New Roman" w:hAnsi="Times New Roman"/>
                <w:sz w:val="15"/>
                <w:szCs w:val="15"/>
                <w:b w:val="1"/>
                <w:bCs w:val="1"/>
                <w:color w:val="4C4C4E"/>
              </w:rPr>
              <w:t>Shares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4C4C4E"/>
                <w:w w:val="95"/>
              </w:rPr>
              <w:t>Amount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4C4C4E"/>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8"/>
          </w:tcPr>
          <w:p>
            <w:pPr>
              <w:ind w:left="60"/>
              <w:spacing w:after="0"/>
              <w:rPr>
                <w:sz w:val="20"/>
                <w:szCs w:val="20"/>
                <w:color w:val="auto"/>
              </w:rPr>
            </w:pPr>
            <w:r>
              <w:rPr>
                <w:rFonts w:ascii="Times New Roman" w:cs="Times New Roman" w:eastAsia="Times New Roman" w:hAnsi="Times New Roman"/>
                <w:sz w:val="15"/>
                <w:szCs w:val="15"/>
                <w:b w:val="1"/>
                <w:bCs w:val="1"/>
                <w:color w:val="4C4C4E"/>
              </w:rPr>
              <w:t>Cost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tcPr>
          <w:p>
            <w:pPr>
              <w:jc w:val="center"/>
              <w:ind w:right="400"/>
              <w:spacing w:after="0"/>
              <w:rPr>
                <w:sz w:val="20"/>
                <w:szCs w:val="20"/>
                <w:color w:val="auto"/>
              </w:rPr>
            </w:pPr>
            <w:r>
              <w:rPr>
                <w:rFonts w:ascii="Times New Roman" w:cs="Times New Roman" w:eastAsia="Times New Roman" w:hAnsi="Times New Roman"/>
                <w:sz w:val="15"/>
                <w:szCs w:val="15"/>
                <w:b w:val="1"/>
                <w:bCs w:val="1"/>
                <w:color w:val="4C4C4E"/>
              </w:rPr>
              <w:t>of Par</w:t>
            </w:r>
          </w:p>
        </w:tc>
        <w:tc>
          <w:tcPr>
            <w:tcW w:w="100" w:type="dxa"/>
            <w:vAlign w:val="bottom"/>
          </w:tcPr>
          <w:p>
            <w:pPr>
              <w:spacing w:after="0"/>
              <w:rPr>
                <w:sz w:val="16"/>
                <w:szCs w:val="16"/>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4C4C4E"/>
                <w:w w:val="99"/>
              </w:rPr>
              <w:t>Earnings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b w:val="1"/>
                <w:bCs w:val="1"/>
                <w:color w:val="4C4C4E"/>
              </w:rPr>
              <w:t>Assets</w:t>
            </w:r>
          </w:p>
        </w:tc>
        <w:tc>
          <w:tcPr>
            <w:tcW w:w="0" w:type="dxa"/>
            <w:vAlign w:val="bottom"/>
          </w:tcPr>
          <w:p>
            <w:pPr>
              <w:spacing w:after="0"/>
              <w:rPr>
                <w:sz w:val="1"/>
                <w:szCs w:val="1"/>
                <w:color w:val="auto"/>
              </w:rPr>
            </w:pPr>
          </w:p>
        </w:tc>
      </w:tr>
      <w:tr>
        <w:trPr>
          <w:trHeight w:val="181"/>
        </w:trPr>
        <w:tc>
          <w:tcPr>
            <w:tcW w:w="3900" w:type="dxa"/>
            <w:vAlign w:val="bottom"/>
            <w:tcBorders>
              <w:top w:val="single" w:sz="8" w:color="D8EEF4"/>
            </w:tcBorders>
            <w:gridSpan w:val="7"/>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Balance at December 31, 2022</w:t>
            </w:r>
          </w:p>
        </w:tc>
        <w:tc>
          <w:tcPr>
            <w:tcW w:w="8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81,389,287</w:t>
            </w:r>
          </w:p>
        </w:tc>
        <w:tc>
          <w:tcPr>
            <w:tcW w:w="6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5"/>
                <w:szCs w:val="5"/>
                <w:color w:val="4C4C4E"/>
                <w:w w:val="78"/>
              </w:rPr>
              <w:t>$</w:t>
            </w:r>
          </w:p>
        </w:tc>
        <w:tc>
          <w:tcPr>
            <w:tcW w:w="4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821</w:t>
            </w:r>
          </w:p>
        </w:tc>
        <w:tc>
          <w:tcPr>
            <w:tcW w:w="4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720" w:type="dxa"/>
            <w:vAlign w:val="bottom"/>
            <w:tcBorders>
              <w:top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664,250</w:t>
            </w:r>
          </w:p>
        </w:tc>
        <w:tc>
          <w:tcPr>
            <w:tcW w:w="20" w:type="dxa"/>
            <w:vAlign w:val="bottom"/>
            <w:tcBorders>
              <w:top w:val="single" w:sz="8" w:color="4C4C4E"/>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1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80" w:type="dxa"/>
            <w:vAlign w:val="bottom"/>
            <w:tcBorders>
              <w:top w:val="single" w:sz="8" w:color="4C4C4E"/>
            </w:tcBorders>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5"/>
                <w:szCs w:val="5"/>
                <w:color w:val="4C4C4E"/>
                <w:w w:val="78"/>
              </w:rPr>
              <w:t>$</w:t>
            </w:r>
          </w:p>
        </w:tc>
        <w:tc>
          <w:tcPr>
            <w:tcW w:w="600" w:type="dxa"/>
            <w:vAlign w:val="bottom"/>
            <w:tcBorders>
              <w:top w:val="single" w:sz="8" w:color="4C4C4E"/>
            </w:tcBorders>
            <w:gridSpan w:val="3"/>
            <w:shd w:val="clear" w:color="auto" w:fill="D8EEF4"/>
          </w:tcPr>
          <w:p>
            <w:pPr>
              <w:jc w:val="right"/>
              <w:ind w:right="35"/>
              <w:spacing w:after="0"/>
              <w:rPr>
                <w:sz w:val="20"/>
                <w:szCs w:val="20"/>
                <w:color w:val="auto"/>
              </w:rPr>
            </w:pPr>
            <w:r>
              <w:rPr>
                <w:rFonts w:ascii="Times New Roman" w:cs="Times New Roman" w:eastAsia="Times New Roman" w:hAnsi="Times New Roman"/>
                <w:sz w:val="15"/>
                <w:szCs w:val="15"/>
                <w:color w:val="4C4C4E"/>
              </w:rPr>
              <w:t>(10,459)</w:t>
            </w:r>
          </w:p>
        </w:tc>
        <w:tc>
          <w:tcPr>
            <w:tcW w:w="6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160" w:type="dxa"/>
            <w:vAlign w:val="bottom"/>
            <w:tcBorders>
              <w:top w:val="single" w:sz="8" w:color="4C4C4E"/>
            </w:tcBorders>
            <w:shd w:val="clear" w:color="auto" w:fill="D8EEF4"/>
          </w:tcPr>
          <w:p>
            <w:pPr>
              <w:jc w:val="right"/>
              <w:ind w:right="46"/>
              <w:spacing w:after="0"/>
              <w:rPr>
                <w:sz w:val="20"/>
                <w:szCs w:val="20"/>
                <w:color w:val="auto"/>
              </w:rPr>
            </w:pPr>
            <w:r>
              <w:rPr>
                <w:rFonts w:ascii="Times New Roman" w:cs="Times New Roman" w:eastAsia="Times New Roman" w:hAnsi="Times New Roman"/>
                <w:sz w:val="11"/>
                <w:szCs w:val="11"/>
                <w:color w:val="4C4C4E"/>
                <w:w w:val="71"/>
              </w:rPr>
              <w:t>$</w:t>
            </w:r>
          </w:p>
        </w:tc>
        <w:tc>
          <w:tcPr>
            <w:tcW w:w="9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1,294,751</w:t>
            </w:r>
          </w:p>
        </w:tc>
        <w:tc>
          <w:tcPr>
            <w:tcW w:w="20" w:type="dxa"/>
            <w:vAlign w:val="bottom"/>
            <w:tcBorders>
              <w:top w:val="single" w:sz="8" w:color="4C4C4E"/>
            </w:tcBorders>
            <w:shd w:val="clear" w:color="auto" w:fill="D8EEF4"/>
          </w:tcPr>
          <w:p>
            <w:pPr>
              <w:spacing w:after="0"/>
              <w:rPr>
                <w:sz w:val="15"/>
                <w:szCs w:val="15"/>
                <w:color w:val="auto"/>
              </w:rPr>
            </w:pPr>
          </w:p>
        </w:tc>
        <w:tc>
          <w:tcPr>
            <w:tcW w:w="100" w:type="dxa"/>
            <w:vAlign w:val="bottom"/>
            <w:tcBorders>
              <w:top w:val="single" w:sz="8" w:color="D8EEF4"/>
            </w:tcBorders>
            <w:shd w:val="clear" w:color="auto" w:fill="D8EEF4"/>
          </w:tcPr>
          <w:p>
            <w:pPr>
              <w:spacing w:after="0"/>
              <w:rPr>
                <w:sz w:val="15"/>
                <w:szCs w:val="15"/>
                <w:color w:val="auto"/>
              </w:rPr>
            </w:pPr>
          </w:p>
        </w:tc>
        <w:tc>
          <w:tcPr>
            <w:tcW w:w="10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4C4C4E"/>
            </w:tcBorders>
            <w:shd w:val="clear" w:color="auto" w:fill="D8EEF4"/>
          </w:tcPr>
          <w:p>
            <w:pPr>
              <w:spacing w:after="0"/>
              <w:rPr>
                <w:sz w:val="15"/>
                <w:szCs w:val="15"/>
                <w:color w:val="auto"/>
              </w:rPr>
            </w:pPr>
          </w:p>
        </w:tc>
        <w:tc>
          <w:tcPr>
            <w:tcW w:w="10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15"/>
                <w:szCs w:val="15"/>
                <w:color w:val="4C4C4E"/>
              </w:rPr>
              <w:t>$</w:t>
            </w:r>
          </w:p>
        </w:tc>
        <w:tc>
          <w:tcPr>
            <w:tcW w:w="7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56,456</w:t>
            </w:r>
          </w:p>
        </w:tc>
        <w:tc>
          <w:tcPr>
            <w:tcW w:w="20" w:type="dxa"/>
            <w:vAlign w:val="bottom"/>
            <w:tcBorders>
              <w:top w:val="single" w:sz="8" w:color="4C4C4E"/>
            </w:tcBorders>
            <w:shd w:val="clear" w:color="auto" w:fill="D8EEF4"/>
          </w:tcPr>
          <w:p>
            <w:pPr>
              <w:spacing w:after="0"/>
              <w:rPr>
                <w:sz w:val="15"/>
                <w:szCs w:val="15"/>
                <w:color w:val="auto"/>
              </w:rPr>
            </w:pPr>
          </w:p>
        </w:tc>
        <w:tc>
          <w:tcPr>
            <w:tcW w:w="80" w:type="dxa"/>
            <w:vAlign w:val="bottom"/>
            <w:tcBorders>
              <w:top w:val="single" w:sz="8" w:color="D8EEF4"/>
            </w:tcBorders>
            <w:shd w:val="clear" w:color="auto" w:fill="D8EEF4"/>
          </w:tcPr>
          <w:p>
            <w:pPr>
              <w:spacing w:after="0"/>
              <w:rPr>
                <w:sz w:val="15"/>
                <w:szCs w:val="15"/>
                <w:color w:val="auto"/>
              </w:rPr>
            </w:pPr>
          </w:p>
        </w:tc>
        <w:tc>
          <w:tcPr>
            <w:tcW w:w="1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20" w:type="dxa"/>
            <w:vAlign w:val="bottom"/>
            <w:tcBorders>
              <w:top w:val="single" w:sz="8" w:color="D8EEF4"/>
            </w:tcBorders>
            <w:shd w:val="clear" w:color="auto" w:fill="D8EEF4"/>
          </w:tcPr>
          <w:p>
            <w:pPr>
              <w:spacing w:after="0"/>
              <w:rPr>
                <w:sz w:val="15"/>
                <w:szCs w:val="15"/>
                <w:color w:val="auto"/>
              </w:rPr>
            </w:pPr>
          </w:p>
        </w:tc>
        <w:tc>
          <w:tcPr>
            <w:tcW w:w="60" w:type="dxa"/>
            <w:vAlign w:val="bottom"/>
            <w:tcBorders>
              <w:top w:val="single" w:sz="8" w:color="4C4C4E"/>
            </w:tcBorders>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
                <w:szCs w:val="1"/>
                <w:color w:val="4C4C4E"/>
                <w:w w:val="4294967286"/>
              </w:rPr>
              <w:t>$</w:t>
            </w:r>
          </w:p>
        </w:tc>
        <w:tc>
          <w:tcPr>
            <w:tcW w:w="7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1,341,569</w:t>
            </w:r>
          </w:p>
        </w:tc>
        <w:tc>
          <w:tcPr>
            <w:tcW w:w="20" w:type="dxa"/>
            <w:vAlign w:val="bottom"/>
            <w:tcBorders>
              <w:top w:val="single" w:sz="8" w:color="4C4C4E"/>
            </w:tcBorders>
            <w:shd w:val="clear" w:color="auto" w:fill="D8EEF4"/>
          </w:tcPr>
          <w:p>
            <w:pPr>
              <w:spacing w:after="0"/>
              <w:rPr>
                <w:sz w:val="15"/>
                <w:szCs w:val="15"/>
                <w:color w:val="auto"/>
              </w:rPr>
            </w:pPr>
          </w:p>
        </w:tc>
        <w:tc>
          <w:tcPr>
            <w:tcW w:w="40" w:type="dxa"/>
            <w:vAlign w:val="bottom"/>
            <w:tcBorders>
              <w:top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00" w:type="dxa"/>
            <w:vAlign w:val="bottom"/>
            <w:gridSpan w:val="7"/>
          </w:tcPr>
          <w:p>
            <w:pPr>
              <w:ind w:left="100"/>
              <w:spacing w:after="0" w:line="171" w:lineRule="exact"/>
              <w:rPr>
                <w:sz w:val="20"/>
                <w:szCs w:val="20"/>
                <w:color w:val="auto"/>
              </w:rPr>
            </w:pPr>
            <w:r>
              <w:rPr>
                <w:rFonts w:ascii="Times New Roman" w:cs="Times New Roman" w:eastAsia="Times New Roman" w:hAnsi="Times New Roman"/>
                <w:sz w:val="15"/>
                <w:szCs w:val="15"/>
                <w:color w:val="4C4C4E"/>
              </w:rPr>
              <w:t>Net increase (decrease) in net assets resulting from</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100"/>
              <w:spacing w:after="0"/>
              <w:rPr>
                <w:sz w:val="20"/>
                <w:szCs w:val="20"/>
                <w:color w:val="auto"/>
              </w:rPr>
            </w:pPr>
            <w:r>
              <w:rPr>
                <w:rFonts w:ascii="Times New Roman" w:cs="Times New Roman" w:eastAsia="Times New Roman" w:hAnsi="Times New Roman"/>
                <w:sz w:val="15"/>
                <w:szCs w:val="15"/>
                <w:color w:val="4C4C4E"/>
              </w:rPr>
              <w:t>operations: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gridSpan w:val="7"/>
            <w:shd w:val="clear" w:color="auto" w:fill="D8EEF4"/>
          </w:tcPr>
          <w:p>
            <w:pPr>
              <w:ind w:left="100"/>
              <w:spacing w:after="0"/>
              <w:rPr>
                <w:sz w:val="20"/>
                <w:szCs w:val="20"/>
                <w:color w:val="auto"/>
              </w:rPr>
            </w:pPr>
            <w:r>
              <w:rPr>
                <w:rFonts w:ascii="Times New Roman" w:cs="Times New Roman" w:eastAsia="Times New Roman" w:hAnsi="Times New Roman"/>
                <w:sz w:val="15"/>
                <w:szCs w:val="15"/>
                <w:color w:val="4C4C4E"/>
              </w:rPr>
              <w:t>Net investment income</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200" w:type="dxa"/>
            <w:vAlign w:val="bottom"/>
            <w:gridSpan w:val="5"/>
            <w:shd w:val="clear" w:color="auto" w:fill="D8EEF4"/>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shd w:val="clear" w:color="auto" w:fill="D8EEF4"/>
          </w:tcPr>
          <w:p>
            <w:pPr>
              <w:spacing w:after="0"/>
              <w:rPr>
                <w:sz w:val="16"/>
                <w:szCs w:val="16"/>
                <w:color w:val="auto"/>
              </w:rPr>
            </w:pPr>
          </w:p>
        </w:tc>
        <w:tc>
          <w:tcPr>
            <w:tcW w:w="7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196,399</w:t>
            </w: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196,399</w:t>
            </w: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tcPr>
          <w:p>
            <w:pPr>
              <w:ind w:left="200"/>
              <w:spacing w:after="0" w:line="171" w:lineRule="exact"/>
              <w:rPr>
                <w:sz w:val="20"/>
                <w:szCs w:val="20"/>
                <w:color w:val="auto"/>
              </w:rPr>
            </w:pPr>
            <w:r>
              <w:rPr>
                <w:rFonts w:ascii="Times New Roman" w:cs="Times New Roman" w:eastAsia="Times New Roman" w:hAnsi="Times New Roman"/>
                <w:sz w:val="15"/>
                <w:szCs w:val="15"/>
                <w:color w:val="4C4C4E"/>
              </w:rPr>
              <w:t>Net change in unrealized gains (losses) on investments</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200"/>
              <w:spacing w:after="0"/>
              <w:rPr>
                <w:sz w:val="20"/>
                <w:szCs w:val="20"/>
                <w:color w:val="auto"/>
              </w:rPr>
            </w:pPr>
            <w:r>
              <w:rPr>
                <w:rFonts w:ascii="Times New Roman" w:cs="Times New Roman" w:eastAsia="Times New Roman" w:hAnsi="Times New Roman"/>
                <w:sz w:val="15"/>
                <w:szCs w:val="15"/>
                <w:color w:val="4C4C4E"/>
              </w:rPr>
              <w:t>and foreign currency translation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8"/>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13,191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13,191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200"/>
              <w:spacing w:after="0" w:line="171" w:lineRule="exact"/>
              <w:rPr>
                <w:sz w:val="20"/>
                <w:szCs w:val="20"/>
                <w:color w:val="auto"/>
              </w:rPr>
            </w:pPr>
            <w:r>
              <w:rPr>
                <w:rFonts w:ascii="Times New Roman" w:cs="Times New Roman" w:eastAsia="Times New Roman" w:hAnsi="Times New Roman"/>
                <w:sz w:val="15"/>
                <w:szCs w:val="15"/>
                <w:color w:val="4C4C4E"/>
              </w:rPr>
              <w:t>Net realized gain (loss) on investments and foreign</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shd w:val="clear" w:color="auto" w:fill="D8EEF4"/>
          </w:tcPr>
          <w:p>
            <w:pPr>
              <w:ind w:left="200"/>
              <w:spacing w:after="0"/>
              <w:rPr>
                <w:sz w:val="20"/>
                <w:szCs w:val="20"/>
                <w:color w:val="auto"/>
              </w:rPr>
            </w:pPr>
            <w:r>
              <w:rPr>
                <w:rFonts w:ascii="Times New Roman" w:cs="Times New Roman" w:eastAsia="Times New Roman" w:hAnsi="Times New Roman"/>
                <w:sz w:val="15"/>
                <w:szCs w:val="15"/>
                <w:color w:val="4C4C4E"/>
              </w:rPr>
              <w:t>currency transactions</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200" w:type="dxa"/>
            <w:vAlign w:val="bottom"/>
            <w:gridSpan w:val="5"/>
            <w:shd w:val="clear" w:color="auto" w:fill="D8EEF4"/>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shd w:val="clear" w:color="auto" w:fill="D8EEF4"/>
          </w:tcPr>
          <w:p>
            <w:pPr>
              <w:spacing w:after="0"/>
              <w:rPr>
                <w:sz w:val="16"/>
                <w:szCs w:val="16"/>
                <w:color w:val="auto"/>
              </w:rPr>
            </w:pPr>
          </w:p>
        </w:tc>
        <w:tc>
          <w:tcPr>
            <w:tcW w:w="7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12,433</w:t>
            </w: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12,433</w:t>
            </w: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tcPr>
          <w:p>
            <w:pPr>
              <w:ind w:left="100"/>
              <w:spacing w:after="0" w:line="171" w:lineRule="exact"/>
              <w:rPr>
                <w:sz w:val="20"/>
                <w:szCs w:val="20"/>
                <w:color w:val="auto"/>
              </w:rPr>
            </w:pPr>
            <w:r>
              <w:rPr>
                <w:rFonts w:ascii="Times New Roman" w:cs="Times New Roman" w:eastAsia="Times New Roman" w:hAnsi="Times New Roman"/>
                <w:sz w:val="15"/>
                <w:szCs w:val="15"/>
                <w:color w:val="4C4C4E"/>
              </w:rPr>
              <w:t>Increase (decrease) in net assets resulting from capital</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100"/>
              <w:spacing w:after="0"/>
              <w:rPr>
                <w:sz w:val="20"/>
                <w:szCs w:val="20"/>
                <w:color w:val="auto"/>
              </w:rPr>
            </w:pPr>
            <w:r>
              <w:rPr>
                <w:rFonts w:ascii="Times New Roman" w:cs="Times New Roman" w:eastAsia="Times New Roman" w:hAnsi="Times New Roman"/>
                <w:sz w:val="15"/>
                <w:szCs w:val="15"/>
                <w:color w:val="4C4C4E"/>
              </w:rPr>
              <w:t>share transactions: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200"/>
              <w:spacing w:after="0" w:line="171" w:lineRule="exact"/>
              <w:rPr>
                <w:sz w:val="20"/>
                <w:szCs w:val="20"/>
                <w:color w:val="auto"/>
              </w:rPr>
            </w:pPr>
            <w:r>
              <w:rPr>
                <w:rFonts w:ascii="Times New Roman" w:cs="Times New Roman" w:eastAsia="Times New Roman" w:hAnsi="Times New Roman"/>
                <w:sz w:val="15"/>
                <w:szCs w:val="15"/>
                <w:color w:val="4C4C4E"/>
              </w:rPr>
              <w:t>Issuance of common stock, net of offering and</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shd w:val="clear" w:color="auto" w:fill="D8EEF4"/>
          </w:tcPr>
          <w:p>
            <w:pPr>
              <w:ind w:left="200"/>
              <w:spacing w:after="0"/>
              <w:rPr>
                <w:sz w:val="20"/>
                <w:szCs w:val="20"/>
                <w:color w:val="auto"/>
              </w:rPr>
            </w:pPr>
            <w:r>
              <w:rPr>
                <w:rFonts w:ascii="Times New Roman" w:cs="Times New Roman" w:eastAsia="Times New Roman" w:hAnsi="Times New Roman"/>
                <w:sz w:val="15"/>
                <w:szCs w:val="15"/>
                <w:color w:val="4C4C4E"/>
              </w:rPr>
              <w:t>underwriting costs</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5,175,000</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52</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89,152</w:t>
            </w: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860" w:type="dxa"/>
            <w:vAlign w:val="bottom"/>
            <w:gridSpan w:val="3"/>
            <w:shd w:val="clear" w:color="auto" w:fill="D8EEF4"/>
          </w:tcPr>
          <w:p>
            <w:pPr>
              <w:jc w:val="right"/>
              <w:ind w:right="120"/>
              <w:spacing w:after="0"/>
              <w:rPr>
                <w:sz w:val="20"/>
                <w:szCs w:val="20"/>
                <w:color w:val="auto"/>
              </w:rPr>
            </w:pPr>
            <w:r>
              <w:rPr>
                <w:rFonts w:ascii="Times New Roman" w:cs="Times New Roman" w:eastAsia="Times New Roman" w:hAnsi="Times New Roman"/>
                <w:sz w:val="15"/>
                <w:szCs w:val="15"/>
                <w:color w:val="4C4C4E"/>
              </w:rPr>
              <w:t>—</w:t>
            </w: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89,204</w:t>
            </w: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gridSpan w:val="7"/>
          </w:tcPr>
          <w:p>
            <w:pPr>
              <w:ind w:left="100"/>
              <w:spacing w:after="0"/>
              <w:rPr>
                <w:sz w:val="20"/>
                <w:szCs w:val="20"/>
                <w:color w:val="auto"/>
              </w:rPr>
            </w:pPr>
            <w:r>
              <w:rPr>
                <w:rFonts w:ascii="Times New Roman" w:cs="Times New Roman" w:eastAsia="Times New Roman" w:hAnsi="Times New Roman"/>
                <w:sz w:val="15"/>
                <w:szCs w:val="15"/>
                <w:color w:val="4C4C4E"/>
              </w:rPr>
              <w:t>Dividends to stockholders: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200"/>
              <w:spacing w:after="0" w:line="171" w:lineRule="exact"/>
              <w:rPr>
                <w:sz w:val="20"/>
                <w:szCs w:val="20"/>
                <w:color w:val="auto"/>
              </w:rPr>
            </w:pPr>
            <w:r>
              <w:rPr>
                <w:rFonts w:ascii="Times New Roman" w:cs="Times New Roman" w:eastAsia="Times New Roman" w:hAnsi="Times New Roman"/>
                <w:sz w:val="15"/>
                <w:szCs w:val="15"/>
                <w:color w:val="4C4C4E"/>
              </w:rPr>
              <w:t>Stock issued in connection with dividend reinvestment</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shd w:val="clear" w:color="auto" w:fill="D8EEF4"/>
          </w:tcPr>
          <w:p>
            <w:pPr>
              <w:ind w:left="200"/>
              <w:spacing w:after="0"/>
              <w:rPr>
                <w:sz w:val="20"/>
                <w:szCs w:val="20"/>
                <w:color w:val="auto"/>
              </w:rPr>
            </w:pPr>
            <w:r>
              <w:rPr>
                <w:rFonts w:ascii="Times New Roman" w:cs="Times New Roman" w:eastAsia="Times New Roman" w:hAnsi="Times New Roman"/>
                <w:sz w:val="15"/>
                <w:szCs w:val="15"/>
                <w:color w:val="4C4C4E"/>
              </w:rPr>
              <w:t>plan</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1,265,212</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12</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23,533</w:t>
            </w: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860" w:type="dxa"/>
            <w:vAlign w:val="bottom"/>
            <w:gridSpan w:val="3"/>
            <w:shd w:val="clear" w:color="auto" w:fill="D8EEF4"/>
          </w:tcPr>
          <w:p>
            <w:pPr>
              <w:jc w:val="right"/>
              <w:ind w:right="120"/>
              <w:spacing w:after="0"/>
              <w:rPr>
                <w:sz w:val="20"/>
                <w:szCs w:val="20"/>
                <w:color w:val="auto"/>
              </w:rPr>
            </w:pPr>
            <w:r>
              <w:rPr>
                <w:rFonts w:ascii="Times New Roman" w:cs="Times New Roman" w:eastAsia="Times New Roman" w:hAnsi="Times New Roman"/>
                <w:sz w:val="15"/>
                <w:szCs w:val="15"/>
                <w:color w:val="4C4C4E"/>
              </w:rPr>
              <w:t>—</w:t>
            </w: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23,545</w:t>
            </w: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gridSpan w:val="7"/>
          </w:tcPr>
          <w:p>
            <w:pPr>
              <w:ind w:left="200"/>
              <w:spacing w:after="0"/>
              <w:rPr>
                <w:sz w:val="20"/>
                <w:szCs w:val="20"/>
                <w:color w:val="auto"/>
              </w:rPr>
            </w:pPr>
            <w:r>
              <w:rPr>
                <w:rFonts w:ascii="Times New Roman" w:cs="Times New Roman" w:eastAsia="Times New Roman" w:hAnsi="Times New Roman"/>
                <w:sz w:val="15"/>
                <w:szCs w:val="15"/>
                <w:color w:val="4C4C4E"/>
              </w:rPr>
              <w:t>Dividends declared from distributable earnings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8"/>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4C4C4E"/>
              </w:rPr>
              <w:t>(179,966)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4C4C4E"/>
              </w:rPr>
              <w:t>(179,966)</w:t>
            </w: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100"/>
              <w:spacing w:after="0" w:line="171" w:lineRule="exact"/>
              <w:rPr>
                <w:sz w:val="20"/>
                <w:szCs w:val="20"/>
                <w:color w:val="auto"/>
              </w:rPr>
            </w:pPr>
            <w:r>
              <w:rPr>
                <w:rFonts w:ascii="Times New Roman" w:cs="Times New Roman" w:eastAsia="Times New Roman" w:hAnsi="Times New Roman"/>
                <w:sz w:val="15"/>
                <w:szCs w:val="15"/>
                <w:color w:val="4C4C4E"/>
              </w:rPr>
              <w:t>Tax reclassification of stockholders’ equity in accordance</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00" w:type="dxa"/>
            <w:vAlign w:val="bottom"/>
            <w:gridSpan w:val="7"/>
            <w:shd w:val="clear" w:color="auto" w:fill="D8EEF4"/>
          </w:tcPr>
          <w:p>
            <w:pPr>
              <w:ind w:left="100"/>
              <w:spacing w:after="0" w:line="188" w:lineRule="exact"/>
              <w:rPr>
                <w:sz w:val="20"/>
                <w:szCs w:val="20"/>
                <w:color w:val="auto"/>
              </w:rPr>
            </w:pPr>
            <w:r>
              <w:rPr>
                <w:rFonts w:ascii="Times New Roman" w:cs="Times New Roman" w:eastAsia="Times New Roman" w:hAnsi="Times New Roman"/>
                <w:sz w:val="15"/>
                <w:szCs w:val="15"/>
                <w:color w:val="4C4C4E"/>
              </w:rPr>
              <w:t xml:space="preserve">with GAAP </w:t>
            </w:r>
            <w:r>
              <w:rPr>
                <w:rFonts w:ascii="Times New Roman" w:cs="Times New Roman" w:eastAsia="Times New Roman" w:hAnsi="Times New Roman"/>
                <w:sz w:val="20"/>
                <w:szCs w:val="20"/>
                <w:color w:val="4C4C4E"/>
                <w:vertAlign w:val="superscript"/>
              </w:rPr>
              <w:t>(1)</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8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80" w:type="dxa"/>
            <w:vAlign w:val="bottom"/>
            <w:shd w:val="clear" w:color="auto" w:fill="D8EEF4"/>
          </w:tcPr>
          <w:p>
            <w:pPr>
              <w:spacing w:after="0"/>
              <w:rPr>
                <w:sz w:val="18"/>
                <w:szCs w:val="18"/>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10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8"/>
                <w:szCs w:val="18"/>
                <w:color w:val="auto"/>
              </w:rPr>
            </w:pPr>
          </w:p>
        </w:tc>
        <w:tc>
          <w:tcPr>
            <w:tcW w:w="1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60" w:type="dxa"/>
            <w:vAlign w:val="bottom"/>
            <w:shd w:val="clear" w:color="auto" w:fill="D8EEF4"/>
          </w:tcPr>
          <w:p>
            <w:pPr>
              <w:spacing w:after="0"/>
              <w:rPr>
                <w:sz w:val="18"/>
                <w:szCs w:val="18"/>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8"/>
                <w:szCs w:val="18"/>
                <w:color w:val="auto"/>
              </w:rPr>
            </w:pPr>
          </w:p>
        </w:tc>
        <w:tc>
          <w:tcPr>
            <w:tcW w:w="160" w:type="dxa"/>
            <w:vAlign w:val="bottom"/>
            <w:shd w:val="clear" w:color="auto" w:fill="D8EEF4"/>
          </w:tcPr>
          <w:p>
            <w:pPr>
              <w:spacing w:after="0"/>
              <w:rPr>
                <w:sz w:val="18"/>
                <w:szCs w:val="18"/>
                <w:color w:val="auto"/>
              </w:rPr>
            </w:pPr>
          </w:p>
        </w:tc>
        <w:tc>
          <w:tcPr>
            <w:tcW w:w="1080" w:type="dxa"/>
            <w:vAlign w:val="bottom"/>
            <w:gridSpan w:val="3"/>
            <w:shd w:val="clear" w:color="auto" w:fill="D8EEF4"/>
          </w:tcPr>
          <w:p>
            <w:pPr>
              <w:jc w:val="right"/>
              <w:ind w:right="60"/>
              <w:spacing w:after="0"/>
              <w:rPr>
                <w:sz w:val="20"/>
                <w:szCs w:val="20"/>
                <w:color w:val="auto"/>
              </w:rPr>
            </w:pPr>
            <w:r>
              <w:rPr>
                <w:rFonts w:ascii="Times New Roman" w:cs="Times New Roman" w:eastAsia="Times New Roman" w:hAnsi="Times New Roman"/>
                <w:sz w:val="15"/>
                <w:szCs w:val="15"/>
                <w:color w:val="4C4C4E"/>
              </w:rPr>
              <w:t>(2,263)</w:t>
            </w:r>
          </w:p>
        </w:tc>
        <w:tc>
          <w:tcPr>
            <w:tcW w:w="10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100" w:type="dxa"/>
            <w:vAlign w:val="bottom"/>
            <w:shd w:val="clear" w:color="auto" w:fill="D8EEF4"/>
          </w:tcPr>
          <w:p>
            <w:pPr>
              <w:spacing w:after="0"/>
              <w:rPr>
                <w:sz w:val="18"/>
                <w:szCs w:val="18"/>
                <w:color w:val="auto"/>
              </w:rPr>
            </w:pPr>
          </w:p>
        </w:tc>
        <w:tc>
          <w:tcPr>
            <w:tcW w:w="7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2,263</w:t>
            </w:r>
          </w:p>
        </w:tc>
        <w:tc>
          <w:tcPr>
            <w:tcW w:w="20" w:type="dxa"/>
            <w:vAlign w:val="bottom"/>
            <w:shd w:val="clear" w:color="auto" w:fill="D8EEF4"/>
          </w:tcPr>
          <w:p>
            <w:pPr>
              <w:spacing w:after="0"/>
              <w:rPr>
                <w:sz w:val="18"/>
                <w:szCs w:val="18"/>
                <w:color w:val="auto"/>
              </w:rPr>
            </w:pPr>
          </w:p>
        </w:tc>
        <w:tc>
          <w:tcPr>
            <w:tcW w:w="80" w:type="dxa"/>
            <w:vAlign w:val="bottom"/>
            <w:shd w:val="clear" w:color="auto" w:fill="D8EEF4"/>
          </w:tcPr>
          <w:p>
            <w:pPr>
              <w:spacing w:after="0"/>
              <w:rPr>
                <w:sz w:val="18"/>
                <w:szCs w:val="18"/>
                <w:color w:val="auto"/>
              </w:rPr>
            </w:pPr>
          </w:p>
        </w:tc>
        <w:tc>
          <w:tcPr>
            <w:tcW w:w="1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40" w:type="dxa"/>
            <w:vAlign w:val="bottom"/>
            <w:shd w:val="clear" w:color="auto" w:fill="D8EEF4"/>
          </w:tcPr>
          <w:p>
            <w:pPr>
              <w:spacing w:after="0"/>
              <w:rPr>
                <w:sz w:val="18"/>
                <w:szCs w:val="18"/>
                <w:color w:val="auto"/>
              </w:rPr>
            </w:pPr>
          </w:p>
        </w:tc>
        <w:tc>
          <w:tcPr>
            <w:tcW w:w="840" w:type="dxa"/>
            <w:vAlign w:val="bottom"/>
            <w:gridSpan w:val="3"/>
            <w:shd w:val="clear" w:color="auto" w:fill="D8EEF4"/>
          </w:tcPr>
          <w:p>
            <w:pPr>
              <w:jc w:val="right"/>
              <w:ind w:right="80"/>
              <w:spacing w:after="0"/>
              <w:rPr>
                <w:sz w:val="20"/>
                <w:szCs w:val="20"/>
                <w:color w:val="auto"/>
              </w:rPr>
            </w:pPr>
            <w:r>
              <w:rPr>
                <w:rFonts w:ascii="Times New Roman" w:cs="Times New Roman" w:eastAsia="Times New Roman" w:hAnsi="Times New Roman"/>
                <w:sz w:val="15"/>
                <w:szCs w:val="15"/>
                <w:color w:val="4C4C4E"/>
              </w:rPr>
              <w:t>—</w:t>
            </w:r>
          </w:p>
        </w:tc>
        <w:tc>
          <w:tcPr>
            <w:tcW w:w="0" w:type="dxa"/>
            <w:vAlign w:val="bottom"/>
          </w:tcPr>
          <w:p>
            <w:pPr>
              <w:spacing w:after="0"/>
              <w:rPr>
                <w:sz w:val="1"/>
                <w:szCs w:val="1"/>
                <w:color w:val="auto"/>
              </w:rPr>
            </w:pPr>
          </w:p>
        </w:tc>
      </w:tr>
      <w:tr>
        <w:trPr>
          <w:trHeight w:val="201"/>
        </w:trPr>
        <w:tc>
          <w:tcPr>
            <w:tcW w:w="3820" w:type="dxa"/>
            <w:vAlign w:val="bottom"/>
            <w:tcBorders>
              <w:top w:val="single" w:sz="8" w:color="D8EEF4"/>
            </w:tcBorders>
            <w:gridSpan w:val="3"/>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Balance at December 31, 2023</w:t>
            </w:r>
          </w:p>
        </w:tc>
        <w:tc>
          <w:tcPr>
            <w:tcW w:w="60" w:type="dxa"/>
            <w:vAlign w:val="bottom"/>
            <w:tcBorders>
              <w:top w:val="single" w:sz="8" w:color="D8EEF4"/>
            </w:tcBorders>
            <w:gridSpan w:val="3"/>
          </w:tcPr>
          <w:p>
            <w:pPr>
              <w:spacing w:after="0"/>
              <w:rPr>
                <w:sz w:val="17"/>
                <w:szCs w:val="17"/>
                <w:color w:val="auto"/>
              </w:rPr>
            </w:pPr>
          </w:p>
        </w:tc>
        <w:tc>
          <w:tcPr>
            <w:tcW w:w="20" w:type="dxa"/>
            <w:vAlign w:val="bottom"/>
            <w:tcBorders>
              <w:top w:val="single" w:sz="8" w:color="4C4C4E"/>
            </w:tcBorders>
          </w:tcPr>
          <w:p>
            <w:pPr>
              <w:spacing w:after="0"/>
              <w:rPr>
                <w:sz w:val="17"/>
                <w:szCs w:val="17"/>
                <w:color w:val="auto"/>
              </w:rPr>
            </w:pPr>
          </w:p>
        </w:tc>
        <w:tc>
          <w:tcPr>
            <w:tcW w:w="82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87,829,499</w:t>
            </w:r>
          </w:p>
        </w:tc>
        <w:tc>
          <w:tcPr>
            <w:tcW w:w="6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8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100" w:type="dxa"/>
            <w:vAlign w:val="bottom"/>
            <w:tcBorders>
              <w:top w:val="single" w:sz="8" w:color="4C4C4E"/>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4C4C4E"/>
                <w:w w:val="71"/>
              </w:rPr>
              <w:t>$</w:t>
            </w:r>
          </w:p>
        </w:tc>
        <w:tc>
          <w:tcPr>
            <w:tcW w:w="48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885</w:t>
            </w:r>
          </w:p>
        </w:tc>
        <w:tc>
          <w:tcPr>
            <w:tcW w:w="4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10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740" w:type="dxa"/>
            <w:vAlign w:val="bottom"/>
            <w:tcBorders>
              <w:top w:val="single" w:sz="8" w:color="4C4C4E"/>
            </w:tcBorders>
            <w:gridSpan w:val="3"/>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664,250</w:t>
            </w:r>
          </w:p>
        </w:tc>
        <w:tc>
          <w:tcPr>
            <w:tcW w:w="2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12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100" w:type="dxa"/>
            <w:vAlign w:val="bottom"/>
            <w:tcBorders>
              <w:top w:val="single" w:sz="8" w:color="4C4C4E"/>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4C4C4E"/>
                <w:w w:val="71"/>
              </w:rPr>
              <w:t>$</w:t>
            </w:r>
          </w:p>
        </w:tc>
        <w:tc>
          <w:tcPr>
            <w:tcW w:w="56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(10,459</w:t>
            </w:r>
          </w:p>
        </w:tc>
        <w:tc>
          <w:tcPr>
            <w:tcW w:w="20" w:type="dxa"/>
            <w:vAlign w:val="bottom"/>
            <w:tcBorders>
              <w:top w:val="single" w:sz="8" w:color="4C4C4E"/>
            </w:tcBorders>
          </w:tcPr>
          <w:p>
            <w:pPr>
              <w:spacing w:after="0"/>
              <w:rPr>
                <w:sz w:val="17"/>
                <w:szCs w:val="17"/>
                <w:color w:val="auto"/>
              </w:rPr>
            </w:pPr>
          </w:p>
        </w:tc>
        <w:tc>
          <w:tcPr>
            <w:tcW w:w="80" w:type="dxa"/>
            <w:vAlign w:val="bottom"/>
            <w:tcBorders>
              <w:top w:val="single" w:sz="8" w:color="D8EEF4"/>
            </w:tcBorders>
            <w:gridSpan w:val="2"/>
          </w:tcPr>
          <w:p>
            <w:pPr>
              <w:jc w:val="right"/>
              <w:ind w:right="23"/>
              <w:spacing w:after="0"/>
              <w:rPr>
                <w:sz w:val="20"/>
                <w:szCs w:val="20"/>
                <w:color w:val="auto"/>
              </w:rPr>
            </w:pPr>
            <w:r>
              <w:rPr>
                <w:rFonts w:ascii="Times New Roman" w:cs="Times New Roman" w:eastAsia="Times New Roman" w:hAnsi="Times New Roman"/>
                <w:sz w:val="1"/>
                <w:szCs w:val="1"/>
                <w:b w:val="1"/>
                <w:bCs w:val="1"/>
                <w:color w:val="4C4C4E"/>
                <w:w w:val="4294967281"/>
              </w:rPr>
              <w:t>)</w:t>
            </w:r>
          </w:p>
        </w:tc>
        <w:tc>
          <w:tcPr>
            <w:tcW w:w="2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20" w:type="dxa"/>
            <w:vAlign w:val="bottom"/>
            <w:tcBorders>
              <w:top w:val="single" w:sz="8" w:color="4C4C4E"/>
            </w:tcBorders>
          </w:tcPr>
          <w:p>
            <w:pPr>
              <w:spacing w:after="0"/>
              <w:rPr>
                <w:sz w:val="17"/>
                <w:szCs w:val="17"/>
                <w:color w:val="auto"/>
              </w:rPr>
            </w:pPr>
          </w:p>
        </w:tc>
        <w:tc>
          <w:tcPr>
            <w:tcW w:w="200" w:type="dxa"/>
            <w:vAlign w:val="bottom"/>
            <w:tcBorders>
              <w:top w:val="single" w:sz="8" w:color="4C4C4E"/>
            </w:tcBorders>
            <w:gridSpan w:val="2"/>
          </w:tcPr>
          <w:p>
            <w:pPr>
              <w:jc w:val="right"/>
              <w:ind w:right="46"/>
              <w:spacing w:after="0" w:line="161" w:lineRule="exact"/>
              <w:rPr>
                <w:sz w:val="20"/>
                <w:szCs w:val="20"/>
                <w:color w:val="auto"/>
              </w:rPr>
            </w:pPr>
            <w:r>
              <w:rPr>
                <w:rFonts w:ascii="Times New Roman" w:cs="Times New Roman" w:eastAsia="Times New Roman" w:hAnsi="Times New Roman"/>
                <w:sz w:val="15"/>
                <w:szCs w:val="15"/>
                <w:b w:val="1"/>
                <w:bCs w:val="1"/>
                <w:color w:val="4C4C4E"/>
              </w:rPr>
              <w:t>$</w:t>
            </w:r>
          </w:p>
        </w:tc>
        <w:tc>
          <w:tcPr>
            <w:tcW w:w="96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1,405,173</w:t>
            </w:r>
          </w:p>
        </w:tc>
        <w:tc>
          <w:tcPr>
            <w:tcW w:w="20" w:type="dxa"/>
            <w:vAlign w:val="bottom"/>
            <w:tcBorders>
              <w:top w:val="single" w:sz="8" w:color="D8EEF4"/>
            </w:tcBorders>
          </w:tcPr>
          <w:p>
            <w:pPr>
              <w:spacing w:after="0"/>
              <w:rPr>
                <w:sz w:val="17"/>
                <w:szCs w:val="17"/>
                <w:color w:val="auto"/>
              </w:rPr>
            </w:pPr>
          </w:p>
        </w:tc>
        <w:tc>
          <w:tcPr>
            <w:tcW w:w="100" w:type="dxa"/>
            <w:vAlign w:val="bottom"/>
            <w:tcBorders>
              <w:top w:val="single" w:sz="8" w:color="D8EEF4"/>
            </w:tcBorders>
          </w:tcPr>
          <w:p>
            <w:pPr>
              <w:spacing w:after="0"/>
              <w:rPr>
                <w:sz w:val="17"/>
                <w:szCs w:val="17"/>
                <w:color w:val="auto"/>
              </w:rPr>
            </w:pPr>
          </w:p>
        </w:tc>
        <w:tc>
          <w:tcPr>
            <w:tcW w:w="100" w:type="dxa"/>
            <w:vAlign w:val="bottom"/>
            <w:tcBorders>
              <w:top w:val="single" w:sz="8" w:color="D8EEF4"/>
            </w:tcBorders>
          </w:tcPr>
          <w:p>
            <w:pPr>
              <w:spacing w:after="0"/>
              <w:rPr>
                <w:sz w:val="17"/>
                <w:szCs w:val="17"/>
                <w:color w:val="auto"/>
              </w:rPr>
            </w:pPr>
          </w:p>
        </w:tc>
        <w:tc>
          <w:tcPr>
            <w:tcW w:w="20" w:type="dxa"/>
            <w:vAlign w:val="bottom"/>
            <w:tcBorders>
              <w:top w:val="single" w:sz="8" w:color="4C4C4E"/>
            </w:tcBorders>
          </w:tcPr>
          <w:p>
            <w:pPr>
              <w:spacing w:after="0"/>
              <w:rPr>
                <w:sz w:val="17"/>
                <w:szCs w:val="17"/>
                <w:color w:val="auto"/>
              </w:rPr>
            </w:pPr>
          </w:p>
        </w:tc>
        <w:tc>
          <w:tcPr>
            <w:tcW w:w="100" w:type="dxa"/>
            <w:vAlign w:val="bottom"/>
            <w:tcBorders>
              <w:top w:val="single" w:sz="8" w:color="4C4C4E"/>
            </w:tcBorders>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w:t>
            </w:r>
          </w:p>
        </w:tc>
        <w:tc>
          <w:tcPr>
            <w:tcW w:w="76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100,776</w:t>
            </w:r>
          </w:p>
        </w:tc>
        <w:tc>
          <w:tcPr>
            <w:tcW w:w="20" w:type="dxa"/>
            <w:vAlign w:val="bottom"/>
            <w:tcBorders>
              <w:top w:val="single" w:sz="8" w:color="D8EEF4"/>
            </w:tcBorders>
          </w:tcPr>
          <w:p>
            <w:pPr>
              <w:spacing w:after="0"/>
              <w:rPr>
                <w:sz w:val="17"/>
                <w:szCs w:val="17"/>
                <w:color w:val="auto"/>
              </w:rPr>
            </w:pPr>
          </w:p>
        </w:tc>
        <w:tc>
          <w:tcPr>
            <w:tcW w:w="80" w:type="dxa"/>
            <w:vAlign w:val="bottom"/>
            <w:tcBorders>
              <w:top w:val="single" w:sz="8" w:color="D8EEF4"/>
            </w:tcBorders>
          </w:tcPr>
          <w:p>
            <w:pPr>
              <w:spacing w:after="0"/>
              <w:rPr>
                <w:sz w:val="17"/>
                <w:szCs w:val="17"/>
                <w:color w:val="auto"/>
              </w:rPr>
            </w:pPr>
          </w:p>
        </w:tc>
        <w:tc>
          <w:tcPr>
            <w:tcW w:w="12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80" w:type="dxa"/>
            <w:vAlign w:val="bottom"/>
            <w:tcBorders>
              <w:top w:val="single" w:sz="8" w:color="4C4C4E"/>
            </w:tcBorders>
            <w:gridSpan w:val="3"/>
          </w:tcPr>
          <w:p>
            <w:pPr>
              <w:jc w:val="right"/>
              <w:ind w:right="40"/>
              <w:spacing w:after="0"/>
              <w:rPr>
                <w:sz w:val="20"/>
                <w:szCs w:val="20"/>
                <w:color w:val="auto"/>
              </w:rPr>
            </w:pPr>
            <w:r>
              <w:rPr>
                <w:rFonts w:ascii="Times New Roman" w:cs="Times New Roman" w:eastAsia="Times New Roman" w:hAnsi="Times New Roman"/>
                <w:sz w:val="5"/>
                <w:szCs w:val="5"/>
                <w:b w:val="1"/>
                <w:bCs w:val="1"/>
                <w:color w:val="4C4C4E"/>
                <w:w w:val="78"/>
              </w:rPr>
              <w:t>$</w:t>
            </w:r>
          </w:p>
        </w:tc>
        <w:tc>
          <w:tcPr>
            <w:tcW w:w="78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1,496,375</w:t>
            </w:r>
          </w:p>
        </w:tc>
        <w:tc>
          <w:tcPr>
            <w:tcW w:w="20" w:type="dxa"/>
            <w:vAlign w:val="bottom"/>
            <w:tcBorders>
              <w:top w:val="single" w:sz="8" w:color="D8EEF4"/>
            </w:tcBorders>
          </w:tcPr>
          <w:p>
            <w:pPr>
              <w:spacing w:after="0"/>
              <w:rPr>
                <w:sz w:val="17"/>
                <w:szCs w:val="17"/>
                <w:color w:val="auto"/>
              </w:rPr>
            </w:pPr>
          </w:p>
        </w:tc>
        <w:tc>
          <w:tcPr>
            <w:tcW w:w="40" w:type="dxa"/>
            <w:vAlign w:val="bottom"/>
            <w:tcBorders>
              <w:top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820" w:type="dxa"/>
            <w:vAlign w:val="bottom"/>
            <w:tcBorders>
              <w:top w:val="single" w:sz="8" w:color="D8EEF4"/>
            </w:tcBorders>
            <w:gridSpan w:val="3"/>
            <w:shd w:val="clear" w:color="auto" w:fill="D8EEF4"/>
          </w:tcPr>
          <w:p>
            <w:pPr>
              <w:ind w:left="100"/>
              <w:spacing w:after="0" w:line="156" w:lineRule="exact"/>
              <w:rPr>
                <w:sz w:val="20"/>
                <w:szCs w:val="20"/>
                <w:color w:val="auto"/>
              </w:rPr>
            </w:pPr>
            <w:r>
              <w:rPr>
                <w:rFonts w:ascii="Times New Roman" w:cs="Times New Roman" w:eastAsia="Times New Roman" w:hAnsi="Times New Roman"/>
                <w:sz w:val="15"/>
                <w:szCs w:val="15"/>
                <w:color w:val="4C4C4E"/>
              </w:rPr>
              <w:t>Net increase (decrease) in net assets resulting from</w:t>
            </w:r>
          </w:p>
        </w:tc>
        <w:tc>
          <w:tcPr>
            <w:tcW w:w="80" w:type="dxa"/>
            <w:vAlign w:val="bottom"/>
            <w:tcBorders>
              <w:top w:val="single" w:sz="8" w:color="4C4C4E"/>
            </w:tcBorders>
            <w:gridSpan w:val="4"/>
            <w:shd w:val="clear" w:color="auto" w:fill="D8EEF4"/>
          </w:tcPr>
          <w:p>
            <w:pPr>
              <w:spacing w:after="0"/>
              <w:rPr>
                <w:sz w:val="13"/>
                <w:szCs w:val="13"/>
                <w:color w:val="auto"/>
              </w:rPr>
            </w:pPr>
          </w:p>
        </w:tc>
        <w:tc>
          <w:tcPr>
            <w:tcW w:w="820" w:type="dxa"/>
            <w:vAlign w:val="bottom"/>
            <w:tcBorders>
              <w:top w:val="single" w:sz="8" w:color="4C4C4E"/>
            </w:tcBorders>
            <w:shd w:val="clear" w:color="auto" w:fill="D8EEF4"/>
          </w:tcPr>
          <w:p>
            <w:pPr>
              <w:spacing w:after="0"/>
              <w:rPr>
                <w:sz w:val="13"/>
                <w:szCs w:val="13"/>
                <w:color w:val="auto"/>
              </w:rPr>
            </w:pPr>
          </w:p>
        </w:tc>
        <w:tc>
          <w:tcPr>
            <w:tcW w:w="60" w:type="dxa"/>
            <w:vAlign w:val="bottom"/>
            <w:tcBorders>
              <w:top w:val="single" w:sz="8" w:color="D8EEF4"/>
            </w:tcBorders>
            <w:shd w:val="clear" w:color="auto" w:fill="D8EEF4"/>
          </w:tcPr>
          <w:p>
            <w:pPr>
              <w:spacing w:after="0"/>
              <w:rPr>
                <w:sz w:val="13"/>
                <w:szCs w:val="13"/>
                <w:color w:val="auto"/>
              </w:rPr>
            </w:pPr>
          </w:p>
        </w:tc>
        <w:tc>
          <w:tcPr>
            <w:tcW w:w="20" w:type="dxa"/>
            <w:vAlign w:val="bottom"/>
            <w:tcBorders>
              <w:top w:val="single" w:sz="8" w:color="D8EEF4"/>
            </w:tcBorders>
            <w:shd w:val="clear" w:color="auto" w:fill="D8EEF4"/>
          </w:tcPr>
          <w:p>
            <w:pPr>
              <w:spacing w:after="0"/>
              <w:rPr>
                <w:sz w:val="13"/>
                <w:szCs w:val="13"/>
                <w:color w:val="auto"/>
              </w:rPr>
            </w:pPr>
          </w:p>
        </w:tc>
        <w:tc>
          <w:tcPr>
            <w:tcW w:w="80" w:type="dxa"/>
            <w:vAlign w:val="bottom"/>
            <w:tcBorders>
              <w:top w:val="single" w:sz="8" w:color="D8EEF4"/>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80" w:type="dxa"/>
            <w:vAlign w:val="bottom"/>
            <w:tcBorders>
              <w:top w:val="single" w:sz="8" w:color="4C4C4E"/>
            </w:tcBorders>
            <w:shd w:val="clear" w:color="auto" w:fill="D8EEF4"/>
          </w:tcPr>
          <w:p>
            <w:pPr>
              <w:spacing w:after="0"/>
              <w:rPr>
                <w:sz w:val="13"/>
                <w:szCs w:val="13"/>
                <w:color w:val="auto"/>
              </w:rPr>
            </w:pPr>
          </w:p>
        </w:tc>
        <w:tc>
          <w:tcPr>
            <w:tcW w:w="480" w:type="dxa"/>
            <w:vAlign w:val="bottom"/>
            <w:tcBorders>
              <w:top w:val="single" w:sz="8" w:color="4C4C4E"/>
            </w:tcBorders>
            <w:shd w:val="clear" w:color="auto" w:fill="D8EEF4"/>
          </w:tcPr>
          <w:p>
            <w:pPr>
              <w:spacing w:after="0"/>
              <w:rPr>
                <w:sz w:val="13"/>
                <w:szCs w:val="13"/>
                <w:color w:val="auto"/>
              </w:rPr>
            </w:pPr>
          </w:p>
        </w:tc>
        <w:tc>
          <w:tcPr>
            <w:tcW w:w="40" w:type="dxa"/>
            <w:vAlign w:val="bottom"/>
            <w:tcBorders>
              <w:top w:val="single" w:sz="8" w:color="D8EEF4"/>
            </w:tcBorders>
            <w:shd w:val="clear" w:color="auto" w:fill="D8EEF4"/>
          </w:tcPr>
          <w:p>
            <w:pPr>
              <w:spacing w:after="0"/>
              <w:rPr>
                <w:sz w:val="13"/>
                <w:szCs w:val="13"/>
                <w:color w:val="auto"/>
              </w:rPr>
            </w:pPr>
          </w:p>
        </w:tc>
        <w:tc>
          <w:tcPr>
            <w:tcW w:w="20" w:type="dxa"/>
            <w:vAlign w:val="bottom"/>
            <w:tcBorders>
              <w:top w:val="single" w:sz="8" w:color="D8EEF4"/>
            </w:tcBorders>
            <w:shd w:val="clear" w:color="auto" w:fill="D8EEF4"/>
          </w:tcPr>
          <w:p>
            <w:pPr>
              <w:spacing w:after="0"/>
              <w:rPr>
                <w:sz w:val="13"/>
                <w:szCs w:val="13"/>
                <w:color w:val="auto"/>
              </w:rPr>
            </w:pPr>
          </w:p>
        </w:tc>
        <w:tc>
          <w:tcPr>
            <w:tcW w:w="100" w:type="dxa"/>
            <w:vAlign w:val="bottom"/>
            <w:tcBorders>
              <w:top w:val="single" w:sz="8" w:color="D8EEF4"/>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700" w:type="dxa"/>
            <w:vAlign w:val="bottom"/>
            <w:tcBorders>
              <w:top w:val="single" w:sz="8" w:color="4C4C4E"/>
            </w:tcBorders>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20" w:type="dxa"/>
            <w:vAlign w:val="bottom"/>
            <w:tcBorders>
              <w:top w:val="single" w:sz="8" w:color="D8EEF4"/>
            </w:tcBorders>
            <w:shd w:val="clear" w:color="auto" w:fill="D8EEF4"/>
          </w:tcPr>
          <w:p>
            <w:pPr>
              <w:spacing w:after="0"/>
              <w:rPr>
                <w:sz w:val="13"/>
                <w:szCs w:val="13"/>
                <w:color w:val="auto"/>
              </w:rPr>
            </w:pPr>
          </w:p>
        </w:tc>
        <w:tc>
          <w:tcPr>
            <w:tcW w:w="120" w:type="dxa"/>
            <w:vAlign w:val="bottom"/>
            <w:tcBorders>
              <w:top w:val="single" w:sz="8" w:color="D8EEF4"/>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60" w:type="dxa"/>
            <w:vAlign w:val="bottom"/>
            <w:tcBorders>
              <w:top w:val="single" w:sz="8" w:color="4C4C4E"/>
            </w:tcBorders>
            <w:shd w:val="clear" w:color="auto" w:fill="D8EEF4"/>
          </w:tcPr>
          <w:p>
            <w:pPr>
              <w:spacing w:after="0"/>
              <w:rPr>
                <w:sz w:val="13"/>
                <w:szCs w:val="13"/>
                <w:color w:val="auto"/>
              </w:rPr>
            </w:pPr>
          </w:p>
        </w:tc>
        <w:tc>
          <w:tcPr>
            <w:tcW w:w="560" w:type="dxa"/>
            <w:vAlign w:val="bottom"/>
            <w:tcBorders>
              <w:top w:val="single" w:sz="8" w:color="4C4C4E"/>
            </w:tcBorders>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60" w:type="dxa"/>
            <w:vAlign w:val="bottom"/>
            <w:tcBorders>
              <w:top w:val="single" w:sz="8" w:color="D8EEF4"/>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40" w:type="dxa"/>
            <w:vAlign w:val="bottom"/>
            <w:tcBorders>
              <w:top w:val="single" w:sz="8" w:color="4C4C4E"/>
            </w:tcBorders>
            <w:shd w:val="clear" w:color="auto" w:fill="D8EEF4"/>
          </w:tcPr>
          <w:p>
            <w:pPr>
              <w:spacing w:after="0"/>
              <w:rPr>
                <w:sz w:val="13"/>
                <w:szCs w:val="13"/>
                <w:color w:val="auto"/>
              </w:rPr>
            </w:pPr>
          </w:p>
        </w:tc>
        <w:tc>
          <w:tcPr>
            <w:tcW w:w="160" w:type="dxa"/>
            <w:vAlign w:val="bottom"/>
            <w:tcBorders>
              <w:top w:val="single" w:sz="8" w:color="4C4C4E"/>
            </w:tcBorders>
            <w:shd w:val="clear" w:color="auto" w:fill="D8EEF4"/>
          </w:tcPr>
          <w:p>
            <w:pPr>
              <w:spacing w:after="0"/>
              <w:rPr>
                <w:sz w:val="13"/>
                <w:szCs w:val="13"/>
                <w:color w:val="auto"/>
              </w:rPr>
            </w:pPr>
          </w:p>
        </w:tc>
        <w:tc>
          <w:tcPr>
            <w:tcW w:w="960" w:type="dxa"/>
            <w:vAlign w:val="bottom"/>
            <w:tcBorders>
              <w:top w:val="single" w:sz="8" w:color="4C4C4E"/>
            </w:tcBorders>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00" w:type="dxa"/>
            <w:vAlign w:val="bottom"/>
            <w:tcBorders>
              <w:top w:val="single" w:sz="8" w:color="D8EEF4"/>
            </w:tcBorders>
            <w:shd w:val="clear" w:color="auto" w:fill="D8EEF4"/>
          </w:tcPr>
          <w:p>
            <w:pPr>
              <w:spacing w:after="0"/>
              <w:rPr>
                <w:sz w:val="13"/>
                <w:szCs w:val="13"/>
                <w:color w:val="auto"/>
              </w:rPr>
            </w:pPr>
          </w:p>
        </w:tc>
        <w:tc>
          <w:tcPr>
            <w:tcW w:w="100" w:type="dxa"/>
            <w:vAlign w:val="bottom"/>
            <w:tcBorders>
              <w:top w:val="single" w:sz="8" w:color="D8EEF4"/>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100" w:type="dxa"/>
            <w:vAlign w:val="bottom"/>
            <w:tcBorders>
              <w:top w:val="single" w:sz="8" w:color="4C4C4E"/>
            </w:tcBorders>
            <w:shd w:val="clear" w:color="auto" w:fill="D8EEF4"/>
          </w:tcPr>
          <w:p>
            <w:pPr>
              <w:spacing w:after="0"/>
              <w:rPr>
                <w:sz w:val="13"/>
                <w:szCs w:val="13"/>
                <w:color w:val="auto"/>
              </w:rPr>
            </w:pPr>
          </w:p>
        </w:tc>
        <w:tc>
          <w:tcPr>
            <w:tcW w:w="760" w:type="dxa"/>
            <w:vAlign w:val="bottom"/>
            <w:tcBorders>
              <w:top w:val="single" w:sz="8" w:color="4C4C4E"/>
            </w:tcBorders>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80" w:type="dxa"/>
            <w:vAlign w:val="bottom"/>
            <w:tcBorders>
              <w:top w:val="single" w:sz="8" w:color="D8EEF4"/>
            </w:tcBorders>
            <w:shd w:val="clear" w:color="auto" w:fill="D8EEF4"/>
          </w:tcPr>
          <w:p>
            <w:pPr>
              <w:spacing w:after="0"/>
              <w:rPr>
                <w:sz w:val="13"/>
                <w:szCs w:val="13"/>
                <w:color w:val="auto"/>
              </w:rPr>
            </w:pPr>
          </w:p>
        </w:tc>
        <w:tc>
          <w:tcPr>
            <w:tcW w:w="120" w:type="dxa"/>
            <w:vAlign w:val="bottom"/>
            <w:tcBorders>
              <w:top w:val="single" w:sz="8" w:color="D8EEF4"/>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20" w:type="dxa"/>
            <w:vAlign w:val="bottom"/>
            <w:tcBorders>
              <w:top w:val="single" w:sz="8" w:color="4C4C4E"/>
            </w:tcBorders>
            <w:shd w:val="clear" w:color="auto" w:fill="D8EEF4"/>
          </w:tcPr>
          <w:p>
            <w:pPr>
              <w:spacing w:after="0"/>
              <w:rPr>
                <w:sz w:val="13"/>
                <w:szCs w:val="13"/>
                <w:color w:val="auto"/>
              </w:rPr>
            </w:pPr>
          </w:p>
        </w:tc>
        <w:tc>
          <w:tcPr>
            <w:tcW w:w="40" w:type="dxa"/>
            <w:vAlign w:val="bottom"/>
            <w:tcBorders>
              <w:top w:val="single" w:sz="8" w:color="4C4C4E"/>
            </w:tcBorders>
            <w:shd w:val="clear" w:color="auto" w:fill="D8EEF4"/>
          </w:tcPr>
          <w:p>
            <w:pPr>
              <w:spacing w:after="0"/>
              <w:rPr>
                <w:sz w:val="13"/>
                <w:szCs w:val="13"/>
                <w:color w:val="auto"/>
              </w:rPr>
            </w:pPr>
          </w:p>
        </w:tc>
        <w:tc>
          <w:tcPr>
            <w:tcW w:w="780" w:type="dxa"/>
            <w:vAlign w:val="bottom"/>
            <w:tcBorders>
              <w:top w:val="single" w:sz="8" w:color="4C4C4E"/>
            </w:tcBorders>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40" w:type="dxa"/>
            <w:vAlign w:val="bottom"/>
            <w:tcBorders>
              <w:top w:val="single" w:sz="8" w:color="D8EEF4"/>
            </w:tcBorders>
            <w:shd w:val="clear" w:color="auto" w:fill="D8EEF4"/>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gridSpan w:val="7"/>
            <w:shd w:val="clear" w:color="auto" w:fill="D8EEF4"/>
          </w:tcPr>
          <w:p>
            <w:pPr>
              <w:ind w:left="100"/>
              <w:spacing w:after="0"/>
              <w:rPr>
                <w:sz w:val="20"/>
                <w:szCs w:val="20"/>
                <w:color w:val="auto"/>
              </w:rPr>
            </w:pPr>
            <w:r>
              <w:rPr>
                <w:rFonts w:ascii="Times New Roman" w:cs="Times New Roman" w:eastAsia="Times New Roman" w:hAnsi="Times New Roman"/>
                <w:sz w:val="15"/>
                <w:szCs w:val="15"/>
                <w:color w:val="4C4C4E"/>
              </w:rPr>
              <w:t>operations:</w:t>
            </w:r>
          </w:p>
        </w:tc>
        <w:tc>
          <w:tcPr>
            <w:tcW w:w="8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5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gridSpan w:val="7"/>
          </w:tcPr>
          <w:p>
            <w:pPr>
              <w:ind w:left="200"/>
              <w:spacing w:after="0"/>
              <w:rPr>
                <w:sz w:val="20"/>
                <w:szCs w:val="20"/>
                <w:color w:val="auto"/>
              </w:rPr>
            </w:pPr>
            <w:r>
              <w:rPr>
                <w:rFonts w:ascii="Times New Roman" w:cs="Times New Roman" w:eastAsia="Times New Roman" w:hAnsi="Times New Roman"/>
                <w:sz w:val="15"/>
                <w:szCs w:val="15"/>
                <w:color w:val="4C4C4E"/>
              </w:rPr>
              <w:t>Net investment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3"/>
          </w:tcPr>
          <w:p>
            <w:pPr>
              <w:jc w:val="right"/>
              <w:ind w:right="55"/>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220,017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220,017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200"/>
              <w:spacing w:after="0" w:line="171" w:lineRule="exact"/>
              <w:rPr>
                <w:sz w:val="20"/>
                <w:szCs w:val="20"/>
                <w:color w:val="auto"/>
              </w:rPr>
            </w:pPr>
            <w:r>
              <w:rPr>
                <w:rFonts w:ascii="Times New Roman" w:cs="Times New Roman" w:eastAsia="Times New Roman" w:hAnsi="Times New Roman"/>
                <w:sz w:val="15"/>
                <w:szCs w:val="15"/>
                <w:color w:val="4C4C4E"/>
              </w:rPr>
              <w:t>Net change in unrealized gains (losses) on investments</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shd w:val="clear" w:color="auto" w:fill="D8EEF4"/>
          </w:tcPr>
          <w:p>
            <w:pPr>
              <w:ind w:left="200"/>
              <w:spacing w:after="0"/>
              <w:rPr>
                <w:sz w:val="20"/>
                <w:szCs w:val="20"/>
                <w:color w:val="auto"/>
              </w:rPr>
            </w:pPr>
            <w:r>
              <w:rPr>
                <w:rFonts w:ascii="Times New Roman" w:cs="Times New Roman" w:eastAsia="Times New Roman" w:hAnsi="Times New Roman"/>
                <w:sz w:val="15"/>
                <w:szCs w:val="15"/>
                <w:color w:val="4C4C4E"/>
              </w:rPr>
              <w:t>and foreign currency translation</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200" w:type="dxa"/>
            <w:vAlign w:val="bottom"/>
            <w:gridSpan w:val="5"/>
            <w:shd w:val="clear" w:color="auto" w:fill="D8EEF4"/>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shd w:val="clear" w:color="auto" w:fill="D8EEF4"/>
          </w:tcPr>
          <w:p>
            <w:pPr>
              <w:spacing w:after="0"/>
              <w:rPr>
                <w:sz w:val="16"/>
                <w:szCs w:val="16"/>
                <w:color w:val="auto"/>
              </w:rPr>
            </w:pPr>
          </w:p>
        </w:tc>
        <w:tc>
          <w:tcPr>
            <w:tcW w:w="860" w:type="dxa"/>
            <w:vAlign w:val="bottom"/>
            <w:gridSpan w:val="3"/>
            <w:shd w:val="clear" w:color="auto" w:fill="D8EEF4"/>
          </w:tcPr>
          <w:p>
            <w:pPr>
              <w:jc w:val="right"/>
              <w:ind w:right="60"/>
              <w:spacing w:after="0"/>
              <w:rPr>
                <w:sz w:val="20"/>
                <w:szCs w:val="20"/>
                <w:color w:val="auto"/>
              </w:rPr>
            </w:pPr>
            <w:r>
              <w:rPr>
                <w:rFonts w:ascii="Times New Roman" w:cs="Times New Roman" w:eastAsia="Times New Roman" w:hAnsi="Times New Roman"/>
                <w:sz w:val="15"/>
                <w:szCs w:val="15"/>
                <w:color w:val="4C4C4E"/>
              </w:rPr>
              <w:t>(42,024)</w:t>
            </w: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gridSpan w:val="3"/>
            <w:shd w:val="clear" w:color="auto" w:fill="D8EEF4"/>
          </w:tcPr>
          <w:p>
            <w:pPr>
              <w:jc w:val="right"/>
              <w:ind w:right="20"/>
              <w:spacing w:after="0"/>
              <w:rPr>
                <w:sz w:val="20"/>
                <w:szCs w:val="20"/>
                <w:color w:val="auto"/>
              </w:rPr>
            </w:pPr>
            <w:r>
              <w:rPr>
                <w:rFonts w:ascii="Times New Roman" w:cs="Times New Roman" w:eastAsia="Times New Roman" w:hAnsi="Times New Roman"/>
                <w:sz w:val="15"/>
                <w:szCs w:val="15"/>
                <w:color w:val="4C4C4E"/>
              </w:rPr>
              <w:t>(42,024)</w:t>
            </w:r>
          </w:p>
        </w:tc>
        <w:tc>
          <w:tcPr>
            <w:tcW w:w="0" w:type="dxa"/>
            <w:vAlign w:val="bottom"/>
          </w:tcPr>
          <w:p>
            <w:pPr>
              <w:spacing w:after="0"/>
              <w:rPr>
                <w:sz w:val="1"/>
                <w:szCs w:val="1"/>
                <w:color w:val="auto"/>
              </w:rPr>
            </w:pPr>
          </w:p>
        </w:tc>
      </w:tr>
      <w:tr>
        <w:trPr>
          <w:trHeight w:val="171"/>
        </w:trPr>
        <w:tc>
          <w:tcPr>
            <w:tcW w:w="3900" w:type="dxa"/>
            <w:vAlign w:val="bottom"/>
            <w:gridSpan w:val="7"/>
          </w:tcPr>
          <w:p>
            <w:pPr>
              <w:ind w:left="200"/>
              <w:spacing w:after="0" w:line="171" w:lineRule="exact"/>
              <w:rPr>
                <w:sz w:val="20"/>
                <w:szCs w:val="20"/>
                <w:color w:val="auto"/>
              </w:rPr>
            </w:pPr>
            <w:r>
              <w:rPr>
                <w:rFonts w:ascii="Times New Roman" w:cs="Times New Roman" w:eastAsia="Times New Roman" w:hAnsi="Times New Roman"/>
                <w:sz w:val="15"/>
                <w:szCs w:val="15"/>
                <w:color w:val="4C4C4E"/>
              </w:rPr>
              <w:t>Net realized gain (loss) on investments and foreign</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200"/>
              <w:spacing w:after="0"/>
              <w:rPr>
                <w:sz w:val="20"/>
                <w:szCs w:val="20"/>
                <w:color w:val="auto"/>
              </w:rPr>
            </w:pPr>
            <w:r>
              <w:rPr>
                <w:rFonts w:ascii="Times New Roman" w:cs="Times New Roman" w:eastAsia="Times New Roman" w:hAnsi="Times New Roman"/>
                <w:sz w:val="15"/>
                <w:szCs w:val="15"/>
                <w:color w:val="4C4C4E"/>
              </w:rPr>
              <w:t>currency transactions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8"/>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8,573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8,573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100"/>
              <w:spacing w:after="0" w:line="171" w:lineRule="exact"/>
              <w:rPr>
                <w:sz w:val="20"/>
                <w:szCs w:val="20"/>
                <w:color w:val="auto"/>
              </w:rPr>
            </w:pPr>
            <w:r>
              <w:rPr>
                <w:rFonts w:ascii="Times New Roman" w:cs="Times New Roman" w:eastAsia="Times New Roman" w:hAnsi="Times New Roman"/>
                <w:sz w:val="15"/>
                <w:szCs w:val="15"/>
                <w:color w:val="4C4C4E"/>
              </w:rPr>
              <w:t>Increase (decrease) in net assets resulting from capital</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shd w:val="clear" w:color="auto" w:fill="D8EEF4"/>
          </w:tcPr>
          <w:p>
            <w:pPr>
              <w:ind w:left="100"/>
              <w:spacing w:after="0"/>
              <w:rPr>
                <w:sz w:val="20"/>
                <w:szCs w:val="20"/>
                <w:color w:val="auto"/>
              </w:rPr>
            </w:pPr>
            <w:r>
              <w:rPr>
                <w:rFonts w:ascii="Times New Roman" w:cs="Times New Roman" w:eastAsia="Times New Roman" w:hAnsi="Times New Roman"/>
                <w:sz w:val="15"/>
                <w:szCs w:val="15"/>
                <w:color w:val="4C4C4E"/>
              </w:rPr>
              <w:t>share transactions:</w:t>
            </w:r>
          </w:p>
        </w:tc>
        <w:tc>
          <w:tcPr>
            <w:tcW w:w="8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5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tcPr>
          <w:p>
            <w:pPr>
              <w:ind w:left="200"/>
              <w:spacing w:after="0" w:line="171" w:lineRule="exact"/>
              <w:rPr>
                <w:sz w:val="20"/>
                <w:szCs w:val="20"/>
                <w:color w:val="auto"/>
              </w:rPr>
            </w:pPr>
            <w:r>
              <w:rPr>
                <w:rFonts w:ascii="Times New Roman" w:cs="Times New Roman" w:eastAsia="Times New Roman" w:hAnsi="Times New Roman"/>
                <w:sz w:val="15"/>
                <w:szCs w:val="15"/>
                <w:color w:val="4C4C4E"/>
              </w:rPr>
              <w:t>Issuance of common stock, net of offering and</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200"/>
              <w:spacing w:after="0"/>
              <w:rPr>
                <w:sz w:val="20"/>
                <w:szCs w:val="20"/>
                <w:color w:val="auto"/>
              </w:rPr>
            </w:pPr>
            <w:r>
              <w:rPr>
                <w:rFonts w:ascii="Times New Roman" w:cs="Times New Roman" w:eastAsia="Times New Roman" w:hAnsi="Times New Roman"/>
                <w:sz w:val="15"/>
                <w:szCs w:val="15"/>
                <w:color w:val="4C4C4E"/>
              </w:rPr>
              <w:t>underwriting costs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4,600,000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46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8"/>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93,262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4C4C4E"/>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93,308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gridSpan w:val="7"/>
            <w:shd w:val="clear" w:color="auto" w:fill="D8EEF4"/>
          </w:tcPr>
          <w:p>
            <w:pPr>
              <w:ind w:left="100"/>
              <w:spacing w:after="0"/>
              <w:rPr>
                <w:sz w:val="20"/>
                <w:szCs w:val="20"/>
                <w:color w:val="auto"/>
              </w:rPr>
            </w:pPr>
            <w:r>
              <w:rPr>
                <w:rFonts w:ascii="Times New Roman" w:cs="Times New Roman" w:eastAsia="Times New Roman" w:hAnsi="Times New Roman"/>
                <w:sz w:val="15"/>
                <w:szCs w:val="15"/>
                <w:color w:val="4C4C4E"/>
              </w:rPr>
              <w:t>Dividends to stockholders:</w:t>
            </w:r>
          </w:p>
        </w:tc>
        <w:tc>
          <w:tcPr>
            <w:tcW w:w="8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5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9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7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7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tcPr>
          <w:p>
            <w:pPr>
              <w:ind w:left="200"/>
              <w:spacing w:after="0" w:line="171" w:lineRule="exact"/>
              <w:rPr>
                <w:sz w:val="20"/>
                <w:szCs w:val="20"/>
                <w:color w:val="auto"/>
              </w:rPr>
            </w:pPr>
            <w:r>
              <w:rPr>
                <w:rFonts w:ascii="Times New Roman" w:cs="Times New Roman" w:eastAsia="Times New Roman" w:hAnsi="Times New Roman"/>
                <w:sz w:val="15"/>
                <w:szCs w:val="15"/>
                <w:color w:val="4C4C4E"/>
              </w:rPr>
              <w:t>Stock issued in connection with dividend reinvestment</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200"/>
              <w:spacing w:after="0"/>
              <w:rPr>
                <w:sz w:val="20"/>
                <w:szCs w:val="20"/>
                <w:color w:val="auto"/>
              </w:rPr>
            </w:pPr>
            <w:r>
              <w:rPr>
                <w:rFonts w:ascii="Times New Roman" w:cs="Times New Roman" w:eastAsia="Times New Roman" w:hAnsi="Times New Roman"/>
                <w:sz w:val="15"/>
                <w:szCs w:val="15"/>
                <w:color w:val="4C4C4E"/>
              </w:rPr>
              <w:t>plan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1,231,937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12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8"/>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24,711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4C4C4E"/>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24,723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gridSpan w:val="7"/>
            <w:shd w:val="clear" w:color="auto" w:fill="D8EEF4"/>
          </w:tcPr>
          <w:p>
            <w:pPr>
              <w:ind w:left="200"/>
              <w:spacing w:after="0"/>
              <w:rPr>
                <w:sz w:val="20"/>
                <w:szCs w:val="20"/>
                <w:color w:val="auto"/>
              </w:rPr>
            </w:pPr>
            <w:r>
              <w:rPr>
                <w:rFonts w:ascii="Times New Roman" w:cs="Times New Roman" w:eastAsia="Times New Roman" w:hAnsi="Times New Roman"/>
                <w:sz w:val="15"/>
                <w:szCs w:val="15"/>
                <w:color w:val="4C4C4E"/>
              </w:rPr>
              <w:t>Dividends declared from distributable earnings</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200" w:type="dxa"/>
            <w:vAlign w:val="bottom"/>
            <w:gridSpan w:val="5"/>
            <w:shd w:val="clear" w:color="auto" w:fill="D8EEF4"/>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shd w:val="clear" w:color="auto" w:fill="D8EEF4"/>
          </w:tcPr>
          <w:p>
            <w:pPr>
              <w:spacing w:after="0"/>
              <w:rPr>
                <w:sz w:val="16"/>
                <w:szCs w:val="16"/>
                <w:color w:val="auto"/>
              </w:rPr>
            </w:pPr>
          </w:p>
        </w:tc>
        <w:tc>
          <w:tcPr>
            <w:tcW w:w="860" w:type="dxa"/>
            <w:vAlign w:val="bottom"/>
            <w:gridSpan w:val="3"/>
            <w:shd w:val="clear" w:color="auto" w:fill="D8EEF4"/>
          </w:tcPr>
          <w:p>
            <w:pPr>
              <w:jc w:val="right"/>
              <w:ind w:right="60"/>
              <w:spacing w:after="0"/>
              <w:rPr>
                <w:sz w:val="20"/>
                <w:szCs w:val="20"/>
                <w:color w:val="auto"/>
              </w:rPr>
            </w:pPr>
            <w:r>
              <w:rPr>
                <w:rFonts w:ascii="Times New Roman" w:cs="Times New Roman" w:eastAsia="Times New Roman" w:hAnsi="Times New Roman"/>
                <w:sz w:val="15"/>
                <w:szCs w:val="15"/>
                <w:color w:val="4C4C4E"/>
              </w:rPr>
              <w:t>(193,443)</w:t>
            </w: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gridSpan w:val="3"/>
            <w:shd w:val="clear" w:color="auto" w:fill="D8EEF4"/>
          </w:tcPr>
          <w:p>
            <w:pPr>
              <w:jc w:val="right"/>
              <w:ind w:right="20"/>
              <w:spacing w:after="0"/>
              <w:rPr>
                <w:sz w:val="20"/>
                <w:szCs w:val="20"/>
                <w:color w:val="auto"/>
              </w:rPr>
            </w:pPr>
            <w:r>
              <w:rPr>
                <w:rFonts w:ascii="Times New Roman" w:cs="Times New Roman" w:eastAsia="Times New Roman" w:hAnsi="Times New Roman"/>
                <w:sz w:val="15"/>
                <w:szCs w:val="15"/>
                <w:color w:val="4C4C4E"/>
              </w:rPr>
              <w:t>(193,443)</w:t>
            </w:r>
          </w:p>
        </w:tc>
        <w:tc>
          <w:tcPr>
            <w:tcW w:w="0" w:type="dxa"/>
            <w:vAlign w:val="bottom"/>
          </w:tcPr>
          <w:p>
            <w:pPr>
              <w:spacing w:after="0"/>
              <w:rPr>
                <w:sz w:val="1"/>
                <w:szCs w:val="1"/>
                <w:color w:val="auto"/>
              </w:rPr>
            </w:pPr>
          </w:p>
        </w:tc>
      </w:tr>
      <w:tr>
        <w:trPr>
          <w:trHeight w:val="171"/>
        </w:trPr>
        <w:tc>
          <w:tcPr>
            <w:tcW w:w="3900" w:type="dxa"/>
            <w:vAlign w:val="bottom"/>
            <w:gridSpan w:val="7"/>
          </w:tcPr>
          <w:p>
            <w:pPr>
              <w:ind w:left="100"/>
              <w:spacing w:after="0" w:line="171" w:lineRule="exact"/>
              <w:rPr>
                <w:sz w:val="20"/>
                <w:szCs w:val="20"/>
                <w:color w:val="auto"/>
              </w:rPr>
            </w:pPr>
            <w:r>
              <w:rPr>
                <w:rFonts w:ascii="Times New Roman" w:cs="Times New Roman" w:eastAsia="Times New Roman" w:hAnsi="Times New Roman"/>
                <w:sz w:val="15"/>
                <w:szCs w:val="15"/>
                <w:color w:val="4C4C4E"/>
              </w:rPr>
              <w:t>Tax reclassification of stockholders’ equity in accordance</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100"/>
              <w:spacing w:after="0" w:line="188" w:lineRule="exact"/>
              <w:rPr>
                <w:sz w:val="20"/>
                <w:szCs w:val="20"/>
                <w:color w:val="auto"/>
              </w:rPr>
            </w:pPr>
            <w:r>
              <w:rPr>
                <w:rFonts w:ascii="Times New Roman" w:cs="Times New Roman" w:eastAsia="Times New Roman" w:hAnsi="Times New Roman"/>
                <w:sz w:val="15"/>
                <w:szCs w:val="15"/>
                <w:color w:val="4C4C4E"/>
              </w:rPr>
              <w:t xml:space="preserve">with GAAP </w:t>
            </w:r>
            <w:r>
              <w:rPr>
                <w:rFonts w:ascii="Times New Roman" w:cs="Times New Roman" w:eastAsia="Times New Roman" w:hAnsi="Times New Roman"/>
                <w:sz w:val="20"/>
                <w:szCs w:val="20"/>
                <w:color w:val="4C4C4E"/>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8"/>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4C4C4E"/>
              </w:rPr>
              <w:t>(3,809)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3,809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4C4C4E"/>
              </w:rPr>
              <w:t>—</w:t>
            </w:r>
          </w:p>
        </w:tc>
        <w:tc>
          <w:tcPr>
            <w:tcW w:w="0" w:type="dxa"/>
            <w:vAlign w:val="bottom"/>
          </w:tcPr>
          <w:p>
            <w:pPr>
              <w:spacing w:after="0"/>
              <w:rPr>
                <w:sz w:val="1"/>
                <w:szCs w:val="1"/>
                <w:color w:val="auto"/>
              </w:rPr>
            </w:pPr>
          </w:p>
        </w:tc>
      </w:tr>
      <w:tr>
        <w:trPr>
          <w:trHeight w:val="201"/>
        </w:trPr>
        <w:tc>
          <w:tcPr>
            <w:tcW w:w="3800" w:type="dxa"/>
            <w:vAlign w:val="bottom"/>
            <w:tcBorders>
              <w:top w:val="single" w:sz="8" w:color="D8EEF4"/>
              <w:bottom w:val="single" w:sz="8" w:color="D8EEF4"/>
            </w:tcBorders>
            <w:gridSpan w:val="2"/>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Balance at December 31, 2024</w:t>
            </w:r>
          </w:p>
        </w:tc>
        <w:tc>
          <w:tcPr>
            <w:tcW w:w="60" w:type="dxa"/>
            <w:vAlign w:val="bottom"/>
            <w:tcBorders>
              <w:top w:val="single" w:sz="8" w:color="D8EEF4"/>
              <w:bottom w:val="single" w:sz="8" w:color="4C4C4E"/>
            </w:tcBorders>
            <w:gridSpan w:val="3"/>
            <w:shd w:val="clear" w:color="auto" w:fill="D8EEF4"/>
          </w:tcPr>
          <w:p>
            <w:pPr>
              <w:spacing w:after="0"/>
              <w:rPr>
                <w:sz w:val="17"/>
                <w:szCs w:val="17"/>
                <w:color w:val="auto"/>
              </w:rPr>
            </w:pPr>
          </w:p>
        </w:tc>
        <w:tc>
          <w:tcPr>
            <w:tcW w:w="40" w:type="dxa"/>
            <w:vAlign w:val="bottom"/>
            <w:tcBorders>
              <w:top w:val="single" w:sz="8" w:color="4C4C4E"/>
              <w:bottom w:val="single" w:sz="8" w:color="4C4C4E"/>
            </w:tcBorders>
            <w:gridSpan w:val="2"/>
            <w:shd w:val="clear" w:color="auto" w:fill="D8EEF4"/>
          </w:tcPr>
          <w:p>
            <w:pPr>
              <w:spacing w:after="0"/>
              <w:rPr>
                <w:sz w:val="17"/>
                <w:szCs w:val="17"/>
                <w:color w:val="auto"/>
              </w:rPr>
            </w:pPr>
          </w:p>
        </w:tc>
        <w:tc>
          <w:tcPr>
            <w:tcW w:w="8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rPr>
              <w:t>93,661,436</w:t>
            </w:r>
          </w:p>
        </w:tc>
        <w:tc>
          <w:tcPr>
            <w:tcW w:w="60" w:type="dxa"/>
            <w:vAlign w:val="bottom"/>
            <w:tcBorders>
              <w:top w:val="single" w:sz="8" w:color="D8EEF4"/>
              <w:bottom w:val="single" w:sz="8" w:color="D8EEF4"/>
            </w:tcBorders>
            <w:shd w:val="clear" w:color="auto" w:fill="D8EEF4"/>
          </w:tcPr>
          <w:p>
            <w:pPr>
              <w:spacing w:after="0"/>
              <w:rPr>
                <w:sz w:val="17"/>
                <w:szCs w:val="17"/>
                <w:color w:val="auto"/>
              </w:rPr>
            </w:pPr>
          </w:p>
        </w:tc>
        <w:tc>
          <w:tcPr>
            <w:tcW w:w="20" w:type="dxa"/>
            <w:vAlign w:val="bottom"/>
            <w:tcBorders>
              <w:top w:val="single" w:sz="8" w:color="D8EEF4"/>
              <w:bottom w:val="single" w:sz="8" w:color="D8EEF4"/>
            </w:tcBorders>
            <w:shd w:val="clear" w:color="auto" w:fill="D8EEF4"/>
          </w:tcPr>
          <w:p>
            <w:pPr>
              <w:spacing w:after="0"/>
              <w:rPr>
                <w:sz w:val="17"/>
                <w:szCs w:val="17"/>
                <w:color w:val="auto"/>
              </w:rPr>
            </w:pPr>
          </w:p>
        </w:tc>
        <w:tc>
          <w:tcPr>
            <w:tcW w:w="80" w:type="dxa"/>
            <w:vAlign w:val="bottom"/>
            <w:tcBorders>
              <w:top w:val="single" w:sz="8" w:color="D8EEF4"/>
              <w:bottom w:val="single" w:sz="8" w:color="D8EEF4"/>
            </w:tcBorders>
            <w:shd w:val="clear" w:color="auto" w:fill="D8EEF4"/>
          </w:tcPr>
          <w:p>
            <w:pPr>
              <w:spacing w:after="0"/>
              <w:rPr>
                <w:sz w:val="17"/>
                <w:szCs w:val="17"/>
                <w:color w:val="auto"/>
              </w:rPr>
            </w:pPr>
          </w:p>
        </w:tc>
        <w:tc>
          <w:tcPr>
            <w:tcW w:w="20" w:type="dxa"/>
            <w:vAlign w:val="bottom"/>
            <w:tcBorders>
              <w:top w:val="single" w:sz="8" w:color="4C4C4E"/>
              <w:bottom w:val="single" w:sz="8" w:color="4C4C4E"/>
            </w:tcBorders>
            <w:shd w:val="clear" w:color="auto" w:fill="D8EEF4"/>
          </w:tcPr>
          <w:p>
            <w:pPr>
              <w:spacing w:after="0"/>
              <w:rPr>
                <w:sz w:val="17"/>
                <w:szCs w:val="17"/>
                <w:color w:val="auto"/>
              </w:rPr>
            </w:pPr>
          </w:p>
        </w:tc>
        <w:tc>
          <w:tcPr>
            <w:tcW w:w="20" w:type="dxa"/>
            <w:vAlign w:val="bottom"/>
            <w:tcBorders>
              <w:top w:val="single" w:sz="8" w:color="4C4C4E"/>
              <w:bottom w:val="single" w:sz="8" w:color="4C4C4E"/>
            </w:tcBorders>
            <w:shd w:val="clear" w:color="auto" w:fill="D8EEF4"/>
          </w:tcPr>
          <w:p>
            <w:pPr>
              <w:spacing w:after="0"/>
              <w:rPr>
                <w:sz w:val="17"/>
                <w:szCs w:val="17"/>
                <w:color w:val="auto"/>
              </w:rPr>
            </w:pPr>
          </w:p>
        </w:tc>
        <w:tc>
          <w:tcPr>
            <w:tcW w:w="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5"/>
                <w:szCs w:val="5"/>
                <w:b w:val="1"/>
                <w:bCs w:val="1"/>
                <w:color w:val="4C4C4E"/>
                <w:w w:val="78"/>
                <w:shd w:val="clear" w:color="auto" w:fill="D8EEF4"/>
              </w:rPr>
              <w:t>$</w:t>
            </w:r>
          </w:p>
        </w:tc>
        <w:tc>
          <w:tcPr>
            <w:tcW w:w="4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shd w:val="clear" w:color="auto" w:fill="D8EEF4"/>
              </w:rPr>
              <w:t>943</w:t>
            </w:r>
          </w:p>
        </w:tc>
        <w:tc>
          <w:tcPr>
            <w:tcW w:w="40" w:type="dxa"/>
            <w:vAlign w:val="bottom"/>
            <w:tcBorders>
              <w:top w:val="single" w:sz="8" w:color="D8EEF4"/>
              <w:bottom w:val="single" w:sz="8" w:color="D8EEF4"/>
            </w:tcBorders>
            <w:shd w:val="clear" w:color="auto" w:fill="D8EEF4"/>
          </w:tcPr>
          <w:p>
            <w:pPr>
              <w:spacing w:after="0"/>
              <w:rPr>
                <w:sz w:val="17"/>
                <w:szCs w:val="17"/>
                <w:color w:val="auto"/>
              </w:rPr>
            </w:pPr>
          </w:p>
        </w:tc>
        <w:tc>
          <w:tcPr>
            <w:tcW w:w="20" w:type="dxa"/>
            <w:vAlign w:val="bottom"/>
            <w:tcBorders>
              <w:top w:val="single" w:sz="8" w:color="D8EEF4"/>
              <w:bottom w:val="single" w:sz="8" w:color="4C4C4E"/>
            </w:tcBorders>
            <w:shd w:val="clear" w:color="auto" w:fill="D8EEF4"/>
          </w:tcPr>
          <w:p>
            <w:pPr>
              <w:spacing w:after="0"/>
              <w:rPr>
                <w:sz w:val="17"/>
                <w:szCs w:val="17"/>
                <w:color w:val="auto"/>
              </w:rPr>
            </w:pPr>
          </w:p>
        </w:tc>
        <w:tc>
          <w:tcPr>
            <w:tcW w:w="860" w:type="dxa"/>
            <w:vAlign w:val="bottom"/>
            <w:tcBorders>
              <w:top w:val="single" w:sz="8" w:color="4C4C4E"/>
              <w:bottom w:val="single" w:sz="8" w:color="4C4C4E"/>
            </w:tcBorders>
            <w:gridSpan w:val="5"/>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rPr>
              <w:t>664,250</w:t>
            </w:r>
          </w:p>
        </w:tc>
        <w:tc>
          <w:tcPr>
            <w:tcW w:w="20" w:type="dxa"/>
            <w:vAlign w:val="bottom"/>
            <w:tcBorders>
              <w:bottom w:val="single" w:sz="8" w:color="D8EEF4"/>
            </w:tcBorders>
            <w:shd w:val="clear" w:color="auto" w:fill="D8EEF4"/>
          </w:tcPr>
          <w:p>
            <w:pPr>
              <w:spacing w:after="0"/>
              <w:rPr>
                <w:sz w:val="17"/>
                <w:szCs w:val="17"/>
                <w:color w:val="auto"/>
              </w:rPr>
            </w:pPr>
          </w:p>
        </w:tc>
        <w:tc>
          <w:tcPr>
            <w:tcW w:w="20" w:type="dxa"/>
            <w:vAlign w:val="bottom"/>
            <w:tcBorders>
              <w:top w:val="single" w:sz="8" w:color="D8EEF4"/>
              <w:bottom w:val="single" w:sz="8" w:color="4C4C4E"/>
            </w:tcBorders>
            <w:shd w:val="clear" w:color="auto" w:fill="D8EEF4"/>
          </w:tcPr>
          <w:p>
            <w:pPr>
              <w:spacing w:after="0"/>
              <w:rPr>
                <w:sz w:val="17"/>
                <w:szCs w:val="17"/>
                <w:color w:val="auto"/>
              </w:rPr>
            </w:pPr>
          </w:p>
        </w:tc>
        <w:tc>
          <w:tcPr>
            <w:tcW w:w="240" w:type="dxa"/>
            <w:vAlign w:val="bottom"/>
            <w:tcBorders>
              <w:top w:val="single" w:sz="8" w:color="4C4C4E"/>
              <w:bottom w:val="single" w:sz="8" w:color="4C4C4E"/>
            </w:tcBorders>
            <w:gridSpan w:val="5"/>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b w:val="1"/>
                <w:bCs w:val="1"/>
                <w:color w:val="4C4C4E"/>
              </w:rPr>
              <w:t>$</w:t>
            </w:r>
          </w:p>
        </w:tc>
        <w:tc>
          <w:tcPr>
            <w:tcW w:w="5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rPr>
              <w:t>(10,459</w:t>
            </w:r>
          </w:p>
        </w:tc>
        <w:tc>
          <w:tcPr>
            <w:tcW w:w="20" w:type="dxa"/>
            <w:vAlign w:val="bottom"/>
            <w:tcBorders>
              <w:top w:val="single" w:sz="8" w:color="4C4C4E"/>
              <w:bottom w:val="single" w:sz="8" w:color="D8EEF4"/>
            </w:tcBorders>
            <w:shd w:val="clear" w:color="auto" w:fill="D8EEF4"/>
          </w:tcPr>
          <w:p>
            <w:pPr>
              <w:spacing w:after="0"/>
              <w:rPr>
                <w:sz w:val="17"/>
                <w:szCs w:val="17"/>
                <w:color w:val="auto"/>
              </w:rPr>
            </w:pPr>
          </w:p>
        </w:tc>
        <w:tc>
          <w:tcPr>
            <w:tcW w:w="20" w:type="dxa"/>
            <w:vAlign w:val="bottom"/>
            <w:tcBorders>
              <w:bottom w:val="single" w:sz="8" w:color="D8EEF4"/>
            </w:tcBorders>
            <w:shd w:val="clear" w:color="auto" w:fill="D8EEF4"/>
          </w:tcPr>
          <w:p>
            <w:pPr>
              <w:spacing w:after="0"/>
              <w:rPr>
                <w:sz w:val="17"/>
                <w:szCs w:val="17"/>
                <w:color w:val="auto"/>
              </w:rPr>
            </w:pPr>
          </w:p>
        </w:tc>
        <w:tc>
          <w:tcPr>
            <w:tcW w:w="60" w:type="dxa"/>
            <w:vAlign w:val="bottom"/>
            <w:tcBorders>
              <w:top w:val="single" w:sz="8" w:color="D8EEF4"/>
              <w:bottom w:val="single" w:sz="8" w:color="D8EEF4"/>
            </w:tcBorders>
            <w:shd w:val="clear" w:color="auto" w:fill="D8EEF4"/>
          </w:tcPr>
          <w:p>
            <w:pPr>
              <w:jc w:val="right"/>
              <w:ind w:right="23"/>
              <w:spacing w:after="0"/>
              <w:rPr>
                <w:sz w:val="20"/>
                <w:szCs w:val="20"/>
                <w:color w:val="auto"/>
              </w:rPr>
            </w:pPr>
            <w:r>
              <w:rPr>
                <w:rFonts w:ascii="Times New Roman" w:cs="Times New Roman" w:eastAsia="Times New Roman" w:hAnsi="Times New Roman"/>
                <w:sz w:val="8"/>
                <w:szCs w:val="8"/>
                <w:b w:val="1"/>
                <w:bCs w:val="1"/>
                <w:color w:val="4C4C4E"/>
                <w:w w:val="73"/>
                <w:shd w:val="clear" w:color="auto" w:fill="D8EEF4"/>
              </w:rPr>
              <w:t>)</w:t>
            </w:r>
          </w:p>
        </w:tc>
        <w:tc>
          <w:tcPr>
            <w:tcW w:w="20" w:type="dxa"/>
            <w:vAlign w:val="bottom"/>
            <w:tcBorders>
              <w:top w:val="single" w:sz="8" w:color="D8EEF4"/>
              <w:bottom w:val="single" w:sz="8" w:color="4C4C4E"/>
            </w:tcBorders>
            <w:shd w:val="clear" w:color="auto" w:fill="D8EEF4"/>
          </w:tcPr>
          <w:p>
            <w:pPr>
              <w:spacing w:after="0"/>
              <w:rPr>
                <w:sz w:val="17"/>
                <w:szCs w:val="17"/>
                <w:color w:val="auto"/>
              </w:rPr>
            </w:pPr>
          </w:p>
        </w:tc>
        <w:tc>
          <w:tcPr>
            <w:tcW w:w="20" w:type="dxa"/>
            <w:vAlign w:val="bottom"/>
            <w:tcBorders>
              <w:top w:val="single" w:sz="8" w:color="D8EEF4"/>
              <w:bottom w:val="single" w:sz="8" w:color="4C4C4E"/>
            </w:tcBorders>
            <w:shd w:val="clear" w:color="auto" w:fill="D8EEF4"/>
          </w:tcPr>
          <w:p>
            <w:pPr>
              <w:spacing w:after="0"/>
              <w:rPr>
                <w:sz w:val="17"/>
                <w:szCs w:val="17"/>
                <w:color w:val="auto"/>
              </w:rPr>
            </w:pPr>
          </w:p>
        </w:tc>
        <w:tc>
          <w:tcPr>
            <w:tcW w:w="20" w:type="dxa"/>
            <w:vAlign w:val="bottom"/>
            <w:tcBorders>
              <w:top w:val="single" w:sz="8" w:color="4C4C4E"/>
              <w:bottom w:val="single" w:sz="8" w:color="4C4C4E"/>
            </w:tcBorders>
            <w:shd w:val="clear" w:color="auto" w:fill="D8EEF4"/>
          </w:tcPr>
          <w:p>
            <w:pPr>
              <w:spacing w:after="0"/>
              <w:rPr>
                <w:sz w:val="17"/>
                <w:szCs w:val="17"/>
                <w:color w:val="auto"/>
              </w:rPr>
            </w:pPr>
          </w:p>
        </w:tc>
        <w:tc>
          <w:tcPr>
            <w:tcW w:w="20" w:type="dxa"/>
            <w:vAlign w:val="bottom"/>
            <w:tcBorders>
              <w:top w:val="single" w:sz="8" w:color="4C4C4E"/>
              <w:bottom w:val="single" w:sz="8" w:color="4C4C4E"/>
            </w:tcBorders>
            <w:shd w:val="clear" w:color="auto" w:fill="D8EEF4"/>
          </w:tcPr>
          <w:p>
            <w:pPr>
              <w:spacing w:after="0"/>
              <w:rPr>
                <w:sz w:val="17"/>
                <w:szCs w:val="17"/>
                <w:color w:val="auto"/>
              </w:rPr>
            </w:pPr>
          </w:p>
        </w:tc>
        <w:tc>
          <w:tcPr>
            <w:tcW w:w="200" w:type="dxa"/>
            <w:vAlign w:val="bottom"/>
            <w:tcBorders>
              <w:top w:val="single" w:sz="8" w:color="4C4C4E"/>
              <w:bottom w:val="single" w:sz="8" w:color="4C4C4E"/>
            </w:tcBorders>
            <w:gridSpan w:val="2"/>
            <w:shd w:val="clear" w:color="auto" w:fill="D8EEF4"/>
          </w:tcPr>
          <w:p>
            <w:pPr>
              <w:jc w:val="right"/>
              <w:ind w:right="46"/>
              <w:spacing w:after="0"/>
              <w:rPr>
                <w:sz w:val="20"/>
                <w:szCs w:val="20"/>
                <w:color w:val="auto"/>
              </w:rPr>
            </w:pPr>
            <w:r>
              <w:rPr>
                <w:rFonts w:ascii="Times New Roman" w:cs="Times New Roman" w:eastAsia="Times New Roman" w:hAnsi="Times New Roman"/>
                <w:sz w:val="15"/>
                <w:szCs w:val="15"/>
                <w:b w:val="1"/>
                <w:bCs w:val="1"/>
                <w:color w:val="4C4C4E"/>
              </w:rPr>
              <w:t>$</w:t>
            </w:r>
          </w:p>
        </w:tc>
        <w:tc>
          <w:tcPr>
            <w:tcW w:w="9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rPr>
              <w:t>1,519,337</w:t>
            </w:r>
          </w:p>
        </w:tc>
        <w:tc>
          <w:tcPr>
            <w:tcW w:w="20" w:type="dxa"/>
            <w:vAlign w:val="bottom"/>
            <w:tcBorders>
              <w:bottom w:val="single" w:sz="8" w:color="D8EEF4"/>
            </w:tcBorders>
            <w:shd w:val="clear" w:color="auto" w:fill="D8EEF4"/>
          </w:tcPr>
          <w:p>
            <w:pPr>
              <w:spacing w:after="0"/>
              <w:rPr>
                <w:sz w:val="17"/>
                <w:szCs w:val="17"/>
                <w:color w:val="auto"/>
              </w:rPr>
            </w:pPr>
          </w:p>
        </w:tc>
        <w:tc>
          <w:tcPr>
            <w:tcW w:w="100" w:type="dxa"/>
            <w:vAlign w:val="bottom"/>
            <w:tcBorders>
              <w:top w:val="single" w:sz="8" w:color="D8EEF4"/>
              <w:bottom w:val="single" w:sz="8" w:color="D8EEF4"/>
            </w:tcBorders>
            <w:shd w:val="clear" w:color="auto" w:fill="D8EEF4"/>
          </w:tcPr>
          <w:p>
            <w:pPr>
              <w:spacing w:after="0"/>
              <w:rPr>
                <w:sz w:val="17"/>
                <w:szCs w:val="17"/>
                <w:color w:val="auto"/>
              </w:rPr>
            </w:pPr>
          </w:p>
        </w:tc>
        <w:tc>
          <w:tcPr>
            <w:tcW w:w="100" w:type="dxa"/>
            <w:vAlign w:val="bottom"/>
            <w:tcBorders>
              <w:top w:val="single" w:sz="8" w:color="4C4C4E"/>
              <w:bottom w:val="single" w:sz="8" w:color="4C4C4E"/>
            </w:tcBorders>
            <w:shd w:val="clear" w:color="auto" w:fill="D8EEF4"/>
          </w:tcPr>
          <w:p>
            <w:pPr>
              <w:spacing w:after="0"/>
              <w:rPr>
                <w:sz w:val="17"/>
                <w:szCs w:val="17"/>
                <w:color w:val="auto"/>
              </w:rPr>
            </w:pPr>
          </w:p>
        </w:tc>
        <w:tc>
          <w:tcPr>
            <w:tcW w:w="20" w:type="dxa"/>
            <w:vAlign w:val="bottom"/>
            <w:tcBorders>
              <w:top w:val="single" w:sz="8" w:color="4C4C4E"/>
              <w:bottom w:val="single" w:sz="8" w:color="4C4C4E"/>
            </w:tcBorders>
            <w:shd w:val="clear" w:color="auto" w:fill="D8EEF4"/>
          </w:tcPr>
          <w:p>
            <w:pPr>
              <w:spacing w:after="0"/>
              <w:rPr>
                <w:sz w:val="17"/>
                <w:szCs w:val="17"/>
                <w:color w:val="auto"/>
              </w:rPr>
            </w:pPr>
          </w:p>
        </w:tc>
        <w:tc>
          <w:tcPr>
            <w:tcW w:w="100" w:type="dxa"/>
            <w:vAlign w:val="bottom"/>
            <w:tcBorders>
              <w:top w:val="single" w:sz="8" w:color="4C4C4E"/>
              <w:bottom w:val="single" w:sz="8" w:color="4C4C4E"/>
            </w:tcBorders>
            <w:shd w:val="clear" w:color="auto" w:fill="D8EEF4"/>
          </w:tcPr>
          <w:p>
            <w:pPr>
              <w:spacing w:after="0"/>
              <w:rPr>
                <w:sz w:val="20"/>
                <w:szCs w:val="20"/>
                <w:color w:val="auto"/>
              </w:rPr>
            </w:pPr>
            <w:r>
              <w:rPr>
                <w:rFonts w:ascii="Times New Roman" w:cs="Times New Roman" w:eastAsia="Times New Roman" w:hAnsi="Times New Roman"/>
                <w:sz w:val="15"/>
                <w:szCs w:val="15"/>
                <w:b w:val="1"/>
                <w:bCs w:val="1"/>
                <w:color w:val="4C4C4E"/>
              </w:rPr>
              <w:t>$</w:t>
            </w:r>
          </w:p>
        </w:tc>
        <w:tc>
          <w:tcPr>
            <w:tcW w:w="7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rPr>
              <w:t>97,708</w:t>
            </w:r>
          </w:p>
        </w:tc>
        <w:tc>
          <w:tcPr>
            <w:tcW w:w="20" w:type="dxa"/>
            <w:vAlign w:val="bottom"/>
            <w:tcBorders>
              <w:bottom w:val="single" w:sz="8" w:color="D8EEF4"/>
            </w:tcBorders>
            <w:shd w:val="clear" w:color="auto" w:fill="D8EEF4"/>
          </w:tcPr>
          <w:p>
            <w:pPr>
              <w:spacing w:after="0"/>
              <w:rPr>
                <w:sz w:val="17"/>
                <w:szCs w:val="17"/>
                <w:color w:val="auto"/>
              </w:rPr>
            </w:pPr>
          </w:p>
        </w:tc>
        <w:tc>
          <w:tcPr>
            <w:tcW w:w="80" w:type="dxa"/>
            <w:vAlign w:val="bottom"/>
            <w:tcBorders>
              <w:top w:val="single" w:sz="8" w:color="D8EEF4"/>
              <w:bottom w:val="single" w:sz="8" w:color="D8EEF4"/>
            </w:tcBorders>
            <w:shd w:val="clear" w:color="auto" w:fill="D8EEF4"/>
          </w:tcPr>
          <w:p>
            <w:pPr>
              <w:spacing w:after="0"/>
              <w:rPr>
                <w:sz w:val="17"/>
                <w:szCs w:val="17"/>
                <w:color w:val="auto"/>
              </w:rPr>
            </w:pPr>
          </w:p>
        </w:tc>
        <w:tc>
          <w:tcPr>
            <w:tcW w:w="220" w:type="dxa"/>
            <w:vAlign w:val="bottom"/>
            <w:tcBorders>
              <w:top w:val="single" w:sz="8" w:color="4C4C4E"/>
              <w:bottom w:val="single" w:sz="8" w:color="4C4C4E"/>
            </w:tcBorders>
            <w:gridSpan w:val="5"/>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b w:val="1"/>
                <w:bCs w:val="1"/>
                <w:color w:val="4C4C4E"/>
              </w:rPr>
              <w:t>$</w:t>
            </w:r>
          </w:p>
        </w:tc>
        <w:tc>
          <w:tcPr>
            <w:tcW w:w="7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5"/>
                <w:szCs w:val="15"/>
                <w:b w:val="1"/>
                <w:bCs w:val="1"/>
                <w:color w:val="4C4C4E"/>
              </w:rPr>
              <w:t>1,607,529</w:t>
            </w:r>
          </w:p>
        </w:tc>
        <w:tc>
          <w:tcPr>
            <w:tcW w:w="20" w:type="dxa"/>
            <w:vAlign w:val="bottom"/>
            <w:tcBorders>
              <w:bottom w:val="single" w:sz="8" w:color="D8EEF4"/>
            </w:tcBorders>
            <w:shd w:val="clear" w:color="auto" w:fill="D8EEF4"/>
          </w:tcPr>
          <w:p>
            <w:pPr>
              <w:spacing w:after="0"/>
              <w:rPr>
                <w:sz w:val="17"/>
                <w:szCs w:val="17"/>
                <w:color w:val="auto"/>
              </w:rPr>
            </w:pPr>
          </w:p>
        </w:tc>
        <w:tc>
          <w:tcPr>
            <w:tcW w:w="40" w:type="dxa"/>
            <w:vAlign w:val="bottom"/>
            <w:tcBorders>
              <w:top w:val="single" w:sz="8" w:color="D8EEF4"/>
              <w:bottom w:val="single" w:sz="8" w:color="D8EEF4"/>
            </w:tcBorders>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0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5"/>
                <w:szCs w:val="15"/>
                <w:color w:val="4C4C4E"/>
              </w:rPr>
              <w:t>Net increase (decrease) in net assets resulting from</w:t>
            </w:r>
          </w:p>
        </w:tc>
        <w:tc>
          <w:tcPr>
            <w:tcW w:w="100" w:type="dxa"/>
            <w:vAlign w:val="bottom"/>
            <w:tcBorders>
              <w:top w:val="single" w:sz="8" w:color="4C4C4E"/>
            </w:tcBorders>
            <w:gridSpan w:val="5"/>
          </w:tcPr>
          <w:p>
            <w:pPr>
              <w:spacing w:after="0"/>
              <w:rPr>
                <w:sz w:val="11"/>
                <w:szCs w:val="11"/>
                <w:color w:val="auto"/>
              </w:rPr>
            </w:pPr>
          </w:p>
        </w:tc>
        <w:tc>
          <w:tcPr>
            <w:tcW w:w="820" w:type="dxa"/>
            <w:vAlign w:val="bottom"/>
            <w:tcBorders>
              <w:top w:val="single" w:sz="8" w:color="4C4C4E"/>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80" w:type="dxa"/>
            <w:vAlign w:val="bottom"/>
            <w:tcBorders>
              <w:top w:val="single" w:sz="8" w:color="4C4C4E"/>
            </w:tcBorders>
          </w:tcPr>
          <w:p>
            <w:pPr>
              <w:spacing w:after="0"/>
              <w:rPr>
                <w:sz w:val="11"/>
                <w:szCs w:val="11"/>
                <w:color w:val="auto"/>
              </w:rPr>
            </w:pPr>
          </w:p>
        </w:tc>
        <w:tc>
          <w:tcPr>
            <w:tcW w:w="480" w:type="dxa"/>
            <w:vAlign w:val="bottom"/>
            <w:tcBorders>
              <w:top w:val="single" w:sz="8" w:color="4C4C4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10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700" w:type="dxa"/>
            <w:vAlign w:val="bottom"/>
            <w:tcBorders>
              <w:top w:val="single" w:sz="8" w:color="4C4C4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1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60" w:type="dxa"/>
            <w:vAlign w:val="bottom"/>
            <w:tcBorders>
              <w:top w:val="single" w:sz="8" w:color="4C4C4E"/>
            </w:tcBorders>
          </w:tcPr>
          <w:p>
            <w:pPr>
              <w:spacing w:after="0"/>
              <w:rPr>
                <w:sz w:val="11"/>
                <w:szCs w:val="11"/>
                <w:color w:val="auto"/>
              </w:rPr>
            </w:pPr>
          </w:p>
        </w:tc>
        <w:tc>
          <w:tcPr>
            <w:tcW w:w="560" w:type="dxa"/>
            <w:vAlign w:val="bottom"/>
            <w:tcBorders>
              <w:top w:val="single" w:sz="8" w:color="4C4C4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40" w:type="dxa"/>
            <w:vAlign w:val="bottom"/>
            <w:tcBorders>
              <w:top w:val="single" w:sz="8" w:color="4C4C4E"/>
            </w:tcBorders>
          </w:tcPr>
          <w:p>
            <w:pPr>
              <w:spacing w:after="0"/>
              <w:rPr>
                <w:sz w:val="11"/>
                <w:szCs w:val="11"/>
                <w:color w:val="auto"/>
              </w:rPr>
            </w:pPr>
          </w:p>
        </w:tc>
        <w:tc>
          <w:tcPr>
            <w:tcW w:w="160" w:type="dxa"/>
            <w:vAlign w:val="bottom"/>
            <w:tcBorders>
              <w:top w:val="single" w:sz="8" w:color="4C4C4E"/>
            </w:tcBorders>
          </w:tcPr>
          <w:p>
            <w:pPr>
              <w:spacing w:after="0"/>
              <w:rPr>
                <w:sz w:val="11"/>
                <w:szCs w:val="11"/>
                <w:color w:val="auto"/>
              </w:rPr>
            </w:pPr>
          </w:p>
        </w:tc>
        <w:tc>
          <w:tcPr>
            <w:tcW w:w="960" w:type="dxa"/>
            <w:vAlign w:val="bottom"/>
            <w:tcBorders>
              <w:top w:val="single" w:sz="8" w:color="4C4C4E"/>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100" w:type="dxa"/>
            <w:vAlign w:val="bottom"/>
            <w:tcBorders>
              <w:top w:val="single" w:sz="8" w:color="4C4C4E"/>
            </w:tcBorders>
          </w:tcPr>
          <w:p>
            <w:pPr>
              <w:spacing w:after="0"/>
              <w:rPr>
                <w:sz w:val="11"/>
                <w:szCs w:val="11"/>
                <w:color w:val="auto"/>
              </w:rPr>
            </w:pPr>
          </w:p>
        </w:tc>
        <w:tc>
          <w:tcPr>
            <w:tcW w:w="760" w:type="dxa"/>
            <w:vAlign w:val="bottom"/>
            <w:tcBorders>
              <w:top w:val="single" w:sz="8" w:color="4C4C4E"/>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20" w:type="dxa"/>
            <w:vAlign w:val="bottom"/>
            <w:tcBorders>
              <w:top w:val="single" w:sz="8" w:color="4C4C4E"/>
            </w:tcBorders>
          </w:tcPr>
          <w:p>
            <w:pPr>
              <w:spacing w:after="0"/>
              <w:rPr>
                <w:sz w:val="11"/>
                <w:szCs w:val="11"/>
                <w:color w:val="auto"/>
              </w:rPr>
            </w:pPr>
          </w:p>
        </w:tc>
        <w:tc>
          <w:tcPr>
            <w:tcW w:w="40" w:type="dxa"/>
            <w:vAlign w:val="bottom"/>
            <w:tcBorders>
              <w:top w:val="single" w:sz="8" w:color="4C4C4E"/>
            </w:tcBorders>
          </w:tcPr>
          <w:p>
            <w:pPr>
              <w:spacing w:after="0"/>
              <w:rPr>
                <w:sz w:val="11"/>
                <w:szCs w:val="11"/>
                <w:color w:val="auto"/>
              </w:rPr>
            </w:pPr>
          </w:p>
        </w:tc>
        <w:tc>
          <w:tcPr>
            <w:tcW w:w="780" w:type="dxa"/>
            <w:vAlign w:val="bottom"/>
            <w:tcBorders>
              <w:top w:val="single" w:sz="8" w:color="4C4C4E"/>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100"/>
              <w:spacing w:after="0"/>
              <w:rPr>
                <w:sz w:val="20"/>
                <w:szCs w:val="20"/>
                <w:color w:val="auto"/>
              </w:rPr>
            </w:pPr>
            <w:r>
              <w:rPr>
                <w:rFonts w:ascii="Times New Roman" w:cs="Times New Roman" w:eastAsia="Times New Roman" w:hAnsi="Times New Roman"/>
                <w:sz w:val="15"/>
                <w:szCs w:val="15"/>
                <w:color w:val="4C4C4E"/>
              </w:rPr>
              <w:t>operations: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gridSpan w:val="7"/>
            <w:shd w:val="clear" w:color="auto" w:fill="D8EEF4"/>
          </w:tcPr>
          <w:p>
            <w:pPr>
              <w:ind w:left="200"/>
              <w:spacing w:after="0"/>
              <w:rPr>
                <w:sz w:val="20"/>
                <w:szCs w:val="20"/>
                <w:color w:val="auto"/>
              </w:rPr>
            </w:pPr>
            <w:r>
              <w:rPr>
                <w:rFonts w:ascii="Times New Roman" w:cs="Times New Roman" w:eastAsia="Times New Roman" w:hAnsi="Times New Roman"/>
                <w:sz w:val="15"/>
                <w:szCs w:val="15"/>
                <w:color w:val="4C4C4E"/>
              </w:rPr>
              <w:t>Net investment income</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200" w:type="dxa"/>
            <w:vAlign w:val="bottom"/>
            <w:gridSpan w:val="5"/>
            <w:shd w:val="clear" w:color="auto" w:fill="D8EEF4"/>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shd w:val="clear" w:color="auto" w:fill="D8EEF4"/>
          </w:tcPr>
          <w:p>
            <w:pPr>
              <w:spacing w:after="0"/>
              <w:rPr>
                <w:sz w:val="16"/>
                <w:szCs w:val="16"/>
                <w:color w:val="auto"/>
              </w:rPr>
            </w:pPr>
          </w:p>
        </w:tc>
        <w:tc>
          <w:tcPr>
            <w:tcW w:w="7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209,995</w:t>
            </w: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209,995</w:t>
            </w: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tcPr>
          <w:p>
            <w:pPr>
              <w:ind w:left="200"/>
              <w:spacing w:after="0" w:line="171" w:lineRule="exact"/>
              <w:rPr>
                <w:sz w:val="20"/>
                <w:szCs w:val="20"/>
                <w:color w:val="auto"/>
              </w:rPr>
            </w:pPr>
            <w:r>
              <w:rPr>
                <w:rFonts w:ascii="Times New Roman" w:cs="Times New Roman" w:eastAsia="Times New Roman" w:hAnsi="Times New Roman"/>
                <w:sz w:val="15"/>
                <w:szCs w:val="15"/>
                <w:color w:val="4C4C4E"/>
              </w:rPr>
              <w:t>Net change in unrealized gains (losses) on investments</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200"/>
              <w:spacing w:after="0"/>
              <w:rPr>
                <w:sz w:val="20"/>
                <w:szCs w:val="20"/>
                <w:color w:val="auto"/>
              </w:rPr>
            </w:pPr>
            <w:r>
              <w:rPr>
                <w:rFonts w:ascii="Times New Roman" w:cs="Times New Roman" w:eastAsia="Times New Roman" w:hAnsi="Times New Roman"/>
                <w:sz w:val="15"/>
                <w:szCs w:val="15"/>
                <w:color w:val="4C4C4E"/>
              </w:rPr>
              <w:t>and foreign currency translation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8"/>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9,382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9,382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200"/>
              <w:spacing w:after="0" w:line="171" w:lineRule="exact"/>
              <w:rPr>
                <w:sz w:val="20"/>
                <w:szCs w:val="20"/>
                <w:color w:val="auto"/>
              </w:rPr>
            </w:pPr>
            <w:r>
              <w:rPr>
                <w:rFonts w:ascii="Times New Roman" w:cs="Times New Roman" w:eastAsia="Times New Roman" w:hAnsi="Times New Roman"/>
                <w:sz w:val="15"/>
                <w:szCs w:val="15"/>
                <w:color w:val="4C4C4E"/>
              </w:rPr>
              <w:t>Net realized gain (loss) on investments and foreign</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shd w:val="clear" w:color="auto" w:fill="D8EEF4"/>
          </w:tcPr>
          <w:p>
            <w:pPr>
              <w:ind w:left="200"/>
              <w:spacing w:after="0"/>
              <w:rPr>
                <w:sz w:val="20"/>
                <w:szCs w:val="20"/>
                <w:color w:val="auto"/>
              </w:rPr>
            </w:pPr>
            <w:r>
              <w:rPr>
                <w:rFonts w:ascii="Times New Roman" w:cs="Times New Roman" w:eastAsia="Times New Roman" w:hAnsi="Times New Roman"/>
                <w:sz w:val="15"/>
                <w:szCs w:val="15"/>
                <w:color w:val="4C4C4E"/>
              </w:rPr>
              <w:t>currency transactions</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200" w:type="dxa"/>
            <w:vAlign w:val="bottom"/>
            <w:gridSpan w:val="5"/>
            <w:shd w:val="clear" w:color="auto" w:fill="D8EEF4"/>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shd w:val="clear" w:color="auto" w:fill="D8EEF4"/>
          </w:tcPr>
          <w:p>
            <w:pPr>
              <w:spacing w:after="0"/>
              <w:rPr>
                <w:sz w:val="16"/>
                <w:szCs w:val="16"/>
                <w:color w:val="auto"/>
              </w:rPr>
            </w:pPr>
          </w:p>
        </w:tc>
        <w:tc>
          <w:tcPr>
            <w:tcW w:w="860" w:type="dxa"/>
            <w:vAlign w:val="bottom"/>
            <w:gridSpan w:val="3"/>
            <w:shd w:val="clear" w:color="auto" w:fill="D8EEF4"/>
          </w:tcPr>
          <w:p>
            <w:pPr>
              <w:jc w:val="right"/>
              <w:ind w:right="60"/>
              <w:spacing w:after="0"/>
              <w:rPr>
                <w:sz w:val="20"/>
                <w:szCs w:val="20"/>
                <w:color w:val="auto"/>
              </w:rPr>
            </w:pPr>
            <w:r>
              <w:rPr>
                <w:rFonts w:ascii="Times New Roman" w:cs="Times New Roman" w:eastAsia="Times New Roman" w:hAnsi="Times New Roman"/>
                <w:sz w:val="15"/>
                <w:szCs w:val="15"/>
                <w:color w:val="4C4C4E"/>
              </w:rPr>
              <w:t>(48,860)</w:t>
            </w: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gridSpan w:val="3"/>
            <w:shd w:val="clear" w:color="auto" w:fill="D8EEF4"/>
          </w:tcPr>
          <w:p>
            <w:pPr>
              <w:jc w:val="right"/>
              <w:ind w:right="20"/>
              <w:spacing w:after="0"/>
              <w:rPr>
                <w:sz w:val="20"/>
                <w:szCs w:val="20"/>
                <w:color w:val="auto"/>
              </w:rPr>
            </w:pPr>
            <w:r>
              <w:rPr>
                <w:rFonts w:ascii="Times New Roman" w:cs="Times New Roman" w:eastAsia="Times New Roman" w:hAnsi="Times New Roman"/>
                <w:sz w:val="15"/>
                <w:szCs w:val="15"/>
                <w:color w:val="4C4C4E"/>
              </w:rPr>
              <w:t>(48,860)</w:t>
            </w:r>
          </w:p>
        </w:tc>
        <w:tc>
          <w:tcPr>
            <w:tcW w:w="0" w:type="dxa"/>
            <w:vAlign w:val="bottom"/>
          </w:tcPr>
          <w:p>
            <w:pPr>
              <w:spacing w:after="0"/>
              <w:rPr>
                <w:sz w:val="1"/>
                <w:szCs w:val="1"/>
                <w:color w:val="auto"/>
              </w:rPr>
            </w:pPr>
          </w:p>
        </w:tc>
      </w:tr>
      <w:tr>
        <w:trPr>
          <w:trHeight w:val="171"/>
        </w:trPr>
        <w:tc>
          <w:tcPr>
            <w:tcW w:w="3900" w:type="dxa"/>
            <w:vAlign w:val="bottom"/>
            <w:gridSpan w:val="7"/>
          </w:tcPr>
          <w:p>
            <w:pPr>
              <w:ind w:left="100"/>
              <w:spacing w:after="0" w:line="171" w:lineRule="exact"/>
              <w:rPr>
                <w:sz w:val="20"/>
                <w:szCs w:val="20"/>
                <w:color w:val="auto"/>
              </w:rPr>
            </w:pPr>
            <w:r>
              <w:rPr>
                <w:rFonts w:ascii="Times New Roman" w:cs="Times New Roman" w:eastAsia="Times New Roman" w:hAnsi="Times New Roman"/>
                <w:sz w:val="15"/>
                <w:szCs w:val="15"/>
                <w:color w:val="4C4C4E"/>
              </w:rPr>
              <w:t>Increase (decrease) in net assets resulting from capital</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tcPr>
          <w:p>
            <w:pPr>
              <w:ind w:left="100"/>
              <w:spacing w:after="0"/>
              <w:rPr>
                <w:sz w:val="20"/>
                <w:szCs w:val="20"/>
                <w:color w:val="auto"/>
              </w:rPr>
            </w:pPr>
            <w:r>
              <w:rPr>
                <w:rFonts w:ascii="Times New Roman" w:cs="Times New Roman" w:eastAsia="Times New Roman" w:hAnsi="Times New Roman"/>
                <w:sz w:val="15"/>
                <w:szCs w:val="15"/>
                <w:color w:val="4C4C4E"/>
              </w:rPr>
              <w:t>share transactions: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200"/>
              <w:spacing w:after="0" w:line="171" w:lineRule="exact"/>
              <w:rPr>
                <w:sz w:val="20"/>
                <w:szCs w:val="20"/>
                <w:color w:val="auto"/>
              </w:rPr>
            </w:pPr>
            <w:r>
              <w:rPr>
                <w:rFonts w:ascii="Times New Roman" w:cs="Times New Roman" w:eastAsia="Times New Roman" w:hAnsi="Times New Roman"/>
                <w:sz w:val="15"/>
                <w:szCs w:val="15"/>
                <w:color w:val="4C4C4E"/>
              </w:rPr>
              <w:t>Issuance of common stock, net of offering and</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shd w:val="clear" w:color="auto" w:fill="D8EEF4"/>
          </w:tcPr>
          <w:p>
            <w:pPr>
              <w:ind w:left="200"/>
              <w:spacing w:after="0"/>
              <w:rPr>
                <w:sz w:val="20"/>
                <w:szCs w:val="20"/>
                <w:color w:val="auto"/>
              </w:rPr>
            </w:pPr>
            <w:r>
              <w:rPr>
                <w:rFonts w:ascii="Times New Roman" w:cs="Times New Roman" w:eastAsia="Times New Roman" w:hAnsi="Times New Roman"/>
                <w:sz w:val="15"/>
                <w:szCs w:val="15"/>
                <w:color w:val="4C4C4E"/>
              </w:rPr>
              <w:t>underwriting costs</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1200" w:type="dxa"/>
            <w:vAlign w:val="bottom"/>
            <w:gridSpan w:val="5"/>
            <w:shd w:val="clear" w:color="auto" w:fill="D8EEF4"/>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shd w:val="clear" w:color="auto" w:fill="D8EEF4"/>
          </w:tcPr>
          <w:p>
            <w:pPr>
              <w:spacing w:after="0"/>
              <w:rPr>
                <w:sz w:val="16"/>
                <w:szCs w:val="16"/>
                <w:color w:val="auto"/>
              </w:rPr>
            </w:pPr>
          </w:p>
        </w:tc>
        <w:tc>
          <w:tcPr>
            <w:tcW w:w="860" w:type="dxa"/>
            <w:vAlign w:val="bottom"/>
            <w:gridSpan w:val="3"/>
            <w:shd w:val="clear" w:color="auto" w:fill="D8EEF4"/>
          </w:tcPr>
          <w:p>
            <w:pPr>
              <w:jc w:val="right"/>
              <w:ind w:right="120"/>
              <w:spacing w:after="0"/>
              <w:rPr>
                <w:sz w:val="20"/>
                <w:szCs w:val="20"/>
                <w:color w:val="auto"/>
              </w:rPr>
            </w:pPr>
            <w:r>
              <w:rPr>
                <w:rFonts w:ascii="Times New Roman" w:cs="Times New Roman" w:eastAsia="Times New Roman" w:hAnsi="Times New Roman"/>
                <w:sz w:val="15"/>
                <w:szCs w:val="15"/>
                <w:color w:val="4C4C4E"/>
              </w:rPr>
              <w:t>—</w:t>
            </w: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840" w:type="dxa"/>
            <w:vAlign w:val="bottom"/>
            <w:gridSpan w:val="3"/>
            <w:shd w:val="clear" w:color="auto" w:fill="D8EEF4"/>
          </w:tcPr>
          <w:p>
            <w:pPr>
              <w:jc w:val="right"/>
              <w:ind w:right="80"/>
              <w:spacing w:after="0"/>
              <w:rPr>
                <w:sz w:val="20"/>
                <w:szCs w:val="20"/>
                <w:color w:val="auto"/>
              </w:rPr>
            </w:pPr>
            <w:r>
              <w:rPr>
                <w:rFonts w:ascii="Times New Roman" w:cs="Times New Roman" w:eastAsia="Times New Roman" w:hAnsi="Times New Roman"/>
                <w:sz w:val="15"/>
                <w:szCs w:val="15"/>
                <w:color w:val="4C4C4E"/>
              </w:rPr>
              <w:t>—</w:t>
            </w:r>
          </w:p>
        </w:tc>
        <w:tc>
          <w:tcPr>
            <w:tcW w:w="0" w:type="dxa"/>
            <w:vAlign w:val="bottom"/>
          </w:tcPr>
          <w:p>
            <w:pPr>
              <w:spacing w:after="0"/>
              <w:rPr>
                <w:sz w:val="1"/>
                <w:szCs w:val="1"/>
                <w:color w:val="auto"/>
              </w:rPr>
            </w:pPr>
          </w:p>
        </w:tc>
      </w:tr>
      <w:tr>
        <w:trPr>
          <w:trHeight w:val="186"/>
        </w:trPr>
        <w:tc>
          <w:tcPr>
            <w:tcW w:w="3900" w:type="dxa"/>
            <w:vAlign w:val="bottom"/>
            <w:gridSpan w:val="7"/>
          </w:tcPr>
          <w:p>
            <w:pPr>
              <w:ind w:left="100"/>
              <w:spacing w:after="0"/>
              <w:rPr>
                <w:sz w:val="20"/>
                <w:szCs w:val="20"/>
                <w:color w:val="auto"/>
              </w:rPr>
            </w:pPr>
            <w:r>
              <w:rPr>
                <w:rFonts w:ascii="Times New Roman" w:cs="Times New Roman" w:eastAsia="Times New Roman" w:hAnsi="Times New Roman"/>
                <w:sz w:val="15"/>
                <w:szCs w:val="15"/>
                <w:color w:val="4C4C4E"/>
              </w:rPr>
              <w:t>Dividends to stockholders: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200"/>
              <w:spacing w:after="0" w:line="171" w:lineRule="exact"/>
              <w:rPr>
                <w:sz w:val="20"/>
                <w:szCs w:val="20"/>
                <w:color w:val="auto"/>
              </w:rPr>
            </w:pPr>
            <w:r>
              <w:rPr>
                <w:rFonts w:ascii="Times New Roman" w:cs="Times New Roman" w:eastAsia="Times New Roman" w:hAnsi="Times New Roman"/>
                <w:sz w:val="15"/>
                <w:szCs w:val="15"/>
                <w:color w:val="4C4C4E"/>
              </w:rPr>
              <w:t>Stock issued in connection with dividend reinvestment</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gridSpan w:val="7"/>
            <w:shd w:val="clear" w:color="auto" w:fill="D8EEF4"/>
          </w:tcPr>
          <w:p>
            <w:pPr>
              <w:ind w:left="200"/>
              <w:spacing w:after="0"/>
              <w:rPr>
                <w:sz w:val="20"/>
                <w:szCs w:val="20"/>
                <w:color w:val="auto"/>
              </w:rPr>
            </w:pPr>
            <w:r>
              <w:rPr>
                <w:rFonts w:ascii="Times New Roman" w:cs="Times New Roman" w:eastAsia="Times New Roman" w:hAnsi="Times New Roman"/>
                <w:sz w:val="15"/>
                <w:szCs w:val="15"/>
                <w:color w:val="4C4C4E"/>
              </w:rPr>
              <w:t>plan</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1,043,714</w:t>
            </w:r>
          </w:p>
        </w:tc>
        <w:tc>
          <w:tcPr>
            <w:tcW w:w="6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80" w:type="dxa"/>
            <w:vAlign w:val="bottom"/>
            <w:shd w:val="clear" w:color="auto" w:fill="D8EEF4"/>
          </w:tcPr>
          <w:p>
            <w:pPr>
              <w:spacing w:after="0"/>
              <w:rPr>
                <w:sz w:val="16"/>
                <w:szCs w:val="16"/>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11</w:t>
            </w:r>
          </w:p>
        </w:tc>
        <w:tc>
          <w:tcPr>
            <w:tcW w:w="4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6"/>
                <w:szCs w:val="16"/>
                <w:color w:val="auto"/>
              </w:rPr>
            </w:pP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60" w:type="dxa"/>
            <w:vAlign w:val="bottom"/>
            <w:shd w:val="clear" w:color="auto" w:fill="D8EEF4"/>
          </w:tcPr>
          <w:p>
            <w:pPr>
              <w:spacing w:after="0"/>
              <w:rPr>
                <w:sz w:val="16"/>
                <w:szCs w:val="16"/>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6"/>
                <w:szCs w:val="16"/>
                <w:color w:val="auto"/>
              </w:rPr>
            </w:pPr>
          </w:p>
        </w:tc>
        <w:tc>
          <w:tcPr>
            <w:tcW w:w="160" w:type="dxa"/>
            <w:vAlign w:val="bottom"/>
            <w:shd w:val="clear" w:color="auto" w:fill="D8EEF4"/>
          </w:tcPr>
          <w:p>
            <w:pPr>
              <w:spacing w:after="0"/>
              <w:rPr>
                <w:sz w:val="16"/>
                <w:szCs w:val="16"/>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22,531</w:t>
            </w: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100" w:type="dxa"/>
            <w:vAlign w:val="bottom"/>
            <w:shd w:val="clear" w:color="auto" w:fill="D8EEF4"/>
          </w:tcPr>
          <w:p>
            <w:pPr>
              <w:spacing w:after="0"/>
              <w:rPr>
                <w:sz w:val="16"/>
                <w:szCs w:val="16"/>
                <w:color w:val="auto"/>
              </w:rPr>
            </w:pPr>
          </w:p>
        </w:tc>
        <w:tc>
          <w:tcPr>
            <w:tcW w:w="860" w:type="dxa"/>
            <w:vAlign w:val="bottom"/>
            <w:gridSpan w:val="3"/>
            <w:shd w:val="clear" w:color="auto" w:fill="D8EEF4"/>
          </w:tcPr>
          <w:p>
            <w:pPr>
              <w:jc w:val="right"/>
              <w:ind w:right="120"/>
              <w:spacing w:after="0"/>
              <w:rPr>
                <w:sz w:val="20"/>
                <w:szCs w:val="20"/>
                <w:color w:val="auto"/>
              </w:rPr>
            </w:pPr>
            <w:r>
              <w:rPr>
                <w:rFonts w:ascii="Times New Roman" w:cs="Times New Roman" w:eastAsia="Times New Roman" w:hAnsi="Times New Roman"/>
                <w:sz w:val="15"/>
                <w:szCs w:val="15"/>
                <w:color w:val="4C4C4E"/>
              </w:rPr>
              <w:t>—</w:t>
            </w:r>
          </w:p>
        </w:tc>
        <w:tc>
          <w:tcPr>
            <w:tcW w:w="1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22,542</w:t>
            </w:r>
          </w:p>
        </w:tc>
        <w:tc>
          <w:tcPr>
            <w:tcW w:w="20" w:type="dxa"/>
            <w:vAlign w:val="bottom"/>
            <w:shd w:val="clear" w:color="auto" w:fill="D8EEF4"/>
          </w:tcPr>
          <w:p>
            <w:pPr>
              <w:spacing w:after="0"/>
              <w:rPr>
                <w:sz w:val="16"/>
                <w:szCs w:val="16"/>
                <w:color w:val="auto"/>
              </w:rPr>
            </w:pPr>
          </w:p>
        </w:tc>
        <w:tc>
          <w:tcPr>
            <w:tcW w:w="40" w:type="dxa"/>
            <w:vAlign w:val="bottom"/>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gridSpan w:val="7"/>
          </w:tcPr>
          <w:p>
            <w:pPr>
              <w:ind w:left="200"/>
              <w:spacing w:after="0"/>
              <w:rPr>
                <w:sz w:val="20"/>
                <w:szCs w:val="20"/>
                <w:color w:val="auto"/>
              </w:rPr>
            </w:pPr>
            <w:r>
              <w:rPr>
                <w:rFonts w:ascii="Times New Roman" w:cs="Times New Roman" w:eastAsia="Times New Roman" w:hAnsi="Times New Roman"/>
                <w:sz w:val="15"/>
                <w:szCs w:val="15"/>
                <w:color w:val="4C4C4E"/>
              </w:rPr>
              <w:t>Dividends declared from distributable earnings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8"/>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5"/>
                <w:szCs w:val="15"/>
                <w:color w:val="4C4C4E"/>
              </w:rPr>
              <w:t>—</w:t>
            </w:r>
          </w:p>
        </w:tc>
        <w:tc>
          <w:tcPr>
            <w:tcW w:w="100" w:type="dxa"/>
            <w:vAlign w:val="bottom"/>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4C4C4E"/>
              </w:rPr>
              <w:t>(192,867)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4C4C4E"/>
              </w:rPr>
              <w:t>(192,867)</w:t>
            </w:r>
          </w:p>
        </w:tc>
        <w:tc>
          <w:tcPr>
            <w:tcW w:w="0" w:type="dxa"/>
            <w:vAlign w:val="bottom"/>
          </w:tcPr>
          <w:p>
            <w:pPr>
              <w:spacing w:after="0"/>
              <w:rPr>
                <w:sz w:val="1"/>
                <w:szCs w:val="1"/>
                <w:color w:val="auto"/>
              </w:rPr>
            </w:pPr>
          </w:p>
        </w:tc>
      </w:tr>
      <w:tr>
        <w:trPr>
          <w:trHeight w:val="171"/>
        </w:trPr>
        <w:tc>
          <w:tcPr>
            <w:tcW w:w="3900" w:type="dxa"/>
            <w:vAlign w:val="bottom"/>
            <w:gridSpan w:val="7"/>
            <w:shd w:val="clear" w:color="auto" w:fill="D8EEF4"/>
          </w:tcPr>
          <w:p>
            <w:pPr>
              <w:ind w:left="100"/>
              <w:spacing w:after="0" w:line="171" w:lineRule="exact"/>
              <w:rPr>
                <w:sz w:val="20"/>
                <w:szCs w:val="20"/>
                <w:color w:val="auto"/>
              </w:rPr>
            </w:pPr>
            <w:r>
              <w:rPr>
                <w:rFonts w:ascii="Times New Roman" w:cs="Times New Roman" w:eastAsia="Times New Roman" w:hAnsi="Times New Roman"/>
                <w:sz w:val="15"/>
                <w:szCs w:val="15"/>
                <w:color w:val="4C4C4E"/>
              </w:rPr>
              <w:t>Tax reclassification of stockholders’ equity in accordance</w:t>
            </w:r>
          </w:p>
        </w:tc>
        <w:tc>
          <w:tcPr>
            <w:tcW w:w="8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48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7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5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9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00" w:type="dxa"/>
            <w:vAlign w:val="bottom"/>
            <w:shd w:val="clear" w:color="auto" w:fill="D8EEF4"/>
          </w:tcPr>
          <w:p>
            <w:pPr>
              <w:spacing w:after="0"/>
              <w:rPr>
                <w:sz w:val="14"/>
                <w:szCs w:val="14"/>
                <w:color w:val="auto"/>
              </w:rPr>
            </w:pPr>
          </w:p>
        </w:tc>
        <w:tc>
          <w:tcPr>
            <w:tcW w:w="76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78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00" w:type="dxa"/>
            <w:vAlign w:val="bottom"/>
            <w:gridSpan w:val="7"/>
            <w:shd w:val="clear" w:color="auto" w:fill="D8EEF4"/>
          </w:tcPr>
          <w:p>
            <w:pPr>
              <w:ind w:left="100"/>
              <w:spacing w:after="0"/>
              <w:rPr>
                <w:sz w:val="20"/>
                <w:szCs w:val="20"/>
                <w:color w:val="auto"/>
              </w:rPr>
            </w:pPr>
            <w:r>
              <w:rPr>
                <w:rFonts w:ascii="Times New Roman" w:cs="Times New Roman" w:eastAsia="Times New Roman" w:hAnsi="Times New Roman"/>
                <w:sz w:val="15"/>
                <w:szCs w:val="15"/>
                <w:color w:val="4C4C4E"/>
              </w:rPr>
              <w:t>with GAAP</w:t>
            </w:r>
          </w:p>
        </w:tc>
        <w:tc>
          <w:tcPr>
            <w:tcW w:w="8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6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8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80" w:type="dxa"/>
            <w:vAlign w:val="bottom"/>
            <w:shd w:val="clear" w:color="auto" w:fill="D8EEF4"/>
          </w:tcPr>
          <w:p>
            <w:pPr>
              <w:spacing w:after="0"/>
              <w:rPr>
                <w:sz w:val="18"/>
                <w:szCs w:val="18"/>
                <w:color w:val="auto"/>
              </w:rPr>
            </w:pPr>
          </w:p>
        </w:tc>
        <w:tc>
          <w:tcPr>
            <w:tcW w:w="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10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72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5"/>
                <w:szCs w:val="15"/>
                <w:color w:val="4C4C4E"/>
              </w:rPr>
              <w:t>—</w:t>
            </w:r>
          </w:p>
        </w:tc>
        <w:tc>
          <w:tcPr>
            <w:tcW w:w="20" w:type="dxa"/>
            <w:vAlign w:val="bottom"/>
            <w:shd w:val="clear" w:color="auto" w:fill="D8EEF4"/>
          </w:tcPr>
          <w:p>
            <w:pPr>
              <w:spacing w:after="0"/>
              <w:rPr>
                <w:sz w:val="18"/>
                <w:szCs w:val="18"/>
                <w:color w:val="auto"/>
              </w:rPr>
            </w:pPr>
          </w:p>
        </w:tc>
        <w:tc>
          <w:tcPr>
            <w:tcW w:w="1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60" w:type="dxa"/>
            <w:vAlign w:val="bottom"/>
            <w:shd w:val="clear" w:color="auto" w:fill="D8EEF4"/>
          </w:tcPr>
          <w:p>
            <w:pPr>
              <w:spacing w:after="0"/>
              <w:rPr>
                <w:sz w:val="18"/>
                <w:szCs w:val="18"/>
                <w:color w:val="auto"/>
              </w:rPr>
            </w:pPr>
          </w:p>
        </w:tc>
        <w:tc>
          <w:tcPr>
            <w:tcW w:w="740" w:type="dxa"/>
            <w:vAlign w:val="bottom"/>
            <w:gridSpan w:val="8"/>
            <w:shd w:val="clear" w:color="auto" w:fill="D8EEF4"/>
          </w:tcPr>
          <w:p>
            <w:pPr>
              <w:jc w:val="right"/>
              <w:ind w:right="200"/>
              <w:spacing w:after="0"/>
              <w:rPr>
                <w:sz w:val="20"/>
                <w:szCs w:val="20"/>
                <w:color w:val="auto"/>
              </w:rPr>
            </w:pPr>
            <w:r>
              <w:rPr>
                <w:rFonts w:ascii="Times New Roman" w:cs="Times New Roman" w:eastAsia="Times New Roman" w:hAnsi="Times New Roman"/>
                <w:sz w:val="15"/>
                <w:szCs w:val="15"/>
                <w:color w:val="4C4C4E"/>
              </w:rPr>
              <w:t>—</w:t>
            </w:r>
          </w:p>
        </w:tc>
        <w:tc>
          <w:tcPr>
            <w:tcW w:w="40" w:type="dxa"/>
            <w:vAlign w:val="bottom"/>
            <w:shd w:val="clear" w:color="auto" w:fill="D8EEF4"/>
          </w:tcPr>
          <w:p>
            <w:pPr>
              <w:spacing w:after="0"/>
              <w:rPr>
                <w:sz w:val="18"/>
                <w:szCs w:val="18"/>
                <w:color w:val="auto"/>
              </w:rPr>
            </w:pPr>
          </w:p>
        </w:tc>
        <w:tc>
          <w:tcPr>
            <w:tcW w:w="160" w:type="dxa"/>
            <w:vAlign w:val="bottom"/>
            <w:shd w:val="clear" w:color="auto" w:fill="D8EEF4"/>
          </w:tcPr>
          <w:p>
            <w:pPr>
              <w:spacing w:after="0"/>
              <w:rPr>
                <w:sz w:val="18"/>
                <w:szCs w:val="18"/>
                <w:color w:val="auto"/>
              </w:rPr>
            </w:pPr>
          </w:p>
        </w:tc>
        <w:tc>
          <w:tcPr>
            <w:tcW w:w="1080" w:type="dxa"/>
            <w:vAlign w:val="bottom"/>
            <w:gridSpan w:val="3"/>
            <w:shd w:val="clear" w:color="auto" w:fill="D8EEF4"/>
          </w:tcPr>
          <w:p>
            <w:pPr>
              <w:jc w:val="right"/>
              <w:ind w:right="60"/>
              <w:spacing w:after="0"/>
              <w:rPr>
                <w:sz w:val="20"/>
                <w:szCs w:val="20"/>
                <w:color w:val="auto"/>
              </w:rPr>
            </w:pPr>
            <w:r>
              <w:rPr>
                <w:rFonts w:ascii="Times New Roman" w:cs="Times New Roman" w:eastAsia="Times New Roman" w:hAnsi="Times New Roman"/>
                <w:sz w:val="15"/>
                <w:szCs w:val="15"/>
                <w:color w:val="4C4C4E"/>
              </w:rPr>
              <w:t>(6,285)</w:t>
            </w:r>
          </w:p>
        </w:tc>
        <w:tc>
          <w:tcPr>
            <w:tcW w:w="10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100" w:type="dxa"/>
            <w:vAlign w:val="bottom"/>
            <w:shd w:val="clear" w:color="auto" w:fill="D8EEF4"/>
          </w:tcPr>
          <w:p>
            <w:pPr>
              <w:spacing w:after="0"/>
              <w:rPr>
                <w:sz w:val="18"/>
                <w:szCs w:val="18"/>
                <w:color w:val="auto"/>
              </w:rPr>
            </w:pPr>
          </w:p>
        </w:tc>
        <w:tc>
          <w:tcPr>
            <w:tcW w:w="7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5"/>
                <w:szCs w:val="15"/>
                <w:color w:val="4C4C4E"/>
              </w:rPr>
              <w:t>6,285</w:t>
            </w:r>
          </w:p>
        </w:tc>
        <w:tc>
          <w:tcPr>
            <w:tcW w:w="20" w:type="dxa"/>
            <w:vAlign w:val="bottom"/>
            <w:shd w:val="clear" w:color="auto" w:fill="D8EEF4"/>
          </w:tcPr>
          <w:p>
            <w:pPr>
              <w:spacing w:after="0"/>
              <w:rPr>
                <w:sz w:val="18"/>
                <w:szCs w:val="18"/>
                <w:color w:val="auto"/>
              </w:rPr>
            </w:pPr>
          </w:p>
        </w:tc>
        <w:tc>
          <w:tcPr>
            <w:tcW w:w="80" w:type="dxa"/>
            <w:vAlign w:val="bottom"/>
            <w:shd w:val="clear" w:color="auto" w:fill="D8EEF4"/>
          </w:tcPr>
          <w:p>
            <w:pPr>
              <w:spacing w:after="0"/>
              <w:rPr>
                <w:sz w:val="18"/>
                <w:szCs w:val="18"/>
                <w:color w:val="auto"/>
              </w:rPr>
            </w:pPr>
          </w:p>
        </w:tc>
        <w:tc>
          <w:tcPr>
            <w:tcW w:w="1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c>
          <w:tcPr>
            <w:tcW w:w="40" w:type="dxa"/>
            <w:vAlign w:val="bottom"/>
            <w:shd w:val="clear" w:color="auto" w:fill="D8EEF4"/>
          </w:tcPr>
          <w:p>
            <w:pPr>
              <w:spacing w:after="0"/>
              <w:rPr>
                <w:sz w:val="18"/>
                <w:szCs w:val="18"/>
                <w:color w:val="auto"/>
              </w:rPr>
            </w:pPr>
          </w:p>
        </w:tc>
        <w:tc>
          <w:tcPr>
            <w:tcW w:w="840" w:type="dxa"/>
            <w:vAlign w:val="bottom"/>
            <w:gridSpan w:val="3"/>
            <w:shd w:val="clear" w:color="auto" w:fill="D8EEF4"/>
          </w:tcPr>
          <w:p>
            <w:pPr>
              <w:jc w:val="right"/>
              <w:ind w:right="80"/>
              <w:spacing w:after="0"/>
              <w:rPr>
                <w:sz w:val="20"/>
                <w:szCs w:val="20"/>
                <w:color w:val="auto"/>
              </w:rPr>
            </w:pPr>
            <w:r>
              <w:rPr>
                <w:rFonts w:ascii="Times New Roman" w:cs="Times New Roman" w:eastAsia="Times New Roman" w:hAnsi="Times New Roman"/>
                <w:sz w:val="15"/>
                <w:szCs w:val="15"/>
                <w:color w:val="4C4C4E"/>
              </w:rPr>
              <w:t>—</w:t>
            </w:r>
          </w:p>
        </w:tc>
        <w:tc>
          <w:tcPr>
            <w:tcW w:w="0" w:type="dxa"/>
            <w:vAlign w:val="bottom"/>
          </w:tcPr>
          <w:p>
            <w:pPr>
              <w:spacing w:after="0"/>
              <w:rPr>
                <w:sz w:val="1"/>
                <w:szCs w:val="1"/>
                <w:color w:val="auto"/>
              </w:rPr>
            </w:pPr>
          </w:p>
        </w:tc>
      </w:tr>
      <w:tr>
        <w:trPr>
          <w:trHeight w:val="161"/>
        </w:trPr>
        <w:tc>
          <w:tcPr>
            <w:tcW w:w="3840" w:type="dxa"/>
            <w:vAlign w:val="bottom"/>
            <w:tcBorders>
              <w:top w:val="single" w:sz="8" w:color="D8EEF4"/>
            </w:tcBorders>
            <w:gridSpan w:val="4"/>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Balance at December 31, 2025</w:t>
            </w:r>
          </w:p>
        </w:tc>
        <w:tc>
          <w:tcPr>
            <w:tcW w:w="60" w:type="dxa"/>
            <w:vAlign w:val="bottom"/>
            <w:tcBorders>
              <w:top w:val="single" w:sz="8" w:color="4C4C4E"/>
            </w:tcBorders>
            <w:gridSpan w:val="3"/>
          </w:tcPr>
          <w:p>
            <w:pPr>
              <w:spacing w:after="0"/>
              <w:rPr>
                <w:sz w:val="14"/>
                <w:szCs w:val="14"/>
                <w:color w:val="auto"/>
              </w:rPr>
            </w:pPr>
          </w:p>
        </w:tc>
        <w:tc>
          <w:tcPr>
            <w:tcW w:w="82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94,705,150</w:t>
            </w:r>
          </w:p>
        </w:tc>
        <w:tc>
          <w:tcPr>
            <w:tcW w:w="60" w:type="dxa"/>
            <w:vAlign w:val="bottom"/>
            <w:tcBorders>
              <w:top w:val="single" w:sz="8" w:color="D8EEF4"/>
            </w:tcBorders>
          </w:tcPr>
          <w:p>
            <w:pPr>
              <w:spacing w:after="0"/>
              <w:rPr>
                <w:sz w:val="14"/>
                <w:szCs w:val="14"/>
                <w:color w:val="auto"/>
              </w:rPr>
            </w:pPr>
          </w:p>
        </w:tc>
        <w:tc>
          <w:tcPr>
            <w:tcW w:w="20" w:type="dxa"/>
            <w:vAlign w:val="bottom"/>
            <w:tcBorders>
              <w:top w:val="single" w:sz="8" w:color="D8EEF4"/>
            </w:tcBorders>
          </w:tcPr>
          <w:p>
            <w:pPr>
              <w:spacing w:after="0"/>
              <w:rPr>
                <w:sz w:val="14"/>
                <w:szCs w:val="14"/>
                <w:color w:val="auto"/>
              </w:rPr>
            </w:pPr>
          </w:p>
        </w:tc>
        <w:tc>
          <w:tcPr>
            <w:tcW w:w="200" w:type="dxa"/>
            <w:vAlign w:val="bottom"/>
            <w:tcBorders>
              <w:top w:val="single" w:sz="8" w:color="4C4C4E"/>
            </w:tcBorders>
            <w:gridSpan w:val="4"/>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w:t>
            </w:r>
          </w:p>
        </w:tc>
        <w:tc>
          <w:tcPr>
            <w:tcW w:w="48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954</w:t>
            </w:r>
          </w:p>
        </w:tc>
        <w:tc>
          <w:tcPr>
            <w:tcW w:w="40" w:type="dxa"/>
            <w:vAlign w:val="bottom"/>
            <w:tcBorders>
              <w:top w:val="single" w:sz="8" w:color="D8EEF4"/>
            </w:tcBorders>
          </w:tcPr>
          <w:p>
            <w:pPr>
              <w:spacing w:after="0"/>
              <w:rPr>
                <w:sz w:val="14"/>
                <w:szCs w:val="14"/>
                <w:color w:val="auto"/>
              </w:rPr>
            </w:pPr>
          </w:p>
        </w:tc>
        <w:tc>
          <w:tcPr>
            <w:tcW w:w="20" w:type="dxa"/>
            <w:vAlign w:val="bottom"/>
            <w:tcBorders>
              <w:top w:val="single" w:sz="8" w:color="D8EEF4"/>
            </w:tcBorders>
          </w:tcPr>
          <w:p>
            <w:pPr>
              <w:spacing w:after="0"/>
              <w:rPr>
                <w:sz w:val="14"/>
                <w:szCs w:val="14"/>
                <w:color w:val="auto"/>
              </w:rPr>
            </w:pPr>
          </w:p>
        </w:tc>
        <w:tc>
          <w:tcPr>
            <w:tcW w:w="860" w:type="dxa"/>
            <w:vAlign w:val="bottom"/>
            <w:tcBorders>
              <w:top w:val="single" w:sz="8" w:color="4C4C4E"/>
            </w:tcBorders>
            <w:gridSpan w:val="5"/>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664,250</w:t>
            </w:r>
          </w:p>
        </w:tc>
        <w:tc>
          <w:tcPr>
            <w:tcW w:w="20" w:type="dxa"/>
            <w:vAlign w:val="bottom"/>
            <w:tcBorders>
              <w:top w:val="single" w:sz="8" w:color="D8EEF4"/>
            </w:tcBorders>
          </w:tcPr>
          <w:p>
            <w:pPr>
              <w:spacing w:after="0"/>
              <w:rPr>
                <w:sz w:val="14"/>
                <w:szCs w:val="14"/>
                <w:color w:val="auto"/>
              </w:rPr>
            </w:pPr>
          </w:p>
        </w:tc>
        <w:tc>
          <w:tcPr>
            <w:tcW w:w="20" w:type="dxa"/>
            <w:vAlign w:val="bottom"/>
            <w:tcBorders>
              <w:top w:val="single" w:sz="8" w:color="D8EEF4"/>
            </w:tcBorders>
          </w:tcPr>
          <w:p>
            <w:pPr>
              <w:spacing w:after="0"/>
              <w:rPr>
                <w:sz w:val="14"/>
                <w:szCs w:val="14"/>
                <w:color w:val="auto"/>
              </w:rPr>
            </w:pPr>
          </w:p>
        </w:tc>
        <w:tc>
          <w:tcPr>
            <w:tcW w:w="240" w:type="dxa"/>
            <w:vAlign w:val="bottom"/>
            <w:tcBorders>
              <w:top w:val="single" w:sz="8" w:color="4C4C4E"/>
            </w:tcBorders>
            <w:gridSpan w:val="5"/>
          </w:tcPr>
          <w:p>
            <w:pPr>
              <w:jc w:val="right"/>
              <w:ind w:right="40"/>
              <w:spacing w:after="0" w:line="161" w:lineRule="exact"/>
              <w:rPr>
                <w:sz w:val="20"/>
                <w:szCs w:val="20"/>
                <w:color w:val="auto"/>
              </w:rPr>
            </w:pPr>
            <w:r>
              <w:rPr>
                <w:rFonts w:ascii="Times New Roman" w:cs="Times New Roman" w:eastAsia="Times New Roman" w:hAnsi="Times New Roman"/>
                <w:sz w:val="15"/>
                <w:szCs w:val="15"/>
                <w:b w:val="1"/>
                <w:bCs w:val="1"/>
                <w:color w:val="4C4C4E"/>
              </w:rPr>
              <w:t>$</w:t>
            </w:r>
          </w:p>
        </w:tc>
        <w:tc>
          <w:tcPr>
            <w:tcW w:w="56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(10,459)</w:t>
            </w:r>
          </w:p>
        </w:tc>
        <w:tc>
          <w:tcPr>
            <w:tcW w:w="100" w:type="dxa"/>
            <w:vAlign w:val="bottom"/>
            <w:tcBorders>
              <w:top w:val="single" w:sz="8" w:color="D8EEF4"/>
            </w:tcBorders>
            <w:gridSpan w:val="3"/>
          </w:tcPr>
          <w:p>
            <w:pPr>
              <w:spacing w:after="0"/>
              <w:rPr>
                <w:sz w:val="14"/>
                <w:szCs w:val="14"/>
                <w:color w:val="auto"/>
              </w:rPr>
            </w:pPr>
          </w:p>
        </w:tc>
        <w:tc>
          <w:tcPr>
            <w:tcW w:w="20" w:type="dxa"/>
            <w:vAlign w:val="bottom"/>
            <w:tcBorders>
              <w:top w:val="single" w:sz="8" w:color="D8EEF4"/>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200" w:type="dxa"/>
            <w:vAlign w:val="bottom"/>
            <w:tcBorders>
              <w:top w:val="single" w:sz="8" w:color="4C4C4E"/>
            </w:tcBorders>
            <w:gridSpan w:val="2"/>
          </w:tcPr>
          <w:p>
            <w:pPr>
              <w:jc w:val="right"/>
              <w:ind w:right="46"/>
              <w:spacing w:after="0" w:line="161" w:lineRule="exact"/>
              <w:rPr>
                <w:sz w:val="20"/>
                <w:szCs w:val="20"/>
                <w:color w:val="auto"/>
              </w:rPr>
            </w:pPr>
            <w:r>
              <w:rPr>
                <w:rFonts w:ascii="Times New Roman" w:cs="Times New Roman" w:eastAsia="Times New Roman" w:hAnsi="Times New Roman"/>
                <w:sz w:val="15"/>
                <w:szCs w:val="15"/>
                <w:b w:val="1"/>
                <w:bCs w:val="1"/>
                <w:color w:val="4C4C4E"/>
              </w:rPr>
              <w:t>$</w:t>
            </w:r>
          </w:p>
        </w:tc>
        <w:tc>
          <w:tcPr>
            <w:tcW w:w="96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1,535,583</w:t>
            </w:r>
          </w:p>
        </w:tc>
        <w:tc>
          <w:tcPr>
            <w:tcW w:w="20" w:type="dxa"/>
            <w:vAlign w:val="bottom"/>
            <w:tcBorders>
              <w:top w:val="single" w:sz="8" w:color="D8EEF4"/>
            </w:tcBorders>
          </w:tcPr>
          <w:p>
            <w:pPr>
              <w:spacing w:after="0"/>
              <w:rPr>
                <w:sz w:val="14"/>
                <w:szCs w:val="14"/>
                <w:color w:val="auto"/>
              </w:rPr>
            </w:pPr>
          </w:p>
        </w:tc>
        <w:tc>
          <w:tcPr>
            <w:tcW w:w="100" w:type="dxa"/>
            <w:vAlign w:val="bottom"/>
            <w:tcBorders>
              <w:top w:val="single" w:sz="8" w:color="D8EEF4"/>
            </w:tcBorders>
          </w:tcPr>
          <w:p>
            <w:pPr>
              <w:spacing w:after="0"/>
              <w:rPr>
                <w:sz w:val="14"/>
                <w:szCs w:val="14"/>
                <w:color w:val="auto"/>
              </w:rPr>
            </w:pPr>
          </w:p>
        </w:tc>
        <w:tc>
          <w:tcPr>
            <w:tcW w:w="100" w:type="dxa"/>
            <w:vAlign w:val="bottom"/>
            <w:tcBorders>
              <w:top w:val="single" w:sz="8" w:color="4C4C4E"/>
            </w:tcBorders>
          </w:tcPr>
          <w:p>
            <w:pPr>
              <w:spacing w:after="0"/>
              <w:rPr>
                <w:sz w:val="14"/>
                <w:szCs w:val="14"/>
                <w:color w:val="auto"/>
              </w:rPr>
            </w:pPr>
          </w:p>
        </w:tc>
        <w:tc>
          <w:tcPr>
            <w:tcW w:w="20" w:type="dxa"/>
            <w:vAlign w:val="bottom"/>
            <w:tcBorders>
              <w:top w:val="single" w:sz="8" w:color="4C4C4E"/>
            </w:tcBorders>
          </w:tcPr>
          <w:p>
            <w:pPr>
              <w:spacing w:after="0"/>
              <w:rPr>
                <w:sz w:val="14"/>
                <w:szCs w:val="14"/>
                <w:color w:val="auto"/>
              </w:rPr>
            </w:pPr>
          </w:p>
        </w:tc>
        <w:tc>
          <w:tcPr>
            <w:tcW w:w="100" w:type="dxa"/>
            <w:vAlign w:val="bottom"/>
            <w:tcBorders>
              <w:top w:val="single" w:sz="8" w:color="4C4C4E"/>
            </w:tcBorders>
          </w:tcPr>
          <w:p>
            <w:pPr>
              <w:spacing w:after="0" w:line="161" w:lineRule="exact"/>
              <w:rPr>
                <w:sz w:val="20"/>
                <w:szCs w:val="20"/>
                <w:color w:val="auto"/>
              </w:rPr>
            </w:pPr>
            <w:r>
              <w:rPr>
                <w:rFonts w:ascii="Times New Roman" w:cs="Times New Roman" w:eastAsia="Times New Roman" w:hAnsi="Times New Roman"/>
                <w:sz w:val="15"/>
                <w:szCs w:val="15"/>
                <w:b w:val="1"/>
                <w:bCs w:val="1"/>
                <w:color w:val="4C4C4E"/>
              </w:rPr>
              <w:t>$</w:t>
            </w:r>
          </w:p>
        </w:tc>
        <w:tc>
          <w:tcPr>
            <w:tcW w:w="76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81,643</w:t>
            </w:r>
          </w:p>
        </w:tc>
        <w:tc>
          <w:tcPr>
            <w:tcW w:w="20" w:type="dxa"/>
            <w:vAlign w:val="bottom"/>
            <w:tcBorders>
              <w:top w:val="single" w:sz="8" w:color="D8EEF4"/>
            </w:tcBorders>
          </w:tcPr>
          <w:p>
            <w:pPr>
              <w:spacing w:after="0"/>
              <w:rPr>
                <w:sz w:val="14"/>
                <w:szCs w:val="14"/>
                <w:color w:val="auto"/>
              </w:rPr>
            </w:pPr>
          </w:p>
        </w:tc>
        <w:tc>
          <w:tcPr>
            <w:tcW w:w="80" w:type="dxa"/>
            <w:vAlign w:val="bottom"/>
            <w:tcBorders>
              <w:top w:val="single" w:sz="8" w:color="D8EEF4"/>
            </w:tcBorders>
          </w:tcPr>
          <w:p>
            <w:pPr>
              <w:spacing w:after="0"/>
              <w:rPr>
                <w:sz w:val="14"/>
                <w:szCs w:val="14"/>
                <w:color w:val="auto"/>
              </w:rPr>
            </w:pPr>
          </w:p>
        </w:tc>
        <w:tc>
          <w:tcPr>
            <w:tcW w:w="220" w:type="dxa"/>
            <w:vAlign w:val="bottom"/>
            <w:tcBorders>
              <w:top w:val="single" w:sz="8" w:color="4C4C4E"/>
            </w:tcBorders>
            <w:gridSpan w:val="5"/>
          </w:tcPr>
          <w:p>
            <w:pPr>
              <w:jc w:val="right"/>
              <w:ind w:right="40"/>
              <w:spacing w:after="0" w:line="161" w:lineRule="exact"/>
              <w:rPr>
                <w:sz w:val="20"/>
                <w:szCs w:val="20"/>
                <w:color w:val="auto"/>
              </w:rPr>
            </w:pPr>
            <w:r>
              <w:rPr>
                <w:rFonts w:ascii="Times New Roman" w:cs="Times New Roman" w:eastAsia="Times New Roman" w:hAnsi="Times New Roman"/>
                <w:sz w:val="15"/>
                <w:szCs w:val="15"/>
                <w:b w:val="1"/>
                <w:bCs w:val="1"/>
                <w:color w:val="4C4C4E"/>
              </w:rPr>
              <w:t>$</w:t>
            </w:r>
          </w:p>
        </w:tc>
        <w:tc>
          <w:tcPr>
            <w:tcW w:w="780" w:type="dxa"/>
            <w:vAlign w:val="bottom"/>
            <w:tcBorders>
              <w:top w:val="single" w:sz="8" w:color="4C4C4E"/>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4C4C4E"/>
              </w:rPr>
              <w:t>1,607,721</w:t>
            </w:r>
          </w:p>
        </w:tc>
        <w:tc>
          <w:tcPr>
            <w:tcW w:w="20" w:type="dxa"/>
            <w:vAlign w:val="bottom"/>
            <w:tcBorders>
              <w:top w:val="single" w:sz="8" w:color="D8EEF4"/>
            </w:tcBorders>
          </w:tcPr>
          <w:p>
            <w:pPr>
              <w:spacing w:after="0"/>
              <w:rPr>
                <w:sz w:val="14"/>
                <w:szCs w:val="14"/>
                <w:color w:val="auto"/>
              </w:rPr>
            </w:pPr>
          </w:p>
        </w:tc>
        <w:tc>
          <w:tcPr>
            <w:tcW w:w="40" w:type="dxa"/>
            <w:vAlign w:val="bottom"/>
            <w:tcBorders>
              <w:top w:val="single" w:sz="8" w:color="D8EEF4"/>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Borders>
              <w:top w:val="single" w:sz="8" w:color="4C4C4E"/>
              <w:bottom w:val="single" w:sz="8" w:color="4C4C4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4C4C4E"/>
              <w:bottom w:val="single" w:sz="8" w:color="4C4C4E"/>
            </w:tcBorders>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4C4C4E"/>
              <w:bottom w:val="single" w:sz="8" w:color="4C4C4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4C4C4E"/>
              <w:bottom w:val="single" w:sz="8" w:color="4C4C4E"/>
            </w:tcBorders>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40" w:type="dxa"/>
            <w:vAlign w:val="bottom"/>
            <w:tcBorders>
              <w:top w:val="single" w:sz="8" w:color="4C4C4E"/>
              <w:bottom w:val="single" w:sz="8" w:color="4C4C4E"/>
            </w:tcBorders>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Borders>
              <w:top w:val="single" w:sz="8" w:color="4C4C4E"/>
              <w:bottom w:val="single" w:sz="8" w:color="4C4C4E"/>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4C4C4E"/>
              <w:bottom w:val="single" w:sz="8" w:color="4C4C4E"/>
            </w:tcBorders>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hanging="494"/>
        <w:spacing w:after="0"/>
        <w:tabs>
          <w:tab w:leader="none" w:pos="500" w:val="left"/>
        </w:tabs>
        <w:numPr>
          <w:ilvl w:val="0"/>
          <w:numId w:val="78"/>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Company changed its tax year end from March 31st to December 31st.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The accompanying notes are an integral part of these consolidated financial statements.</w:t>
      </w:r>
    </w:p>
    <w:p>
      <w:pPr>
        <w:sectPr>
          <w:pgSz w:w="11880" w:h="15480" w:orient="portrait"/>
          <w:cols w:equalWidth="0" w:num="1">
            <w:col w:w="10840"/>
          </w:cols>
          <w:pgMar w:left="520" w:top="746" w:right="5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F-25</w:t>
      </w:r>
    </w:p>
    <w:p>
      <w:pPr>
        <w:sectPr>
          <w:pgSz w:w="11880" w:h="15480" w:orient="portrait"/>
          <w:cols w:equalWidth="0" w:num="1">
            <w:col w:w="10840"/>
          </w:cols>
          <w:pgMar w:left="520" w:top="746" w:right="520" w:bottom="6"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4C4C4E"/>
        </w:rPr>
        <w:t>Sixth Street Specialty Lending,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C4C4E"/>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4C4C4E"/>
        </w:rPr>
        <w:t>(Amounts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10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10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4C4C4E"/>
              </w:rPr>
              <w:t>December 31, 2023</w:t>
            </w:r>
          </w:p>
        </w:tc>
        <w:tc>
          <w:tcPr>
            <w:tcW w:w="0" w:type="dxa"/>
            <w:vAlign w:val="bottom"/>
          </w:tcPr>
          <w:p>
            <w:pPr>
              <w:spacing w:after="0"/>
              <w:rPr>
                <w:sz w:val="1"/>
                <w:szCs w:val="1"/>
                <w:color w:val="auto"/>
              </w:rPr>
            </w:pPr>
          </w:p>
        </w:tc>
      </w:tr>
      <w:tr>
        <w:trPr>
          <w:trHeight w:val="193"/>
        </w:trPr>
        <w:tc>
          <w:tcPr>
            <w:tcW w:w="52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16"/>
                <w:szCs w:val="16"/>
                <w:b w:val="1"/>
                <w:bCs w:val="1"/>
                <w:color w:val="4C4C4E"/>
              </w:rPr>
              <w:t>Cash Flows from Operating Activities</w:t>
            </w:r>
          </w:p>
        </w:tc>
        <w:tc>
          <w:tcPr>
            <w:tcW w:w="200" w:type="dxa"/>
            <w:vAlign w:val="bottom"/>
            <w:tcBorders>
              <w:top w:val="single" w:sz="8" w:color="D8EEF4"/>
            </w:tcBorders>
            <w:shd w:val="clear" w:color="auto" w:fill="D8EEF4"/>
          </w:tcPr>
          <w:p>
            <w:pPr>
              <w:spacing w:after="0"/>
              <w:rPr>
                <w:sz w:val="16"/>
                <w:szCs w:val="16"/>
                <w:color w:val="auto"/>
              </w:rPr>
            </w:pPr>
          </w:p>
        </w:tc>
        <w:tc>
          <w:tcPr>
            <w:tcW w:w="100" w:type="dxa"/>
            <w:vAlign w:val="bottom"/>
            <w:tcBorders>
              <w:top w:val="single" w:sz="8" w:color="4C4C4E"/>
            </w:tcBorders>
            <w:shd w:val="clear" w:color="auto" w:fill="D8EEF4"/>
          </w:tcPr>
          <w:p>
            <w:pPr>
              <w:spacing w:after="0"/>
              <w:rPr>
                <w:sz w:val="16"/>
                <w:szCs w:val="16"/>
                <w:color w:val="auto"/>
              </w:rPr>
            </w:pPr>
          </w:p>
        </w:tc>
        <w:tc>
          <w:tcPr>
            <w:tcW w:w="1500" w:type="dxa"/>
            <w:vAlign w:val="bottom"/>
            <w:tcBorders>
              <w:top w:val="single" w:sz="8" w:color="4C4C4E"/>
            </w:tcBorders>
            <w:shd w:val="clear" w:color="auto" w:fill="D8EEF4"/>
          </w:tcPr>
          <w:p>
            <w:pPr>
              <w:spacing w:after="0"/>
              <w:rPr>
                <w:sz w:val="16"/>
                <w:szCs w:val="16"/>
                <w:color w:val="auto"/>
              </w:rPr>
            </w:pPr>
          </w:p>
        </w:tc>
        <w:tc>
          <w:tcPr>
            <w:tcW w:w="100" w:type="dxa"/>
            <w:vAlign w:val="bottom"/>
            <w:tcBorders>
              <w:top w:val="single" w:sz="8" w:color="D8EEF4"/>
            </w:tcBorders>
            <w:shd w:val="clear" w:color="auto" w:fill="D8EEF4"/>
          </w:tcPr>
          <w:p>
            <w:pPr>
              <w:spacing w:after="0"/>
              <w:rPr>
                <w:sz w:val="16"/>
                <w:szCs w:val="16"/>
                <w:color w:val="auto"/>
              </w:rPr>
            </w:pPr>
          </w:p>
        </w:tc>
        <w:tc>
          <w:tcPr>
            <w:tcW w:w="140" w:type="dxa"/>
            <w:vAlign w:val="bottom"/>
            <w:tcBorders>
              <w:top w:val="single" w:sz="8" w:color="D8EEF4"/>
            </w:tcBorders>
            <w:shd w:val="clear" w:color="auto" w:fill="D8EEF4"/>
          </w:tcPr>
          <w:p>
            <w:pPr>
              <w:spacing w:after="0"/>
              <w:rPr>
                <w:sz w:val="16"/>
                <w:szCs w:val="16"/>
                <w:color w:val="auto"/>
              </w:rPr>
            </w:pPr>
          </w:p>
        </w:tc>
        <w:tc>
          <w:tcPr>
            <w:tcW w:w="120" w:type="dxa"/>
            <w:vAlign w:val="bottom"/>
            <w:tcBorders>
              <w:top w:val="single" w:sz="8" w:color="4C4C4E"/>
            </w:tcBorders>
            <w:shd w:val="clear" w:color="auto" w:fill="D8EEF4"/>
          </w:tcPr>
          <w:p>
            <w:pPr>
              <w:spacing w:after="0"/>
              <w:rPr>
                <w:sz w:val="16"/>
                <w:szCs w:val="16"/>
                <w:color w:val="auto"/>
              </w:rPr>
            </w:pPr>
          </w:p>
        </w:tc>
        <w:tc>
          <w:tcPr>
            <w:tcW w:w="1520" w:type="dxa"/>
            <w:vAlign w:val="bottom"/>
            <w:tcBorders>
              <w:top w:val="single" w:sz="8" w:color="4C4C4E"/>
            </w:tcBorders>
            <w:shd w:val="clear" w:color="auto" w:fill="D8EEF4"/>
          </w:tcPr>
          <w:p>
            <w:pPr>
              <w:spacing w:after="0"/>
              <w:rPr>
                <w:sz w:val="16"/>
                <w:szCs w:val="16"/>
                <w:color w:val="auto"/>
              </w:rPr>
            </w:pPr>
          </w:p>
        </w:tc>
        <w:tc>
          <w:tcPr>
            <w:tcW w:w="260" w:type="dxa"/>
            <w:vAlign w:val="bottom"/>
            <w:tcBorders>
              <w:top w:val="single" w:sz="8" w:color="D8EEF4"/>
            </w:tcBorders>
            <w:shd w:val="clear" w:color="auto" w:fill="D8EEF4"/>
          </w:tcPr>
          <w:p>
            <w:pPr>
              <w:spacing w:after="0"/>
              <w:rPr>
                <w:sz w:val="16"/>
                <w:szCs w:val="16"/>
                <w:color w:val="auto"/>
              </w:rPr>
            </w:pPr>
          </w:p>
        </w:tc>
        <w:tc>
          <w:tcPr>
            <w:tcW w:w="100" w:type="dxa"/>
            <w:vAlign w:val="bottom"/>
            <w:tcBorders>
              <w:top w:val="single" w:sz="8" w:color="4C4C4E"/>
            </w:tcBorders>
            <w:shd w:val="clear" w:color="auto" w:fill="D8EEF4"/>
          </w:tcPr>
          <w:p>
            <w:pPr>
              <w:spacing w:after="0"/>
              <w:rPr>
                <w:sz w:val="16"/>
                <w:szCs w:val="16"/>
                <w:color w:val="auto"/>
              </w:rPr>
            </w:pPr>
          </w:p>
        </w:tc>
        <w:tc>
          <w:tcPr>
            <w:tcW w:w="1480" w:type="dxa"/>
            <w:vAlign w:val="bottom"/>
            <w:tcBorders>
              <w:top w:val="single" w:sz="8" w:color="4C4C4E"/>
            </w:tcBorders>
            <w:shd w:val="clear" w:color="auto" w:fill="D8EEF4"/>
          </w:tcPr>
          <w:p>
            <w:pPr>
              <w:spacing w:after="0"/>
              <w:rPr>
                <w:sz w:val="16"/>
                <w:szCs w:val="16"/>
                <w:color w:val="auto"/>
              </w:rPr>
            </w:pPr>
          </w:p>
        </w:tc>
        <w:tc>
          <w:tcPr>
            <w:tcW w:w="60" w:type="dxa"/>
            <w:vAlign w:val="bottom"/>
            <w:tcBorders>
              <w:top w:val="single" w:sz="8" w:color="D8EEF4"/>
            </w:tcBorders>
            <w:shd w:val="clear" w:color="auto" w:fill="D8EEF4"/>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4C4C4E"/>
              </w:rPr>
              <w:t>Increase (decrease) in net assets resulting from operations</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170,517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186,566</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222,023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220" w:type="dxa"/>
            <w:vAlign w:val="bottom"/>
            <w:shd w:val="clear" w:color="auto" w:fill="D8EEF4"/>
          </w:tcPr>
          <w:p>
            <w:pPr>
              <w:spacing w:after="0" w:line="183" w:lineRule="exact"/>
              <w:rPr>
                <w:sz w:val="20"/>
                <w:szCs w:val="20"/>
                <w:color w:val="auto"/>
              </w:rPr>
            </w:pPr>
            <w:r>
              <w:rPr>
                <w:rFonts w:ascii="Times New Roman" w:cs="Times New Roman" w:eastAsia="Times New Roman" w:hAnsi="Times New Roman"/>
                <w:sz w:val="16"/>
                <w:szCs w:val="16"/>
                <w:color w:val="4C4C4E"/>
              </w:rPr>
              <w:t>Adjustments to reconcile increase (decrease) in net assets resulting from</w:t>
            </w:r>
          </w:p>
        </w:tc>
        <w:tc>
          <w:tcPr>
            <w:tcW w:w="200" w:type="dxa"/>
            <w:vAlign w:val="bottom"/>
            <w:shd w:val="clear" w:color="auto" w:fill="D8EEF4"/>
          </w:tcPr>
          <w:p>
            <w:pPr>
              <w:spacing w:after="0"/>
              <w:rPr>
                <w:sz w:val="15"/>
                <w:szCs w:val="15"/>
                <w:color w:val="auto"/>
              </w:rPr>
            </w:pPr>
          </w:p>
        </w:tc>
        <w:tc>
          <w:tcPr>
            <w:tcW w:w="100" w:type="dxa"/>
            <w:vAlign w:val="bottom"/>
            <w:shd w:val="clear" w:color="auto" w:fill="D8EEF4"/>
          </w:tcPr>
          <w:p>
            <w:pPr>
              <w:spacing w:after="0"/>
              <w:rPr>
                <w:sz w:val="15"/>
                <w:szCs w:val="15"/>
                <w:color w:val="auto"/>
              </w:rPr>
            </w:pPr>
          </w:p>
        </w:tc>
        <w:tc>
          <w:tcPr>
            <w:tcW w:w="1500" w:type="dxa"/>
            <w:vAlign w:val="bottom"/>
            <w:shd w:val="clear" w:color="auto" w:fill="D8EEF4"/>
          </w:tcPr>
          <w:p>
            <w:pPr>
              <w:spacing w:after="0"/>
              <w:rPr>
                <w:sz w:val="15"/>
                <w:szCs w:val="15"/>
                <w:color w:val="auto"/>
              </w:rPr>
            </w:pPr>
          </w:p>
        </w:tc>
        <w:tc>
          <w:tcPr>
            <w:tcW w:w="100" w:type="dxa"/>
            <w:vAlign w:val="bottom"/>
            <w:shd w:val="clear" w:color="auto" w:fill="D8EEF4"/>
          </w:tcPr>
          <w:p>
            <w:pPr>
              <w:spacing w:after="0"/>
              <w:rPr>
                <w:sz w:val="15"/>
                <w:szCs w:val="15"/>
                <w:color w:val="auto"/>
              </w:rPr>
            </w:pPr>
          </w:p>
        </w:tc>
        <w:tc>
          <w:tcPr>
            <w:tcW w:w="140" w:type="dxa"/>
            <w:vAlign w:val="bottom"/>
            <w:shd w:val="clear" w:color="auto" w:fill="D8EEF4"/>
          </w:tcPr>
          <w:p>
            <w:pPr>
              <w:spacing w:after="0"/>
              <w:rPr>
                <w:sz w:val="15"/>
                <w:szCs w:val="15"/>
                <w:color w:val="auto"/>
              </w:rPr>
            </w:pPr>
          </w:p>
        </w:tc>
        <w:tc>
          <w:tcPr>
            <w:tcW w:w="120" w:type="dxa"/>
            <w:vAlign w:val="bottom"/>
            <w:shd w:val="clear" w:color="auto" w:fill="D8EEF4"/>
          </w:tcPr>
          <w:p>
            <w:pPr>
              <w:spacing w:after="0"/>
              <w:rPr>
                <w:sz w:val="15"/>
                <w:szCs w:val="15"/>
                <w:color w:val="auto"/>
              </w:rPr>
            </w:pPr>
          </w:p>
        </w:tc>
        <w:tc>
          <w:tcPr>
            <w:tcW w:w="1520" w:type="dxa"/>
            <w:vAlign w:val="bottom"/>
            <w:shd w:val="clear" w:color="auto" w:fill="D8EEF4"/>
          </w:tcPr>
          <w:p>
            <w:pPr>
              <w:spacing w:after="0"/>
              <w:rPr>
                <w:sz w:val="15"/>
                <w:szCs w:val="15"/>
                <w:color w:val="auto"/>
              </w:rPr>
            </w:pPr>
          </w:p>
        </w:tc>
        <w:tc>
          <w:tcPr>
            <w:tcW w:w="260" w:type="dxa"/>
            <w:vAlign w:val="bottom"/>
            <w:shd w:val="clear" w:color="auto" w:fill="D8EEF4"/>
          </w:tcPr>
          <w:p>
            <w:pPr>
              <w:spacing w:after="0"/>
              <w:rPr>
                <w:sz w:val="15"/>
                <w:szCs w:val="15"/>
                <w:color w:val="auto"/>
              </w:rPr>
            </w:pPr>
          </w:p>
        </w:tc>
        <w:tc>
          <w:tcPr>
            <w:tcW w:w="100" w:type="dxa"/>
            <w:vAlign w:val="bottom"/>
            <w:shd w:val="clear" w:color="auto" w:fill="D8EEF4"/>
          </w:tcPr>
          <w:p>
            <w:pPr>
              <w:spacing w:after="0"/>
              <w:rPr>
                <w:sz w:val="15"/>
                <w:szCs w:val="15"/>
                <w:color w:val="auto"/>
              </w:rPr>
            </w:pPr>
          </w:p>
        </w:tc>
        <w:tc>
          <w:tcPr>
            <w:tcW w:w="1480" w:type="dxa"/>
            <w:vAlign w:val="bottom"/>
            <w:shd w:val="clear" w:color="auto" w:fill="D8EEF4"/>
          </w:tcPr>
          <w:p>
            <w:pPr>
              <w:spacing w:after="0"/>
              <w:rPr>
                <w:sz w:val="15"/>
                <w:szCs w:val="15"/>
                <w:color w:val="auto"/>
              </w:rPr>
            </w:pPr>
          </w:p>
        </w:tc>
        <w:tc>
          <w:tcPr>
            <w:tcW w:w="60" w:type="dxa"/>
            <w:vAlign w:val="bottom"/>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2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operations to net cash provided by (used in) operating activities:</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520" w:type="dxa"/>
            <w:vAlign w:val="bottom"/>
            <w:shd w:val="clear" w:color="auto" w:fill="D8EEF4"/>
          </w:tcPr>
          <w:p>
            <w:pPr>
              <w:spacing w:after="0"/>
              <w:rPr>
                <w:sz w:val="17"/>
                <w:szCs w:val="17"/>
                <w:color w:val="auto"/>
              </w:rPr>
            </w:pP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80" w:type="dxa"/>
            <w:vAlign w:val="bottom"/>
            <w:shd w:val="clear" w:color="auto" w:fill="D8EEF4"/>
          </w:tcPr>
          <w:p>
            <w:pPr>
              <w:spacing w:after="0"/>
              <w:rPr>
                <w:sz w:val="17"/>
                <w:szCs w:val="17"/>
                <w:color w:val="auto"/>
              </w:rPr>
            </w:pP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Net change in unrealized (gains) losses on investments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4C4C4E"/>
              </w:rPr>
              <w:t>(44,777)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52,794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(18,854)</w:t>
            </w: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Net change in unrealized (gains) losses on foreign currency transactions</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35,915</w:t>
            </w:r>
          </w:p>
        </w:tc>
        <w:tc>
          <w:tcPr>
            <w:tcW w:w="10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780" w:type="dxa"/>
            <w:vAlign w:val="bottom"/>
            <w:gridSpan w:val="2"/>
            <w:shd w:val="clear" w:color="auto" w:fill="D8EEF4"/>
          </w:tcPr>
          <w:p>
            <w:pPr>
              <w:jc w:val="right"/>
              <w:ind w:right="200"/>
              <w:spacing w:after="0"/>
              <w:rPr>
                <w:sz w:val="20"/>
                <w:szCs w:val="20"/>
                <w:color w:val="auto"/>
              </w:rPr>
            </w:pPr>
            <w:r>
              <w:rPr>
                <w:rFonts w:ascii="Times New Roman" w:cs="Times New Roman" w:eastAsia="Times New Roman" w:hAnsi="Times New Roman"/>
                <w:sz w:val="16"/>
                <w:szCs w:val="16"/>
                <w:color w:val="4C4C4E"/>
              </w:rPr>
              <w:t>(13,379)</w:t>
            </w:r>
          </w:p>
        </w:tc>
        <w:tc>
          <w:tcPr>
            <w:tcW w:w="10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6,393</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Net change in unrealized (gains) losses on interest rate swaps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4C4C4E"/>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4C4C4E"/>
              </w:rPr>
              <w:t>—</w:t>
            </w: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(174)</w:t>
            </w: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Net realized (gains) losses on investments</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47,415</w:t>
            </w:r>
          </w:p>
        </w:tc>
        <w:tc>
          <w:tcPr>
            <w:tcW w:w="10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780" w:type="dxa"/>
            <w:vAlign w:val="bottom"/>
            <w:gridSpan w:val="2"/>
            <w:shd w:val="clear" w:color="auto" w:fill="D8EEF4"/>
          </w:tcPr>
          <w:p>
            <w:pPr>
              <w:jc w:val="right"/>
              <w:ind w:right="200"/>
              <w:spacing w:after="0"/>
              <w:rPr>
                <w:sz w:val="20"/>
                <w:szCs w:val="20"/>
                <w:color w:val="auto"/>
              </w:rPr>
            </w:pPr>
            <w:r>
              <w:rPr>
                <w:rFonts w:ascii="Times New Roman" w:cs="Times New Roman" w:eastAsia="Times New Roman" w:hAnsi="Times New Roman"/>
                <w:sz w:val="16"/>
                <w:szCs w:val="16"/>
                <w:color w:val="4C4C4E"/>
              </w:rPr>
              <w:t>(9,037)</w:t>
            </w:r>
          </w:p>
        </w:tc>
        <w:tc>
          <w:tcPr>
            <w:tcW w:w="100" w:type="dxa"/>
            <w:vAlign w:val="bottom"/>
            <w:shd w:val="clear" w:color="auto" w:fill="D8EEF4"/>
          </w:tcPr>
          <w:p>
            <w:pPr>
              <w:spacing w:after="0"/>
              <w:rPr>
                <w:sz w:val="17"/>
                <w:szCs w:val="17"/>
                <w:color w:val="auto"/>
              </w:rPr>
            </w:pPr>
          </w:p>
        </w:tc>
        <w:tc>
          <w:tcPr>
            <w:tcW w:w="15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(12,253)</w:t>
            </w: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Net realized (gains) losses on foreign currency transactions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870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4C4C4E"/>
              </w:rPr>
              <w:t>(610)</w:t>
            </w: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(335)</w:t>
            </w: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Net amortization of discount on investments</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16"/>
                <w:szCs w:val="16"/>
                <w:color w:val="4C4C4E"/>
              </w:rPr>
              <w:t>(26,658)</w:t>
            </w: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780" w:type="dxa"/>
            <w:vAlign w:val="bottom"/>
            <w:gridSpan w:val="2"/>
            <w:shd w:val="clear" w:color="auto" w:fill="D8EEF4"/>
          </w:tcPr>
          <w:p>
            <w:pPr>
              <w:jc w:val="right"/>
              <w:ind w:right="200"/>
              <w:spacing w:after="0"/>
              <w:rPr>
                <w:sz w:val="20"/>
                <w:szCs w:val="20"/>
                <w:color w:val="auto"/>
              </w:rPr>
            </w:pPr>
            <w:r>
              <w:rPr>
                <w:rFonts w:ascii="Times New Roman" w:cs="Times New Roman" w:eastAsia="Times New Roman" w:hAnsi="Times New Roman"/>
                <w:sz w:val="16"/>
                <w:szCs w:val="16"/>
                <w:color w:val="4C4C4E"/>
              </w:rPr>
              <w:t>(21,101)</w:t>
            </w:r>
          </w:p>
        </w:tc>
        <w:tc>
          <w:tcPr>
            <w:tcW w:w="100" w:type="dxa"/>
            <w:vAlign w:val="bottom"/>
            <w:shd w:val="clear" w:color="auto" w:fill="D8EEF4"/>
          </w:tcPr>
          <w:p>
            <w:pPr>
              <w:spacing w:after="0"/>
              <w:rPr>
                <w:sz w:val="17"/>
                <w:szCs w:val="17"/>
                <w:color w:val="auto"/>
              </w:rPr>
            </w:pPr>
          </w:p>
        </w:tc>
        <w:tc>
          <w:tcPr>
            <w:tcW w:w="15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(17,596)</w:t>
            </w: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Amortization of deferred financing costs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6,743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6,903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5,245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Amortization of discount on debt</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1,857</w:t>
            </w:r>
          </w:p>
        </w:tc>
        <w:tc>
          <w:tcPr>
            <w:tcW w:w="10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5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1,614</w:t>
            </w: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899</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Purchases and originations of investments,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4C4C4E"/>
              </w:rPr>
              <w:t>(1,118,107)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4C4C4E"/>
              </w:rPr>
              <w:t>(1,096,140)</w:t>
            </w: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(943,451)</w:t>
            </w: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Proceeds from investments, net</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112,151</w:t>
            </w:r>
          </w:p>
        </w:tc>
        <w:tc>
          <w:tcPr>
            <w:tcW w:w="10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5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85,224</w:t>
            </w: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42,152</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Repayments on investments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1,227,251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778,177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472,536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Paid-in-kind interest</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16"/>
                <w:szCs w:val="16"/>
                <w:color w:val="4C4C4E"/>
              </w:rPr>
              <w:t>(25,075)</w:t>
            </w: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780" w:type="dxa"/>
            <w:vAlign w:val="bottom"/>
            <w:gridSpan w:val="2"/>
            <w:shd w:val="clear" w:color="auto" w:fill="D8EEF4"/>
          </w:tcPr>
          <w:p>
            <w:pPr>
              <w:jc w:val="right"/>
              <w:ind w:right="200"/>
              <w:spacing w:after="0"/>
              <w:rPr>
                <w:sz w:val="20"/>
                <w:szCs w:val="20"/>
                <w:color w:val="auto"/>
              </w:rPr>
            </w:pPr>
            <w:r>
              <w:rPr>
                <w:rFonts w:ascii="Times New Roman" w:cs="Times New Roman" w:eastAsia="Times New Roman" w:hAnsi="Times New Roman"/>
                <w:sz w:val="16"/>
                <w:szCs w:val="16"/>
                <w:color w:val="4C4C4E"/>
              </w:rPr>
              <w:t>(29,612)</w:t>
            </w:r>
          </w:p>
        </w:tc>
        <w:tc>
          <w:tcPr>
            <w:tcW w:w="100" w:type="dxa"/>
            <w:vAlign w:val="bottom"/>
            <w:shd w:val="clear" w:color="auto" w:fill="D8EEF4"/>
          </w:tcPr>
          <w:p>
            <w:pPr>
              <w:spacing w:after="0"/>
              <w:rPr>
                <w:sz w:val="17"/>
                <w:szCs w:val="17"/>
                <w:color w:val="auto"/>
              </w:rPr>
            </w:pPr>
          </w:p>
        </w:tc>
        <w:tc>
          <w:tcPr>
            <w:tcW w:w="15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(18,161)</w:t>
            </w:r>
          </w:p>
        </w:tc>
        <w:tc>
          <w:tcPr>
            <w:tcW w:w="0" w:type="dxa"/>
            <w:vAlign w:val="bottom"/>
          </w:tcPr>
          <w:p>
            <w:pPr>
              <w:spacing w:after="0"/>
              <w:rPr>
                <w:sz w:val="1"/>
                <w:szCs w:val="1"/>
                <w:color w:val="auto"/>
              </w:rPr>
            </w:pPr>
          </w:p>
        </w:tc>
      </w:tr>
      <w:tr>
        <w:trPr>
          <w:trHeight w:val="198"/>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4C4C4E"/>
              </w:rPr>
              <w:t>Changes in operating assets and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Interest receivable</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16"/>
                <w:szCs w:val="16"/>
                <w:color w:val="4C4C4E"/>
              </w:rPr>
              <w:t>(3,103)</w:t>
            </w: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780" w:type="dxa"/>
            <w:vAlign w:val="bottom"/>
            <w:gridSpan w:val="2"/>
            <w:shd w:val="clear" w:color="auto" w:fill="D8EEF4"/>
          </w:tcPr>
          <w:p>
            <w:pPr>
              <w:jc w:val="right"/>
              <w:ind w:right="200"/>
              <w:spacing w:after="0"/>
              <w:rPr>
                <w:sz w:val="20"/>
                <w:szCs w:val="20"/>
                <w:color w:val="auto"/>
              </w:rPr>
            </w:pPr>
            <w:r>
              <w:rPr>
                <w:rFonts w:ascii="Times New Roman" w:cs="Times New Roman" w:eastAsia="Times New Roman" w:hAnsi="Times New Roman"/>
                <w:sz w:val="16"/>
                <w:szCs w:val="16"/>
                <w:color w:val="4C4C4E"/>
              </w:rPr>
              <w:t>(2,826)</w:t>
            </w:r>
          </w:p>
        </w:tc>
        <w:tc>
          <w:tcPr>
            <w:tcW w:w="100" w:type="dxa"/>
            <w:vAlign w:val="bottom"/>
            <w:shd w:val="clear" w:color="auto" w:fill="D8EEF4"/>
          </w:tcPr>
          <w:p>
            <w:pPr>
              <w:spacing w:after="0"/>
              <w:rPr>
                <w:sz w:val="17"/>
                <w:szCs w:val="17"/>
                <w:color w:val="auto"/>
              </w:rPr>
            </w:pPr>
          </w:p>
        </w:tc>
        <w:tc>
          <w:tcPr>
            <w:tcW w:w="15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(7,605)</w:t>
            </w: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Interest receivable paid-in-kind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4C4C4E"/>
              </w:rPr>
              <w:t>(511)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277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(1,518)</w:t>
            </w: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Prepaid expenses and other assets</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16"/>
                <w:szCs w:val="16"/>
                <w:color w:val="4C4C4E"/>
              </w:rPr>
              <w:t>(4,293)</w:t>
            </w: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5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1,628</w:t>
            </w: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(3,049)</w:t>
            </w: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Management fees payable to affiliate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4C4C4E"/>
              </w:rPr>
              <w:t>(159)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991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1,436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Incentive fees on net investment income payable to affiliate</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16"/>
                <w:szCs w:val="16"/>
                <w:color w:val="4C4C4E"/>
              </w:rPr>
              <w:t>(1,677)</w:t>
            </w: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5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562</w:t>
            </w: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533</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Incentive fees on net capital gains accrued to affiliate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4C4C4E"/>
              </w:rPr>
              <w:t>(5,071)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4C4C4E"/>
              </w:rPr>
              <w:t>(5,375)</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4,382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Payable to affiliate</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16"/>
                <w:szCs w:val="16"/>
                <w:color w:val="4C4C4E"/>
              </w:rPr>
              <w:t>(469)</w:t>
            </w: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5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833</w:t>
            </w: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(463)</w:t>
            </w:r>
          </w:p>
        </w:tc>
        <w:tc>
          <w:tcPr>
            <w:tcW w:w="0" w:type="dxa"/>
            <w:vAlign w:val="bottom"/>
          </w:tcPr>
          <w:p>
            <w:pPr>
              <w:spacing w:after="0"/>
              <w:rPr>
                <w:sz w:val="1"/>
                <w:szCs w:val="1"/>
                <w:color w:val="auto"/>
              </w:rPr>
            </w:pPr>
          </w:p>
        </w:tc>
      </w:tr>
      <w:tr>
        <w:trPr>
          <w:trHeight w:val="198"/>
        </w:trPr>
        <w:tc>
          <w:tcPr>
            <w:tcW w:w="5220" w:type="dxa"/>
            <w:vAlign w:val="bottom"/>
            <w:tcBorders>
              <w:bottom w:val="single" w:sz="8" w:color="D8EEF4"/>
            </w:tcBorders>
          </w:tcPr>
          <w:p>
            <w:pPr>
              <w:ind w:left="400"/>
              <w:spacing w:after="0"/>
              <w:rPr>
                <w:sz w:val="20"/>
                <w:szCs w:val="20"/>
                <w:color w:val="auto"/>
              </w:rPr>
            </w:pPr>
            <w:r>
              <w:rPr>
                <w:rFonts w:ascii="Times New Roman" w:cs="Times New Roman" w:eastAsia="Times New Roman" w:hAnsi="Times New Roman"/>
                <w:sz w:val="16"/>
                <w:szCs w:val="16"/>
                <w:color w:val="4C4C4E"/>
              </w:rPr>
              <w:t>Other liabilities</w:t>
            </w:r>
          </w:p>
        </w:tc>
        <w:tc>
          <w:tcPr>
            <w:tcW w:w="20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5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28,758</w:t>
            </w:r>
          </w:p>
        </w:tc>
        <w:tc>
          <w:tcPr>
            <w:tcW w:w="10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120" w:type="dxa"/>
            <w:vAlign w:val="bottom"/>
            <w:tcBorders>
              <w:bottom w:val="single" w:sz="8" w:color="4C4C4E"/>
            </w:tcBorders>
          </w:tcPr>
          <w:p>
            <w:pPr>
              <w:spacing w:after="0"/>
              <w:rPr>
                <w:sz w:val="17"/>
                <w:szCs w:val="17"/>
                <w:color w:val="auto"/>
              </w:rPr>
            </w:pPr>
          </w:p>
        </w:tc>
        <w:tc>
          <w:tcPr>
            <w:tcW w:w="15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17,020</w:t>
            </w:r>
          </w:p>
        </w:tc>
        <w:tc>
          <w:tcPr>
            <w:tcW w:w="26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31,072</w:t>
            </w:r>
          </w:p>
        </w:tc>
        <w:tc>
          <w:tcPr>
            <w:tcW w:w="6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Borders>
              <w:bottom w:val="single" w:sz="8" w:color="D8EEF4"/>
            </w:tcBorders>
            <w:shd w:val="clear" w:color="auto" w:fill="D8EEF4"/>
          </w:tcPr>
          <w:p>
            <w:pPr>
              <w:ind w:left="400"/>
              <w:spacing w:after="0"/>
              <w:rPr>
                <w:sz w:val="20"/>
                <w:szCs w:val="20"/>
                <w:color w:val="auto"/>
              </w:rPr>
            </w:pPr>
            <w:r>
              <w:rPr>
                <w:rFonts w:ascii="Times New Roman" w:cs="Times New Roman" w:eastAsia="Times New Roman" w:hAnsi="Times New Roman"/>
                <w:sz w:val="16"/>
                <w:szCs w:val="16"/>
                <w:b w:val="1"/>
                <w:bCs w:val="1"/>
                <w:color w:val="4C4C4E"/>
              </w:rPr>
              <w:t>Net Cash Provided by (Used in) Operating Activities</w:t>
            </w:r>
          </w:p>
        </w:tc>
        <w:tc>
          <w:tcPr>
            <w:tcW w:w="20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15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401,577</w:t>
            </w:r>
          </w:p>
        </w:tc>
        <w:tc>
          <w:tcPr>
            <w:tcW w:w="100" w:type="dxa"/>
            <w:vAlign w:val="bottom"/>
            <w:tcBorders>
              <w:bottom w:val="single" w:sz="8" w:color="D8EEF4"/>
            </w:tcBorders>
            <w:shd w:val="clear" w:color="auto" w:fill="D8EEF4"/>
          </w:tcPr>
          <w:p>
            <w:pPr>
              <w:spacing w:after="0"/>
              <w:rPr>
                <w:sz w:val="18"/>
                <w:szCs w:val="18"/>
                <w:color w:val="auto"/>
              </w:rPr>
            </w:pPr>
          </w:p>
        </w:tc>
        <w:tc>
          <w:tcPr>
            <w:tcW w:w="140" w:type="dxa"/>
            <w:vAlign w:val="bottom"/>
            <w:tcBorders>
              <w:bottom w:val="single" w:sz="8" w:color="4C4C4E"/>
            </w:tcBorders>
            <w:shd w:val="clear" w:color="auto" w:fill="D8EEF4"/>
          </w:tcPr>
          <w:p>
            <w:pPr>
              <w:spacing w:after="0"/>
              <w:rPr>
                <w:sz w:val="18"/>
                <w:szCs w:val="18"/>
                <w:color w:val="auto"/>
              </w:rPr>
            </w:pPr>
          </w:p>
        </w:tc>
        <w:tc>
          <w:tcPr>
            <w:tcW w:w="120" w:type="dxa"/>
            <w:vAlign w:val="bottom"/>
            <w:tcBorders>
              <w:bottom w:val="single" w:sz="8" w:color="4C4C4E"/>
            </w:tcBorders>
            <w:shd w:val="clear" w:color="auto" w:fill="D8EEF4"/>
          </w:tcPr>
          <w:p>
            <w:pPr>
              <w:spacing w:after="0"/>
              <w:rPr>
                <w:sz w:val="18"/>
                <w:szCs w:val="18"/>
                <w:color w:val="auto"/>
              </w:rPr>
            </w:pPr>
          </w:p>
        </w:tc>
        <w:tc>
          <w:tcPr>
            <w:tcW w:w="15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(45,491)</w:t>
            </w:r>
          </w:p>
        </w:tc>
        <w:tc>
          <w:tcPr>
            <w:tcW w:w="26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spacing w:after="0"/>
              <w:rPr>
                <w:sz w:val="18"/>
                <w:szCs w:val="18"/>
                <w:color w:val="auto"/>
              </w:rPr>
            </w:pPr>
          </w:p>
        </w:tc>
        <w:tc>
          <w:tcPr>
            <w:tcW w:w="14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(236,788</w:t>
            </w:r>
          </w:p>
        </w:tc>
        <w:tc>
          <w:tcPr>
            <w:tcW w:w="60" w:type="dxa"/>
            <w:vAlign w:val="bottom"/>
            <w:tcBorders>
              <w:bottom w:val="single" w:sz="8" w:color="D8EEF4"/>
            </w:tcBorders>
            <w:shd w:val="clear" w:color="auto" w:fill="D8EEF4"/>
          </w:tcPr>
          <w:p>
            <w:pPr>
              <w:jc w:val="right"/>
              <w:spacing w:after="0"/>
              <w:rPr>
                <w:sz w:val="20"/>
                <w:szCs w:val="20"/>
                <w:color w:val="auto"/>
              </w:rPr>
            </w:pPr>
            <w:r>
              <w:rPr>
                <w:rFonts w:ascii="Times New Roman" w:cs="Times New Roman" w:eastAsia="Times New Roman" w:hAnsi="Times New Roman"/>
                <w:sz w:val="8"/>
                <w:szCs w:val="8"/>
                <w:color w:val="4C4C4E"/>
                <w:w w:val="73"/>
                <w:shd w:val="clear" w:color="auto" w:fill="D8EEF4"/>
              </w:rPr>
              <w:t>)</w:t>
            </w:r>
          </w:p>
        </w:tc>
        <w:tc>
          <w:tcPr>
            <w:tcW w:w="0" w:type="dxa"/>
            <w:vAlign w:val="bottom"/>
          </w:tcPr>
          <w:p>
            <w:pPr>
              <w:spacing w:after="0"/>
              <w:rPr>
                <w:sz w:val="1"/>
                <w:szCs w:val="1"/>
                <w:color w:val="auto"/>
              </w:rPr>
            </w:pPr>
          </w:p>
        </w:tc>
      </w:tr>
      <w:tr>
        <w:trPr>
          <w:trHeight w:val="173"/>
        </w:trPr>
        <w:tc>
          <w:tcPr>
            <w:tcW w:w="522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4C4C4E"/>
              </w:rPr>
              <w:t>Cash Flows from Financing Activities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Borrowings on debt</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1,336,176</w:t>
            </w:r>
          </w:p>
        </w:tc>
        <w:tc>
          <w:tcPr>
            <w:tcW w:w="10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5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1,784,906</w:t>
            </w: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1,546,233</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4C4C4E"/>
              </w:rPr>
              <w:t>Repayments on debt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4C4C4E"/>
              </w:rPr>
              <w:t>(1,567,777)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4C4C4E"/>
              </w:rPr>
              <w:t>(1,653,061)</w:t>
            </w: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(1,233,264)</w:t>
            </w: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Deferred financing costs</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60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16"/>
                <w:szCs w:val="16"/>
                <w:color w:val="4C4C4E"/>
              </w:rPr>
              <w:t>(7,317)</w:t>
            </w: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780" w:type="dxa"/>
            <w:vAlign w:val="bottom"/>
            <w:gridSpan w:val="2"/>
            <w:shd w:val="clear" w:color="auto" w:fill="D8EEF4"/>
          </w:tcPr>
          <w:p>
            <w:pPr>
              <w:jc w:val="right"/>
              <w:ind w:right="200"/>
              <w:spacing w:after="0"/>
              <w:rPr>
                <w:sz w:val="20"/>
                <w:szCs w:val="20"/>
                <w:color w:val="auto"/>
              </w:rPr>
            </w:pPr>
            <w:r>
              <w:rPr>
                <w:rFonts w:ascii="Times New Roman" w:cs="Times New Roman" w:eastAsia="Times New Roman" w:hAnsi="Times New Roman"/>
                <w:sz w:val="16"/>
                <w:szCs w:val="16"/>
                <w:color w:val="4C4C4E"/>
              </w:rPr>
              <w:t>(8,810)</w:t>
            </w:r>
          </w:p>
        </w:tc>
        <w:tc>
          <w:tcPr>
            <w:tcW w:w="100" w:type="dxa"/>
            <w:vAlign w:val="bottom"/>
            <w:shd w:val="clear" w:color="auto" w:fill="D8EEF4"/>
          </w:tcPr>
          <w:p>
            <w:pPr>
              <w:spacing w:after="0"/>
              <w:rPr>
                <w:sz w:val="17"/>
                <w:szCs w:val="17"/>
                <w:color w:val="auto"/>
              </w:rPr>
            </w:pPr>
          </w:p>
        </w:tc>
        <w:tc>
          <w:tcPr>
            <w:tcW w:w="15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(9,415)</w:t>
            </w:r>
          </w:p>
        </w:tc>
        <w:tc>
          <w:tcPr>
            <w:tcW w:w="0" w:type="dxa"/>
            <w:vAlign w:val="bottom"/>
          </w:tcPr>
          <w:p>
            <w:pPr>
              <w:spacing w:after="0"/>
              <w:rPr>
                <w:sz w:val="1"/>
                <w:szCs w:val="1"/>
                <w:color w:val="auto"/>
              </w:rPr>
            </w:pPr>
          </w:p>
        </w:tc>
      </w:tr>
      <w:tr>
        <w:trPr>
          <w:trHeight w:val="183"/>
        </w:trPr>
        <w:tc>
          <w:tcPr>
            <w:tcW w:w="52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4C4C4E"/>
              </w:rPr>
              <w:t>Proceeds from issuance of common stock, net of offering and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4C4C4E"/>
              </w:rPr>
              <w:t>underwriting costs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4C4C4E"/>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93,308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89,204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Dividends paid to stockholders</w:t>
            </w:r>
          </w:p>
        </w:tc>
        <w:tc>
          <w:tcPr>
            <w:tcW w:w="200" w:type="dxa"/>
            <w:vAlign w:val="bottom"/>
            <w:shd w:val="clear" w:color="auto" w:fill="D8EEF4"/>
          </w:tcPr>
          <w:p>
            <w:pPr>
              <w:spacing w:after="0"/>
              <w:rPr>
                <w:sz w:val="18"/>
                <w:szCs w:val="18"/>
                <w:color w:val="auto"/>
              </w:rPr>
            </w:pPr>
          </w:p>
        </w:tc>
        <w:tc>
          <w:tcPr>
            <w:tcW w:w="100" w:type="dxa"/>
            <w:vAlign w:val="bottom"/>
            <w:shd w:val="clear" w:color="auto" w:fill="D8EEF4"/>
          </w:tcPr>
          <w:p>
            <w:pPr>
              <w:spacing w:after="0"/>
              <w:rPr>
                <w:sz w:val="18"/>
                <w:szCs w:val="18"/>
                <w:color w:val="auto"/>
              </w:rPr>
            </w:pPr>
          </w:p>
        </w:tc>
        <w:tc>
          <w:tcPr>
            <w:tcW w:w="160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16"/>
                <w:szCs w:val="16"/>
                <w:color w:val="4C4C4E"/>
              </w:rPr>
              <w:t>(170,325)</w:t>
            </w:r>
          </w:p>
        </w:tc>
        <w:tc>
          <w:tcPr>
            <w:tcW w:w="140" w:type="dxa"/>
            <w:vAlign w:val="bottom"/>
            <w:shd w:val="clear" w:color="auto" w:fill="D8EEF4"/>
          </w:tcPr>
          <w:p>
            <w:pPr>
              <w:spacing w:after="0"/>
              <w:rPr>
                <w:sz w:val="18"/>
                <w:szCs w:val="18"/>
                <w:color w:val="auto"/>
              </w:rPr>
            </w:pPr>
          </w:p>
        </w:tc>
        <w:tc>
          <w:tcPr>
            <w:tcW w:w="120" w:type="dxa"/>
            <w:vAlign w:val="bottom"/>
            <w:shd w:val="clear" w:color="auto" w:fill="D8EEF4"/>
          </w:tcPr>
          <w:p>
            <w:pPr>
              <w:spacing w:after="0"/>
              <w:rPr>
                <w:sz w:val="18"/>
                <w:szCs w:val="18"/>
                <w:color w:val="auto"/>
              </w:rPr>
            </w:pPr>
          </w:p>
        </w:tc>
        <w:tc>
          <w:tcPr>
            <w:tcW w:w="1780" w:type="dxa"/>
            <w:vAlign w:val="bottom"/>
            <w:gridSpan w:val="2"/>
            <w:shd w:val="clear" w:color="auto" w:fill="D8EEF4"/>
          </w:tcPr>
          <w:p>
            <w:pPr>
              <w:jc w:val="right"/>
              <w:ind w:right="200"/>
              <w:spacing w:after="0"/>
              <w:rPr>
                <w:sz w:val="20"/>
                <w:szCs w:val="20"/>
                <w:color w:val="auto"/>
              </w:rPr>
            </w:pPr>
            <w:r>
              <w:rPr>
                <w:rFonts w:ascii="Times New Roman" w:cs="Times New Roman" w:eastAsia="Times New Roman" w:hAnsi="Times New Roman"/>
                <w:sz w:val="16"/>
                <w:szCs w:val="16"/>
                <w:color w:val="4C4C4E"/>
              </w:rPr>
              <w:t>(168,720)</w:t>
            </w:r>
          </w:p>
        </w:tc>
        <w:tc>
          <w:tcPr>
            <w:tcW w:w="100" w:type="dxa"/>
            <w:vAlign w:val="bottom"/>
            <w:shd w:val="clear" w:color="auto" w:fill="D8EEF4"/>
          </w:tcPr>
          <w:p>
            <w:pPr>
              <w:spacing w:after="0"/>
              <w:rPr>
                <w:sz w:val="18"/>
                <w:szCs w:val="18"/>
                <w:color w:val="auto"/>
              </w:rPr>
            </w:pPr>
          </w:p>
        </w:tc>
        <w:tc>
          <w:tcPr>
            <w:tcW w:w="154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(156,421)</w:t>
            </w:r>
          </w:p>
        </w:tc>
        <w:tc>
          <w:tcPr>
            <w:tcW w:w="0" w:type="dxa"/>
            <w:vAlign w:val="bottom"/>
          </w:tcPr>
          <w:p>
            <w:pPr>
              <w:spacing w:after="0"/>
              <w:rPr>
                <w:sz w:val="1"/>
                <w:szCs w:val="1"/>
                <w:color w:val="auto"/>
              </w:rPr>
            </w:pPr>
          </w:p>
        </w:tc>
      </w:tr>
      <w:tr>
        <w:trPr>
          <w:trHeight w:val="173"/>
        </w:trPr>
        <w:tc>
          <w:tcPr>
            <w:tcW w:w="5220" w:type="dxa"/>
            <w:vAlign w:val="bottom"/>
            <w:tcBorders>
              <w:top w:val="single" w:sz="8" w:color="D8EEF4"/>
              <w:bottom w:val="single" w:sz="8" w:color="D8EEF4"/>
            </w:tcBorders>
          </w:tcPr>
          <w:p>
            <w:pPr>
              <w:ind w:left="400"/>
              <w:spacing w:after="0" w:line="173" w:lineRule="exact"/>
              <w:rPr>
                <w:sz w:val="20"/>
                <w:szCs w:val="20"/>
                <w:color w:val="auto"/>
              </w:rPr>
            </w:pPr>
            <w:r>
              <w:rPr>
                <w:rFonts w:ascii="Times New Roman" w:cs="Times New Roman" w:eastAsia="Times New Roman" w:hAnsi="Times New Roman"/>
                <w:sz w:val="16"/>
                <w:szCs w:val="16"/>
                <w:b w:val="1"/>
                <w:bCs w:val="1"/>
                <w:color w:val="4C4C4E"/>
              </w:rPr>
              <w:t>Net Cash Provided by (Used in) Financing Activities</w:t>
            </w:r>
          </w:p>
        </w:tc>
        <w:tc>
          <w:tcPr>
            <w:tcW w:w="200" w:type="dxa"/>
            <w:vAlign w:val="bottom"/>
            <w:tcBorders>
              <w:top w:val="single" w:sz="8" w:color="D8EEF4"/>
              <w:bottom w:val="single" w:sz="8" w:color="D8EEF4"/>
            </w:tcBorders>
          </w:tcPr>
          <w:p>
            <w:pPr>
              <w:spacing w:after="0"/>
              <w:rPr>
                <w:sz w:val="15"/>
                <w:szCs w:val="15"/>
                <w:color w:val="auto"/>
              </w:rPr>
            </w:pPr>
          </w:p>
        </w:tc>
        <w:tc>
          <w:tcPr>
            <w:tcW w:w="100" w:type="dxa"/>
            <w:vAlign w:val="bottom"/>
            <w:tcBorders>
              <w:top w:val="single" w:sz="8" w:color="4C4C4E"/>
              <w:bottom w:val="single" w:sz="8" w:color="4C4C4E"/>
            </w:tcBorders>
          </w:tcPr>
          <w:p>
            <w:pPr>
              <w:spacing w:after="0"/>
              <w:rPr>
                <w:sz w:val="15"/>
                <w:szCs w:val="15"/>
                <w:color w:val="auto"/>
              </w:rPr>
            </w:pPr>
          </w:p>
        </w:tc>
        <w:tc>
          <w:tcPr>
            <w:tcW w:w="1500" w:type="dxa"/>
            <w:vAlign w:val="bottom"/>
            <w:tcBorders>
              <w:top w:val="single" w:sz="8" w:color="4C4C4E"/>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(409,243)</w:t>
            </w:r>
          </w:p>
        </w:tc>
        <w:tc>
          <w:tcPr>
            <w:tcW w:w="100" w:type="dxa"/>
            <w:vAlign w:val="bottom"/>
            <w:tcBorders>
              <w:top w:val="single" w:sz="8" w:color="D8EEF4"/>
              <w:bottom w:val="single" w:sz="8" w:color="D8EEF4"/>
            </w:tcBorders>
          </w:tcPr>
          <w:p>
            <w:pPr>
              <w:spacing w:after="0"/>
              <w:rPr>
                <w:sz w:val="15"/>
                <w:szCs w:val="15"/>
                <w:color w:val="auto"/>
              </w:rPr>
            </w:pPr>
          </w:p>
        </w:tc>
        <w:tc>
          <w:tcPr>
            <w:tcW w:w="140" w:type="dxa"/>
            <w:vAlign w:val="bottom"/>
            <w:tcBorders>
              <w:top w:val="single" w:sz="8" w:color="4C4C4E"/>
              <w:bottom w:val="single" w:sz="8" w:color="4C4C4E"/>
            </w:tcBorders>
          </w:tcPr>
          <w:p>
            <w:pPr>
              <w:spacing w:after="0"/>
              <w:rPr>
                <w:sz w:val="15"/>
                <w:szCs w:val="15"/>
                <w:color w:val="auto"/>
              </w:rPr>
            </w:pPr>
          </w:p>
        </w:tc>
        <w:tc>
          <w:tcPr>
            <w:tcW w:w="120" w:type="dxa"/>
            <w:vAlign w:val="bottom"/>
            <w:tcBorders>
              <w:top w:val="single" w:sz="8" w:color="4C4C4E"/>
              <w:bottom w:val="single" w:sz="8" w:color="4C4C4E"/>
            </w:tcBorders>
          </w:tcPr>
          <w:p>
            <w:pPr>
              <w:spacing w:after="0"/>
              <w:rPr>
                <w:sz w:val="15"/>
                <w:szCs w:val="15"/>
                <w:color w:val="auto"/>
              </w:rPr>
            </w:pPr>
          </w:p>
        </w:tc>
        <w:tc>
          <w:tcPr>
            <w:tcW w:w="1520" w:type="dxa"/>
            <w:vAlign w:val="bottom"/>
            <w:tcBorders>
              <w:top w:val="single" w:sz="8" w:color="4C4C4E"/>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47,623</w:t>
            </w:r>
          </w:p>
        </w:tc>
        <w:tc>
          <w:tcPr>
            <w:tcW w:w="260" w:type="dxa"/>
            <w:vAlign w:val="bottom"/>
            <w:tcBorders>
              <w:top w:val="single" w:sz="8" w:color="D8EEF4"/>
              <w:bottom w:val="single" w:sz="8" w:color="D8EEF4"/>
            </w:tcBorders>
          </w:tcPr>
          <w:p>
            <w:pPr>
              <w:spacing w:after="0"/>
              <w:rPr>
                <w:sz w:val="15"/>
                <w:szCs w:val="15"/>
                <w:color w:val="auto"/>
              </w:rPr>
            </w:pPr>
          </w:p>
        </w:tc>
        <w:tc>
          <w:tcPr>
            <w:tcW w:w="100" w:type="dxa"/>
            <w:vAlign w:val="bottom"/>
            <w:tcBorders>
              <w:top w:val="single" w:sz="8" w:color="4C4C4E"/>
              <w:bottom w:val="single" w:sz="8" w:color="4C4C4E"/>
            </w:tcBorders>
          </w:tcPr>
          <w:p>
            <w:pPr>
              <w:spacing w:after="0"/>
              <w:rPr>
                <w:sz w:val="15"/>
                <w:szCs w:val="15"/>
                <w:color w:val="auto"/>
              </w:rPr>
            </w:pPr>
          </w:p>
        </w:tc>
        <w:tc>
          <w:tcPr>
            <w:tcW w:w="1480" w:type="dxa"/>
            <w:vAlign w:val="bottom"/>
            <w:tcBorders>
              <w:top w:val="single" w:sz="8" w:color="4C4C4E"/>
              <w:bottom w:val="single" w:sz="8" w:color="4C4C4E"/>
            </w:tcBorders>
          </w:tcPr>
          <w:p>
            <w:pPr>
              <w:jc w:val="right"/>
              <w:spacing w:after="0" w:line="173" w:lineRule="exact"/>
              <w:rPr>
                <w:sz w:val="20"/>
                <w:szCs w:val="20"/>
                <w:color w:val="auto"/>
              </w:rPr>
            </w:pPr>
            <w:r>
              <w:rPr>
                <w:rFonts w:ascii="Times New Roman" w:cs="Times New Roman" w:eastAsia="Times New Roman" w:hAnsi="Times New Roman"/>
                <w:sz w:val="16"/>
                <w:szCs w:val="16"/>
                <w:color w:val="4C4C4E"/>
              </w:rPr>
              <w:t>236,337</w:t>
            </w:r>
          </w:p>
        </w:tc>
        <w:tc>
          <w:tcPr>
            <w:tcW w:w="60" w:type="dxa"/>
            <w:vAlign w:val="bottom"/>
            <w:tcBorders>
              <w:top w:val="single" w:sz="8" w:color="D8EEF4"/>
              <w:bottom w:val="single" w:sz="8" w:color="D8EEF4"/>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20" w:type="dxa"/>
            <w:vAlign w:val="bottom"/>
            <w:shd w:val="clear" w:color="auto" w:fill="D8EEF4"/>
          </w:tcPr>
          <w:p>
            <w:pPr>
              <w:ind w:left="400"/>
              <w:spacing w:after="0" w:line="174" w:lineRule="exact"/>
              <w:rPr>
                <w:sz w:val="20"/>
                <w:szCs w:val="20"/>
                <w:color w:val="auto"/>
              </w:rPr>
            </w:pPr>
            <w:r>
              <w:rPr>
                <w:rFonts w:ascii="Times New Roman" w:cs="Times New Roman" w:eastAsia="Times New Roman" w:hAnsi="Times New Roman"/>
                <w:sz w:val="16"/>
                <w:szCs w:val="16"/>
                <w:b w:val="1"/>
                <w:bCs w:val="1"/>
                <w:color w:val="4C4C4E"/>
              </w:rPr>
              <w:t>Net Increase (Decrease) in Cash, Cash Equivalents, and Restricted</w:t>
            </w:r>
          </w:p>
        </w:tc>
        <w:tc>
          <w:tcPr>
            <w:tcW w:w="200" w:type="dxa"/>
            <w:vAlign w:val="bottom"/>
            <w:shd w:val="clear" w:color="auto" w:fill="D8EEF4"/>
          </w:tcPr>
          <w:p>
            <w:pPr>
              <w:spacing w:after="0"/>
              <w:rPr>
                <w:sz w:val="15"/>
                <w:szCs w:val="15"/>
                <w:color w:val="auto"/>
              </w:rPr>
            </w:pPr>
          </w:p>
        </w:tc>
        <w:tc>
          <w:tcPr>
            <w:tcW w:w="100" w:type="dxa"/>
            <w:vAlign w:val="bottom"/>
            <w:shd w:val="clear" w:color="auto" w:fill="D8EEF4"/>
          </w:tcPr>
          <w:p>
            <w:pPr>
              <w:spacing w:after="0"/>
              <w:rPr>
                <w:sz w:val="15"/>
                <w:szCs w:val="15"/>
                <w:color w:val="auto"/>
              </w:rPr>
            </w:pPr>
          </w:p>
        </w:tc>
        <w:tc>
          <w:tcPr>
            <w:tcW w:w="1500" w:type="dxa"/>
            <w:vAlign w:val="bottom"/>
            <w:shd w:val="clear" w:color="auto" w:fill="D8EEF4"/>
          </w:tcPr>
          <w:p>
            <w:pPr>
              <w:spacing w:after="0"/>
              <w:rPr>
                <w:sz w:val="15"/>
                <w:szCs w:val="15"/>
                <w:color w:val="auto"/>
              </w:rPr>
            </w:pPr>
          </w:p>
        </w:tc>
        <w:tc>
          <w:tcPr>
            <w:tcW w:w="100" w:type="dxa"/>
            <w:vAlign w:val="bottom"/>
            <w:shd w:val="clear" w:color="auto" w:fill="D8EEF4"/>
          </w:tcPr>
          <w:p>
            <w:pPr>
              <w:spacing w:after="0"/>
              <w:rPr>
                <w:sz w:val="15"/>
                <w:szCs w:val="15"/>
                <w:color w:val="auto"/>
              </w:rPr>
            </w:pPr>
          </w:p>
        </w:tc>
        <w:tc>
          <w:tcPr>
            <w:tcW w:w="140" w:type="dxa"/>
            <w:vAlign w:val="bottom"/>
            <w:shd w:val="clear" w:color="auto" w:fill="D8EEF4"/>
          </w:tcPr>
          <w:p>
            <w:pPr>
              <w:spacing w:after="0"/>
              <w:rPr>
                <w:sz w:val="15"/>
                <w:szCs w:val="15"/>
                <w:color w:val="auto"/>
              </w:rPr>
            </w:pPr>
          </w:p>
        </w:tc>
        <w:tc>
          <w:tcPr>
            <w:tcW w:w="120" w:type="dxa"/>
            <w:vAlign w:val="bottom"/>
            <w:shd w:val="clear" w:color="auto" w:fill="D8EEF4"/>
          </w:tcPr>
          <w:p>
            <w:pPr>
              <w:spacing w:after="0"/>
              <w:rPr>
                <w:sz w:val="15"/>
                <w:szCs w:val="15"/>
                <w:color w:val="auto"/>
              </w:rPr>
            </w:pPr>
          </w:p>
        </w:tc>
        <w:tc>
          <w:tcPr>
            <w:tcW w:w="1520" w:type="dxa"/>
            <w:vAlign w:val="bottom"/>
            <w:shd w:val="clear" w:color="auto" w:fill="D8EEF4"/>
          </w:tcPr>
          <w:p>
            <w:pPr>
              <w:spacing w:after="0"/>
              <w:rPr>
                <w:sz w:val="15"/>
                <w:szCs w:val="15"/>
                <w:color w:val="auto"/>
              </w:rPr>
            </w:pPr>
          </w:p>
        </w:tc>
        <w:tc>
          <w:tcPr>
            <w:tcW w:w="260" w:type="dxa"/>
            <w:vAlign w:val="bottom"/>
            <w:shd w:val="clear" w:color="auto" w:fill="D8EEF4"/>
          </w:tcPr>
          <w:p>
            <w:pPr>
              <w:spacing w:after="0"/>
              <w:rPr>
                <w:sz w:val="15"/>
                <w:szCs w:val="15"/>
                <w:color w:val="auto"/>
              </w:rPr>
            </w:pPr>
          </w:p>
        </w:tc>
        <w:tc>
          <w:tcPr>
            <w:tcW w:w="100" w:type="dxa"/>
            <w:vAlign w:val="bottom"/>
            <w:shd w:val="clear" w:color="auto" w:fill="D8EEF4"/>
          </w:tcPr>
          <w:p>
            <w:pPr>
              <w:spacing w:after="0"/>
              <w:rPr>
                <w:sz w:val="15"/>
                <w:szCs w:val="15"/>
                <w:color w:val="auto"/>
              </w:rPr>
            </w:pPr>
          </w:p>
        </w:tc>
        <w:tc>
          <w:tcPr>
            <w:tcW w:w="1480" w:type="dxa"/>
            <w:vAlign w:val="bottom"/>
            <w:shd w:val="clear" w:color="auto" w:fill="D8EEF4"/>
          </w:tcPr>
          <w:p>
            <w:pPr>
              <w:spacing w:after="0"/>
              <w:rPr>
                <w:sz w:val="15"/>
                <w:szCs w:val="15"/>
                <w:color w:val="auto"/>
              </w:rPr>
            </w:pPr>
          </w:p>
        </w:tc>
        <w:tc>
          <w:tcPr>
            <w:tcW w:w="60" w:type="dxa"/>
            <w:vAlign w:val="bottom"/>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b w:val="1"/>
                <w:bCs w:val="1"/>
                <w:color w:val="4C4C4E"/>
              </w:rPr>
              <w:t>Cash</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(7,666)</w:t>
            </w:r>
          </w:p>
        </w:tc>
        <w:tc>
          <w:tcPr>
            <w:tcW w:w="10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5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2,132</w:t>
            </w: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(451)</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color w:val="4C4C4E"/>
              </w:rPr>
              <w:t>Cash, cash equivalents, and restricted cash, beginning of period</w:t>
            </w:r>
          </w:p>
        </w:tc>
        <w:tc>
          <w:tcPr>
            <w:tcW w:w="20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5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27,328</w:t>
            </w:r>
          </w:p>
        </w:tc>
        <w:tc>
          <w:tcPr>
            <w:tcW w:w="10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120" w:type="dxa"/>
            <w:vAlign w:val="bottom"/>
            <w:tcBorders>
              <w:bottom w:val="single" w:sz="8" w:color="4C4C4E"/>
            </w:tcBorders>
          </w:tcPr>
          <w:p>
            <w:pPr>
              <w:spacing w:after="0"/>
              <w:rPr>
                <w:sz w:val="17"/>
                <w:szCs w:val="17"/>
                <w:color w:val="auto"/>
              </w:rPr>
            </w:pPr>
          </w:p>
        </w:tc>
        <w:tc>
          <w:tcPr>
            <w:tcW w:w="15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25,196</w:t>
            </w:r>
          </w:p>
        </w:tc>
        <w:tc>
          <w:tcPr>
            <w:tcW w:w="26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4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16"/>
                <w:szCs w:val="16"/>
                <w:color w:val="4C4C4E"/>
              </w:rPr>
              <w:t>25,647</w:t>
            </w:r>
          </w:p>
        </w:tc>
        <w:tc>
          <w:tcPr>
            <w:tcW w:w="6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Borders>
              <w:bottom w:val="single" w:sz="8" w:color="D8EEF4"/>
            </w:tcBorders>
            <w:shd w:val="clear" w:color="auto" w:fill="D8EEF4"/>
          </w:tcPr>
          <w:p>
            <w:pPr>
              <w:ind w:left="400"/>
              <w:spacing w:after="0"/>
              <w:rPr>
                <w:sz w:val="20"/>
                <w:szCs w:val="20"/>
                <w:color w:val="auto"/>
              </w:rPr>
            </w:pPr>
            <w:r>
              <w:rPr>
                <w:rFonts w:ascii="Times New Roman" w:cs="Times New Roman" w:eastAsia="Times New Roman" w:hAnsi="Times New Roman"/>
                <w:sz w:val="16"/>
                <w:szCs w:val="16"/>
                <w:b w:val="1"/>
                <w:bCs w:val="1"/>
                <w:color w:val="4C4C4E"/>
              </w:rPr>
              <w:t>Cash, Cash Equivalents, and Restricted Cash, End of Period</w:t>
            </w:r>
          </w:p>
        </w:tc>
        <w:tc>
          <w:tcPr>
            <w:tcW w:w="20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5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19,662</w:t>
            </w:r>
          </w:p>
        </w:tc>
        <w:tc>
          <w:tcPr>
            <w:tcW w:w="100" w:type="dxa"/>
            <w:vAlign w:val="bottom"/>
            <w:tcBorders>
              <w:bottom w:val="single" w:sz="8" w:color="D8EEF4"/>
            </w:tcBorders>
            <w:shd w:val="clear" w:color="auto" w:fill="D8EEF4"/>
          </w:tcPr>
          <w:p>
            <w:pPr>
              <w:spacing w:after="0"/>
              <w:rPr>
                <w:sz w:val="18"/>
                <w:szCs w:val="18"/>
                <w:color w:val="auto"/>
              </w:rPr>
            </w:pPr>
          </w:p>
        </w:tc>
        <w:tc>
          <w:tcPr>
            <w:tcW w:w="260" w:type="dxa"/>
            <w:vAlign w:val="bottom"/>
            <w:tcBorders>
              <w:bottom w:val="single" w:sz="8" w:color="4C4C4E"/>
            </w:tcBorders>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5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27,328</w:t>
            </w:r>
          </w:p>
        </w:tc>
        <w:tc>
          <w:tcPr>
            <w:tcW w:w="260" w:type="dxa"/>
            <w:vAlign w:val="bottom"/>
            <w:tcBorders>
              <w:bottom w:val="single" w:sz="8" w:color="D8EEF4"/>
            </w:tcBorders>
            <w:shd w:val="clear" w:color="auto" w:fill="D8EEF4"/>
          </w:tcPr>
          <w:p>
            <w:pPr>
              <w:spacing w:after="0"/>
              <w:rPr>
                <w:sz w:val="18"/>
                <w:szCs w:val="18"/>
                <w:color w:val="auto"/>
              </w:rPr>
            </w:pPr>
          </w:p>
        </w:tc>
        <w:tc>
          <w:tcPr>
            <w:tcW w:w="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25,196</w:t>
            </w:r>
          </w:p>
        </w:tc>
        <w:tc>
          <w:tcPr>
            <w:tcW w:w="60" w:type="dxa"/>
            <w:vAlign w:val="bottom"/>
            <w:tcBorders>
              <w:bottom w:val="single" w:sz="8" w:color="D8EEF4"/>
            </w:tcBorders>
            <w:shd w:val="clear" w:color="auto" w:fill="D8EE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6"/>
                <w:szCs w:val="16"/>
                <w:color w:val="4C4C4E"/>
              </w:rPr>
              <w:t>Supplemental Information:</w:t>
            </w:r>
          </w:p>
        </w:tc>
        <w:tc>
          <w:tcPr>
            <w:tcW w:w="20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50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1520" w:type="dxa"/>
            <w:vAlign w:val="bottom"/>
            <w:tcBorders>
              <w:bottom w:val="single" w:sz="8" w:color="4C4C4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48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Interest paid during the period</w:t>
            </w:r>
          </w:p>
        </w:tc>
        <w:tc>
          <w:tcPr>
            <w:tcW w:w="3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119,447</w:t>
            </w:r>
          </w:p>
        </w:tc>
        <w:tc>
          <w:tcPr>
            <w:tcW w:w="100" w:type="dxa"/>
            <w:vAlign w:val="bottom"/>
            <w:shd w:val="clear" w:color="auto" w:fill="D8EEF4"/>
          </w:tcPr>
          <w:p>
            <w:pPr>
              <w:spacing w:after="0"/>
              <w:rPr>
                <w:sz w:val="17"/>
                <w:szCs w:val="17"/>
                <w:color w:val="auto"/>
              </w:rPr>
            </w:pPr>
          </w:p>
        </w:tc>
        <w:tc>
          <w:tcPr>
            <w:tcW w:w="26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5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139,783</w:t>
            </w: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119,396</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Excise and other taxes paid during the period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5,777</w:t>
            </w:r>
          </w:p>
        </w:tc>
        <w:tc>
          <w:tcPr>
            <w:tcW w:w="1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2,280</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2,437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ind w:left="400"/>
              <w:spacing w:after="0"/>
              <w:rPr>
                <w:sz w:val="20"/>
                <w:szCs w:val="20"/>
                <w:color w:val="auto"/>
              </w:rPr>
            </w:pPr>
            <w:r>
              <w:rPr>
                <w:rFonts w:ascii="Times New Roman" w:cs="Times New Roman" w:eastAsia="Times New Roman" w:hAnsi="Times New Roman"/>
                <w:sz w:val="16"/>
                <w:szCs w:val="16"/>
                <w:color w:val="4C4C4E"/>
              </w:rPr>
              <w:t>Dividends declared during the period</w:t>
            </w:r>
          </w:p>
        </w:tc>
        <w:tc>
          <w:tcPr>
            <w:tcW w:w="3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5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192,867</w:t>
            </w:r>
          </w:p>
        </w:tc>
        <w:tc>
          <w:tcPr>
            <w:tcW w:w="100" w:type="dxa"/>
            <w:vAlign w:val="bottom"/>
            <w:shd w:val="clear" w:color="auto" w:fill="D8EEF4"/>
          </w:tcPr>
          <w:p>
            <w:pPr>
              <w:spacing w:after="0"/>
              <w:rPr>
                <w:sz w:val="17"/>
                <w:szCs w:val="17"/>
                <w:color w:val="auto"/>
              </w:rPr>
            </w:pPr>
          </w:p>
        </w:tc>
        <w:tc>
          <w:tcPr>
            <w:tcW w:w="26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5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193,443</w:t>
            </w: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6"/>
                <w:szCs w:val="16"/>
                <w:color w:val="4C4C4E"/>
              </w:rPr>
              <w:t>179,966</w:t>
            </w: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D8EEF4"/>
          </w:tcPr>
          <w:p>
            <w:pPr>
              <w:spacing w:after="0"/>
              <w:rPr>
                <w:sz w:val="20"/>
                <w:szCs w:val="20"/>
                <w:color w:val="auto"/>
              </w:rPr>
            </w:pPr>
            <w:r>
              <w:rPr>
                <w:rFonts w:ascii="Times New Roman" w:cs="Times New Roman" w:eastAsia="Times New Roman" w:hAnsi="Times New Roman"/>
                <w:sz w:val="16"/>
                <w:szCs w:val="16"/>
                <w:color w:val="4C4C4E"/>
              </w:rPr>
              <w:t>Non-Cash Financing Activities:</w:t>
            </w:r>
          </w:p>
        </w:tc>
        <w:tc>
          <w:tcPr>
            <w:tcW w:w="2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50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0" w:type="dxa"/>
            <w:vAlign w:val="bottom"/>
            <w:shd w:val="clear" w:color="auto" w:fill="D8EEF4"/>
          </w:tcPr>
          <w:p>
            <w:pPr>
              <w:spacing w:after="0"/>
              <w:rPr>
                <w:sz w:val="17"/>
                <w:szCs w:val="17"/>
                <w:color w:val="auto"/>
              </w:rPr>
            </w:pPr>
          </w:p>
        </w:tc>
        <w:tc>
          <w:tcPr>
            <w:tcW w:w="120" w:type="dxa"/>
            <w:vAlign w:val="bottom"/>
            <w:shd w:val="clear" w:color="auto" w:fill="D8EEF4"/>
          </w:tcPr>
          <w:p>
            <w:pPr>
              <w:spacing w:after="0"/>
              <w:rPr>
                <w:sz w:val="17"/>
                <w:szCs w:val="17"/>
                <w:color w:val="auto"/>
              </w:rPr>
            </w:pPr>
          </w:p>
        </w:tc>
        <w:tc>
          <w:tcPr>
            <w:tcW w:w="1520" w:type="dxa"/>
            <w:vAlign w:val="bottom"/>
            <w:shd w:val="clear" w:color="auto" w:fill="D8EEF4"/>
          </w:tcPr>
          <w:p>
            <w:pPr>
              <w:spacing w:after="0"/>
              <w:rPr>
                <w:sz w:val="17"/>
                <w:szCs w:val="17"/>
                <w:color w:val="auto"/>
              </w:rPr>
            </w:pPr>
          </w:p>
        </w:tc>
        <w:tc>
          <w:tcPr>
            <w:tcW w:w="260" w:type="dxa"/>
            <w:vAlign w:val="bottom"/>
            <w:shd w:val="clear" w:color="auto" w:fill="D8EEF4"/>
          </w:tcPr>
          <w:p>
            <w:pPr>
              <w:spacing w:after="0"/>
              <w:rPr>
                <w:sz w:val="17"/>
                <w:szCs w:val="17"/>
                <w:color w:val="auto"/>
              </w:rPr>
            </w:pPr>
          </w:p>
        </w:tc>
        <w:tc>
          <w:tcPr>
            <w:tcW w:w="100" w:type="dxa"/>
            <w:vAlign w:val="bottom"/>
            <w:shd w:val="clear" w:color="auto" w:fill="D8EEF4"/>
          </w:tcPr>
          <w:p>
            <w:pPr>
              <w:spacing w:after="0"/>
              <w:rPr>
                <w:sz w:val="17"/>
                <w:szCs w:val="17"/>
                <w:color w:val="auto"/>
              </w:rPr>
            </w:pPr>
          </w:p>
        </w:tc>
        <w:tc>
          <w:tcPr>
            <w:tcW w:w="1480" w:type="dxa"/>
            <w:vAlign w:val="bottom"/>
            <w:shd w:val="clear" w:color="auto" w:fill="D8EEF4"/>
          </w:tcPr>
          <w:p>
            <w:pPr>
              <w:spacing w:after="0"/>
              <w:rPr>
                <w:sz w:val="17"/>
                <w:szCs w:val="17"/>
                <w:color w:val="auto"/>
              </w:rPr>
            </w:pPr>
          </w:p>
        </w:tc>
        <w:tc>
          <w:tcPr>
            <w:tcW w:w="60" w:type="dxa"/>
            <w:vAlign w:val="bottom"/>
            <w:shd w:val="clear" w:color="auto" w:fill="D8EEF4"/>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400"/>
              <w:spacing w:after="0"/>
              <w:rPr>
                <w:sz w:val="20"/>
                <w:szCs w:val="20"/>
                <w:color w:val="auto"/>
              </w:rPr>
            </w:pPr>
            <w:r>
              <w:rPr>
                <w:rFonts w:ascii="Times New Roman" w:cs="Times New Roman" w:eastAsia="Times New Roman" w:hAnsi="Times New Roman"/>
                <w:sz w:val="16"/>
                <w:szCs w:val="16"/>
                <w:color w:val="4C4C4E"/>
              </w:rPr>
              <w:t>Reinvestment of dividends during the period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22,542</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C4C4E"/>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24,723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C4C4E"/>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4C4C4E"/>
              </w:rPr>
              <w:t>23,545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The accompanying notes are an integral part of these consolidated financial statements.</w:t>
      </w:r>
    </w:p>
    <w:p>
      <w:pPr>
        <w:sectPr>
          <w:pgSz w:w="11880" w:h="15480" w:orient="portrait"/>
          <w:cols w:equalWidth="0" w:num="1">
            <w:col w:w="10800"/>
          </w:cols>
          <w:pgMar w:left="540" w:top="74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F-26</w:t>
      </w:r>
    </w:p>
    <w:p>
      <w:pPr>
        <w:sectPr>
          <w:pgSz w:w="11880" w:h="15480" w:orient="portrait"/>
          <w:cols w:equalWidth="0" w:num="1">
            <w:col w:w="10800"/>
          </w:cols>
          <w:pgMar w:left="540" w:top="746" w:right="540" w:bottom="6" w:gutter="0" w:footer="0" w:header="0"/>
          <w:type w:val="continuous"/>
        </w:sectPr>
      </w:pPr>
    </w:p>
    <w:bookmarkStart w:id="115" w:name="page116"/>
    <w:bookmarkEnd w:id="115"/>
    <w:p>
      <w:pPr>
        <w:jc w:val="center"/>
        <w:ind w:right="-79"/>
        <w:spacing w:after="0"/>
        <w:rPr>
          <w:sz w:val="20"/>
          <w:szCs w:val="20"/>
          <w:color w:val="auto"/>
        </w:rPr>
      </w:pPr>
      <w:r>
        <w:rPr>
          <w:rFonts w:ascii="Times New Roman" w:cs="Times New Roman" w:eastAsia="Times New Roman" w:hAnsi="Times New Roman"/>
          <w:sz w:val="20"/>
          <w:szCs w:val="20"/>
          <w:b w:val="1"/>
          <w:bCs w:val="1"/>
          <w:color w:val="4C4C4E"/>
        </w:rPr>
        <w:t>Sixth Street Specialty Lending, Inc.</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4C4C4E"/>
        </w:rPr>
        <w:t>Notes to Consolidated Financial Statements</w:t>
      </w:r>
    </w:p>
    <w:p>
      <w:pPr>
        <w:jc w:val="center"/>
        <w:ind w:right="-79"/>
        <w:spacing w:after="0"/>
        <w:rPr>
          <w:sz w:val="20"/>
          <w:szCs w:val="20"/>
          <w:color w:val="auto"/>
        </w:rPr>
      </w:pPr>
      <w:r>
        <w:rPr>
          <w:rFonts w:ascii="Times New Roman" w:cs="Times New Roman" w:eastAsia="Times New Roman" w:hAnsi="Times New Roman"/>
          <w:sz w:val="20"/>
          <w:szCs w:val="20"/>
          <w:b w:val="1"/>
          <w:bCs w:val="1"/>
          <w:color w:val="4C4C4E"/>
        </w:rPr>
        <w:t>(Amounts in thousands, unless otherwise indicated)</w:t>
      </w:r>
    </w:p>
    <w:p>
      <w:pPr>
        <w:spacing w:after="0" w:line="236" w:lineRule="exact"/>
        <w:rPr>
          <w:sz w:val="20"/>
          <w:szCs w:val="20"/>
          <w:color w:val="auto"/>
        </w:rPr>
      </w:pPr>
    </w:p>
    <w:p>
      <w:pPr>
        <w:ind w:right="7180"/>
        <w:spacing w:after="0" w:line="357" w:lineRule="auto"/>
        <w:tabs>
          <w:tab w:leader="none" w:pos="200" w:val="left"/>
        </w:tabs>
        <w:numPr>
          <w:ilvl w:val="0"/>
          <w:numId w:val="79"/>
        </w:numPr>
        <w:rPr>
          <w:rFonts w:ascii="Times New Roman" w:cs="Times New Roman" w:eastAsia="Times New Roman" w:hAnsi="Times New Roman"/>
          <w:sz w:val="20"/>
          <w:szCs w:val="20"/>
          <w:b w:val="1"/>
          <w:bCs w:val="1"/>
          <w:color w:val="4C4C4E"/>
        </w:rPr>
      </w:pPr>
      <w:r>
        <w:rPr>
          <w:rFonts w:ascii="Times New Roman" w:cs="Times New Roman" w:eastAsia="Times New Roman" w:hAnsi="Times New Roman"/>
          <w:sz w:val="20"/>
          <w:szCs w:val="20"/>
          <w:b w:val="1"/>
          <w:bCs w:val="1"/>
          <w:color w:val="4C4C4E"/>
        </w:rPr>
        <w:t xml:space="preserve">Organization and Basis of Presentation </w:t>
      </w:r>
      <w:r>
        <w:rPr>
          <w:rFonts w:ascii="Times New Roman" w:cs="Times New Roman" w:eastAsia="Times New Roman" w:hAnsi="Times New Roman"/>
          <w:sz w:val="20"/>
          <w:szCs w:val="20"/>
          <w:i w:val="1"/>
          <w:iCs w:val="1"/>
          <w:color w:val="4C4C4E"/>
        </w:rPr>
        <w:t>Organization</w:t>
      </w:r>
    </w:p>
    <w:p>
      <w:pPr>
        <w:spacing w:after="0" w:line="1" w:lineRule="exact"/>
        <w:rPr>
          <w:sz w:val="20"/>
          <w:szCs w:val="20"/>
          <w:color w:val="auto"/>
        </w:rPr>
      </w:pPr>
    </w:p>
    <w:p>
      <w:pPr>
        <w:ind w:firstLine="245"/>
        <w:spacing w:after="0" w:line="239" w:lineRule="auto"/>
        <w:rPr>
          <w:sz w:val="20"/>
          <w:szCs w:val="20"/>
          <w:color w:val="auto"/>
        </w:rPr>
      </w:pPr>
      <w:r>
        <w:rPr>
          <w:rFonts w:ascii="Times New Roman" w:cs="Times New Roman" w:eastAsia="Times New Roman" w:hAnsi="Times New Roman"/>
          <w:sz w:val="20"/>
          <w:szCs w:val="20"/>
          <w:color w:val="4C4C4E"/>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On June 1, 2011, the Company formed a wholly-owned subsidiary, TC Lending, LLC, a Delaware limited liability company.</w:t>
      </w:r>
    </w:p>
    <w:p>
      <w:pPr>
        <w:spacing w:after="0" w:line="110" w:lineRule="exact"/>
        <w:rPr>
          <w:sz w:val="20"/>
          <w:szCs w:val="20"/>
          <w:color w:val="auto"/>
        </w:rPr>
      </w:pPr>
    </w:p>
    <w:p>
      <w:pPr>
        <w:ind w:right="380" w:firstLine="245"/>
        <w:spacing w:after="0" w:line="267" w:lineRule="auto"/>
        <w:rPr>
          <w:sz w:val="20"/>
          <w:szCs w:val="20"/>
          <w:color w:val="auto"/>
        </w:rPr>
      </w:pPr>
      <w:r>
        <w:rPr>
          <w:rFonts w:ascii="Times New Roman" w:cs="Times New Roman" w:eastAsia="Times New Roman" w:hAnsi="Times New Roman"/>
          <w:sz w:val="20"/>
          <w:szCs w:val="20"/>
          <w:color w:val="4C4C4E"/>
        </w:rPr>
        <w:t>On March 22, 2012, the Company formed a wholly-owned subsidiary, Sixth Street SL SPV, LLC, a Delaware limited liability company.</w:t>
      </w:r>
    </w:p>
    <w:p>
      <w:pPr>
        <w:spacing w:after="0" w:line="49" w:lineRule="exact"/>
        <w:rPr>
          <w:sz w:val="20"/>
          <w:szCs w:val="20"/>
          <w:color w:val="auto"/>
        </w:rPr>
      </w:pPr>
    </w:p>
    <w:p>
      <w:pPr>
        <w:ind w:right="240" w:firstLine="245"/>
        <w:spacing w:after="0" w:line="267" w:lineRule="auto"/>
        <w:rPr>
          <w:sz w:val="20"/>
          <w:szCs w:val="20"/>
          <w:color w:val="auto"/>
        </w:rPr>
      </w:pPr>
      <w:r>
        <w:rPr>
          <w:rFonts w:ascii="Times New Roman" w:cs="Times New Roman" w:eastAsia="Times New Roman" w:hAnsi="Times New Roman"/>
          <w:sz w:val="20"/>
          <w:szCs w:val="20"/>
          <w:color w:val="4C4C4E"/>
        </w:rPr>
        <w:t>On May 19, 2014, the Company formed a wholly-owned subsidiary, Sixth Street SL Holding, LLC, a Delaware limited liability company.</w:t>
      </w:r>
    </w:p>
    <w:p>
      <w:pPr>
        <w:spacing w:after="0" w:line="49" w:lineRule="exact"/>
        <w:rPr>
          <w:sz w:val="20"/>
          <w:szCs w:val="20"/>
          <w:color w:val="auto"/>
        </w:rPr>
      </w:pPr>
    </w:p>
    <w:p>
      <w:pPr>
        <w:ind w:right="400" w:firstLine="245"/>
        <w:spacing w:after="0" w:line="267" w:lineRule="auto"/>
        <w:rPr>
          <w:sz w:val="20"/>
          <w:szCs w:val="20"/>
          <w:color w:val="auto"/>
        </w:rPr>
      </w:pPr>
      <w:r>
        <w:rPr>
          <w:rFonts w:ascii="Times New Roman" w:cs="Times New Roman" w:eastAsia="Times New Roman" w:hAnsi="Times New Roman"/>
          <w:sz w:val="20"/>
          <w:szCs w:val="20"/>
          <w:color w:val="4C4C4E"/>
        </w:rPr>
        <w:t>On December 9, 2020, the Company formed a wholly-owned subsidiary, Sixth Street Specialty Lending Sub, LLC, a Cayman Islands limited liability company.</w:t>
      </w:r>
    </w:p>
    <w:p>
      <w:pPr>
        <w:spacing w:after="0" w:line="169" w:lineRule="exact"/>
        <w:rPr>
          <w:sz w:val="20"/>
          <w:szCs w:val="20"/>
          <w:color w:val="auto"/>
        </w:rPr>
      </w:pPr>
    </w:p>
    <w:p>
      <w:pPr>
        <w:ind w:right="320" w:firstLine="245"/>
        <w:spacing w:after="0" w:line="267" w:lineRule="auto"/>
        <w:rPr>
          <w:sz w:val="20"/>
          <w:szCs w:val="20"/>
          <w:color w:val="auto"/>
        </w:rPr>
      </w:pPr>
      <w:r>
        <w:rPr>
          <w:rFonts w:ascii="Times New Roman" w:cs="Times New Roman" w:eastAsia="Times New Roman" w:hAnsi="Times New Roman"/>
          <w:sz w:val="20"/>
          <w:szCs w:val="20"/>
          <w:color w:val="4C4C4E"/>
        </w:rPr>
        <w:t>On March 21, 2014, the Company completed its initial public offering (“IPO”) and the Company’s shares began trading on the New York Stock Exchange (“NYSE”) under the symbol “TSLX.”</w:t>
      </w:r>
    </w:p>
    <w:p>
      <w:pPr>
        <w:spacing w:after="0" w:line="49" w:lineRule="exact"/>
        <w:rPr>
          <w:sz w:val="20"/>
          <w:szCs w:val="20"/>
          <w:color w:val="auto"/>
        </w:rPr>
      </w:pPr>
    </w:p>
    <w:p>
      <w:pPr>
        <w:ind w:right="120" w:firstLine="245"/>
        <w:spacing w:after="0" w:line="237" w:lineRule="auto"/>
        <w:rPr>
          <w:sz w:val="20"/>
          <w:szCs w:val="20"/>
          <w:color w:val="auto"/>
        </w:rPr>
      </w:pPr>
      <w:r>
        <w:rPr>
          <w:rFonts w:ascii="Times New Roman" w:cs="Times New Roman" w:eastAsia="Times New Roman" w:hAnsi="Times New Roman"/>
          <w:sz w:val="20"/>
          <w:szCs w:val="20"/>
          <w:color w:val="4C4C4E"/>
        </w:rPr>
        <w:t>On December 23, 2025, affiliates of Sixth Street, including the Company,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The Company has 25.0% voting ownership in SCP and has commitments to fund, from time to time, capital of up to $200.0 million. Refer to Note 6, Fair Value of Financial Instruments, to these consolidated financial statements for further details.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Basis of Presentation</w:t>
      </w:r>
    </w:p>
    <w:p>
      <w:pPr>
        <w:spacing w:after="0" w:line="108" w:lineRule="exact"/>
        <w:rPr>
          <w:sz w:val="20"/>
          <w:szCs w:val="20"/>
          <w:color w:val="auto"/>
        </w:rPr>
      </w:pPr>
    </w:p>
    <w:p>
      <w:pPr>
        <w:ind w:right="120" w:firstLine="245"/>
        <w:spacing w:after="0" w:line="242" w:lineRule="auto"/>
        <w:rPr>
          <w:sz w:val="20"/>
          <w:szCs w:val="20"/>
          <w:color w:val="auto"/>
        </w:rPr>
      </w:pPr>
      <w:r>
        <w:rPr>
          <w:rFonts w:ascii="Times New Roman" w:cs="Times New Roman" w:eastAsia="Times New Roman" w:hAnsi="Times New Roman"/>
          <w:sz w:val="20"/>
          <w:szCs w:val="20"/>
          <w:color w:val="4C4C4E"/>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94" w:lineRule="exact"/>
        <w:rPr>
          <w:sz w:val="20"/>
          <w:szCs w:val="20"/>
          <w:color w:val="auto"/>
        </w:rPr>
      </w:pPr>
    </w:p>
    <w:p>
      <w:pPr>
        <w:ind w:right="140" w:firstLine="245"/>
        <w:spacing w:after="0" w:line="267" w:lineRule="auto"/>
        <w:rPr>
          <w:sz w:val="20"/>
          <w:szCs w:val="20"/>
          <w:color w:val="auto"/>
        </w:rPr>
      </w:pPr>
      <w:r>
        <w:rPr>
          <w:rFonts w:ascii="Times New Roman" w:cs="Times New Roman" w:eastAsia="Times New Roman" w:hAnsi="Times New Roman"/>
          <w:sz w:val="20"/>
          <w:szCs w:val="20"/>
          <w:color w:val="4C4C4E"/>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20"/>
          <w:szCs w:val="20"/>
          <w:i w:val="1"/>
          <w:iCs w:val="1"/>
          <w:color w:val="4C4C4E"/>
        </w:rPr>
        <w:t>Financial Services – Investment Companies.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Fiscal Year End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Company’s fiscal year ends on December 31.</w:t>
      </w:r>
    </w:p>
    <w:p>
      <w:pPr>
        <w:spacing w:after="0" w:line="346" w:lineRule="exact"/>
        <w:rPr>
          <w:sz w:val="20"/>
          <w:szCs w:val="20"/>
          <w:color w:val="auto"/>
        </w:rPr>
      </w:pPr>
    </w:p>
    <w:p>
      <w:pPr>
        <w:ind w:right="7880"/>
        <w:spacing w:after="0" w:line="357" w:lineRule="auto"/>
        <w:tabs>
          <w:tab w:leader="none" w:pos="200" w:val="left"/>
        </w:tabs>
        <w:numPr>
          <w:ilvl w:val="0"/>
          <w:numId w:val="80"/>
        </w:numPr>
        <w:rPr>
          <w:rFonts w:ascii="Times New Roman" w:cs="Times New Roman" w:eastAsia="Times New Roman" w:hAnsi="Times New Roman"/>
          <w:sz w:val="20"/>
          <w:szCs w:val="20"/>
          <w:b w:val="1"/>
          <w:bCs w:val="1"/>
          <w:color w:val="4C4C4E"/>
        </w:rPr>
      </w:pPr>
      <w:r>
        <w:rPr>
          <w:rFonts w:ascii="Times New Roman" w:cs="Times New Roman" w:eastAsia="Times New Roman" w:hAnsi="Times New Roman"/>
          <w:sz w:val="20"/>
          <w:szCs w:val="20"/>
          <w:b w:val="1"/>
          <w:bCs w:val="1"/>
          <w:color w:val="4C4C4E"/>
        </w:rPr>
        <w:t xml:space="preserve">Significant Accounting Policies </w:t>
      </w:r>
      <w:r>
        <w:rPr>
          <w:rFonts w:ascii="Times New Roman" w:cs="Times New Roman" w:eastAsia="Times New Roman" w:hAnsi="Times New Roman"/>
          <w:sz w:val="20"/>
          <w:szCs w:val="20"/>
          <w:i w:val="1"/>
          <w:iCs w:val="1"/>
          <w:color w:val="4C4C4E"/>
        </w:rPr>
        <w:t>Use of Estimates</w:t>
      </w:r>
    </w:p>
    <w:p>
      <w:pPr>
        <w:spacing w:after="0" w:line="1" w:lineRule="exact"/>
        <w:rPr>
          <w:sz w:val="20"/>
          <w:szCs w:val="20"/>
          <w:color w:val="auto"/>
        </w:rPr>
      </w:pPr>
    </w:p>
    <w:p>
      <w:pPr>
        <w:ind w:right="160" w:firstLine="245"/>
        <w:spacing w:after="0" w:line="248" w:lineRule="auto"/>
        <w:rPr>
          <w:sz w:val="20"/>
          <w:szCs w:val="20"/>
          <w:color w:val="auto"/>
        </w:rPr>
      </w:pPr>
      <w:r>
        <w:rPr>
          <w:rFonts w:ascii="Times New Roman" w:cs="Times New Roman" w:eastAsia="Times New Roman" w:hAnsi="Times New Roman"/>
          <w:sz w:val="20"/>
          <w:szCs w:val="20"/>
          <w:color w:val="4C4C4E"/>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Cash and Cash Equivalents</w:t>
      </w:r>
    </w:p>
    <w:p>
      <w:pPr>
        <w:spacing w:after="0" w:line="108" w:lineRule="exact"/>
        <w:rPr>
          <w:sz w:val="20"/>
          <w:szCs w:val="20"/>
          <w:color w:val="auto"/>
        </w:rPr>
      </w:pPr>
    </w:p>
    <w:p>
      <w:pPr>
        <w:ind w:right="240" w:firstLine="245"/>
        <w:spacing w:after="0" w:line="239" w:lineRule="auto"/>
        <w:rPr>
          <w:sz w:val="20"/>
          <w:szCs w:val="20"/>
          <w:color w:val="auto"/>
        </w:rPr>
      </w:pPr>
      <w:r>
        <w:rPr>
          <w:rFonts w:ascii="Times New Roman" w:cs="Times New Roman" w:eastAsia="Times New Roman" w:hAnsi="Times New Roman"/>
          <w:sz w:val="20"/>
          <w:szCs w:val="20"/>
          <w:color w:val="4C4C4E"/>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C4C4E"/>
        </w:rPr>
        <w:t>F-27</w:t>
      </w:r>
    </w:p>
    <w:p>
      <w:pPr>
        <w:sectPr>
          <w:pgSz w:w="11880" w:h="15480" w:orient="portrait"/>
          <w:cols w:equalWidth="0" w:num="1">
            <w:col w:w="10720"/>
          </w:cols>
          <w:pgMar w:left="540" w:top="746" w:right="620" w:bottom="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i w:val="1"/>
          <w:iCs w:val="1"/>
          <w:color w:val="4C4C4E"/>
        </w:rPr>
        <w:t>Investments at Fair Value</w:t>
      </w:r>
    </w:p>
    <w:p>
      <w:pPr>
        <w:spacing w:after="0" w:line="108" w:lineRule="exact"/>
        <w:rPr>
          <w:sz w:val="20"/>
          <w:szCs w:val="20"/>
          <w:color w:val="auto"/>
        </w:rPr>
      </w:pPr>
    </w:p>
    <w:p>
      <w:pPr>
        <w:ind w:firstLine="245"/>
        <w:spacing w:after="0" w:line="237" w:lineRule="auto"/>
        <w:rPr>
          <w:sz w:val="20"/>
          <w:szCs w:val="20"/>
          <w:color w:val="auto"/>
        </w:rPr>
      </w:pPr>
      <w:r>
        <w:rPr>
          <w:rFonts w:ascii="Times New Roman" w:cs="Times New Roman" w:eastAsia="Times New Roman" w:hAnsi="Times New Roman"/>
          <w:sz w:val="20"/>
          <w:szCs w:val="20"/>
          <w:color w:val="4C4C4E"/>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208" w:lineRule="exact"/>
        <w:rPr>
          <w:sz w:val="20"/>
          <w:szCs w:val="20"/>
          <w:color w:val="auto"/>
        </w:rPr>
      </w:pPr>
    </w:p>
    <w:p>
      <w:pPr>
        <w:ind w:right="100" w:firstLine="245"/>
        <w:spacing w:after="0" w:line="247" w:lineRule="auto"/>
        <w:rPr>
          <w:sz w:val="20"/>
          <w:szCs w:val="20"/>
          <w:color w:val="auto"/>
        </w:rPr>
      </w:pPr>
      <w:r>
        <w:rPr>
          <w:rFonts w:ascii="Times New Roman" w:cs="Times New Roman" w:eastAsia="Times New Roman" w:hAnsi="Times New Roman"/>
          <w:sz w:val="20"/>
          <w:szCs w:val="20"/>
          <w:color w:val="4C4C4E"/>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200" w:lineRule="exact"/>
        <w:rPr>
          <w:sz w:val="20"/>
          <w:szCs w:val="20"/>
          <w:color w:val="auto"/>
        </w:rPr>
      </w:pPr>
    </w:p>
    <w:p>
      <w:pPr>
        <w:ind w:right="140" w:firstLine="245"/>
        <w:spacing w:after="0" w:line="245" w:lineRule="auto"/>
        <w:rPr>
          <w:sz w:val="20"/>
          <w:szCs w:val="20"/>
          <w:color w:val="auto"/>
        </w:rPr>
      </w:pPr>
      <w:r>
        <w:rPr>
          <w:rFonts w:ascii="Times New Roman" w:cs="Times New Roman" w:eastAsia="Times New Roman" w:hAnsi="Times New Roman"/>
          <w:sz w:val="20"/>
          <w:szCs w:val="20"/>
          <w:color w:val="4C4C4E"/>
        </w:rPr>
        <w:t>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Board undertakes a multi-step valuation process, which includes, among other procedures, the following:</w:t>
      </w:r>
    </w:p>
    <w:p>
      <w:pPr>
        <w:spacing w:after="0" w:line="134" w:lineRule="exact"/>
        <w:rPr>
          <w:sz w:val="20"/>
          <w:szCs w:val="20"/>
          <w:color w:val="auto"/>
        </w:rPr>
      </w:pPr>
    </w:p>
    <w:p>
      <w:pPr>
        <w:ind w:left="500" w:right="340" w:hanging="255"/>
        <w:spacing w:after="0" w:line="276" w:lineRule="auto"/>
        <w:tabs>
          <w:tab w:leader="none" w:pos="500" w:val="left"/>
        </w:tabs>
        <w:numPr>
          <w:ilvl w:val="0"/>
          <w:numId w:val="81"/>
        </w:numPr>
        <w:rPr>
          <w:rFonts w:ascii="Arial" w:cs="Arial" w:eastAsia="Arial" w:hAnsi="Arial"/>
          <w:sz w:val="20"/>
          <w:szCs w:val="20"/>
          <w:color w:val="4C4C4E"/>
        </w:rPr>
      </w:pPr>
      <w:r>
        <w:rPr>
          <w:rFonts w:ascii="Times New Roman" w:cs="Times New Roman" w:eastAsia="Times New Roman" w:hAnsi="Times New Roman"/>
          <w:sz w:val="20"/>
          <w:szCs w:val="20"/>
          <w:color w:val="4C4C4E"/>
        </w:rPr>
        <w:t>The valuation process begins with each investment being initially valued by the investment professionals responsible for the portfolio investment in conjunction with the portfolio management team.</w:t>
      </w:r>
    </w:p>
    <w:p>
      <w:pPr>
        <w:spacing w:after="0" w:line="64" w:lineRule="exact"/>
        <w:rPr>
          <w:rFonts w:ascii="Arial" w:cs="Arial" w:eastAsia="Arial" w:hAnsi="Arial"/>
          <w:sz w:val="20"/>
          <w:szCs w:val="20"/>
          <w:color w:val="4C4C4E"/>
        </w:rPr>
      </w:pPr>
    </w:p>
    <w:p>
      <w:pPr>
        <w:ind w:left="500" w:right="580" w:hanging="255"/>
        <w:spacing w:after="0" w:line="276" w:lineRule="auto"/>
        <w:tabs>
          <w:tab w:leader="none" w:pos="500" w:val="left"/>
        </w:tabs>
        <w:numPr>
          <w:ilvl w:val="0"/>
          <w:numId w:val="81"/>
        </w:numPr>
        <w:rPr>
          <w:rFonts w:ascii="Arial" w:cs="Arial" w:eastAsia="Arial" w:hAnsi="Arial"/>
          <w:sz w:val="20"/>
          <w:szCs w:val="20"/>
          <w:color w:val="4C4C4E"/>
        </w:rPr>
      </w:pPr>
      <w:r>
        <w:rPr>
          <w:rFonts w:ascii="Times New Roman" w:cs="Times New Roman" w:eastAsia="Times New Roman" w:hAnsi="Times New Roman"/>
          <w:sz w:val="20"/>
          <w:szCs w:val="20"/>
          <w:color w:val="4C4C4E"/>
        </w:rPr>
        <w:t>The Adviser’s management reviews the preliminary valuations with the investment professionals. Agreed upon valuation recommendations are presented to the Audit Committee.</w:t>
      </w:r>
    </w:p>
    <w:p>
      <w:pPr>
        <w:spacing w:after="0" w:line="64" w:lineRule="exact"/>
        <w:rPr>
          <w:rFonts w:ascii="Arial" w:cs="Arial" w:eastAsia="Arial" w:hAnsi="Arial"/>
          <w:sz w:val="20"/>
          <w:szCs w:val="20"/>
          <w:color w:val="4C4C4E"/>
        </w:rPr>
      </w:pPr>
    </w:p>
    <w:p>
      <w:pPr>
        <w:ind w:left="500" w:hanging="255"/>
        <w:spacing w:after="0"/>
        <w:tabs>
          <w:tab w:leader="none" w:pos="500" w:val="left"/>
        </w:tabs>
        <w:numPr>
          <w:ilvl w:val="0"/>
          <w:numId w:val="81"/>
        </w:numPr>
        <w:rPr>
          <w:rFonts w:ascii="Arial" w:cs="Arial" w:eastAsia="Arial" w:hAnsi="Arial"/>
          <w:sz w:val="20"/>
          <w:szCs w:val="20"/>
          <w:color w:val="4C4C4E"/>
        </w:rPr>
      </w:pPr>
      <w:r>
        <w:rPr>
          <w:rFonts w:ascii="Times New Roman" w:cs="Times New Roman" w:eastAsia="Times New Roman" w:hAnsi="Times New Roman"/>
          <w:sz w:val="20"/>
          <w:szCs w:val="20"/>
          <w:color w:val="4C4C4E"/>
        </w:rPr>
        <w:t>The Audit Committee reviews the valuations presented and recommends values for each investment to the Board.</w:t>
      </w:r>
    </w:p>
    <w:p>
      <w:pPr>
        <w:spacing w:after="0" w:line="133" w:lineRule="exact"/>
        <w:rPr>
          <w:rFonts w:ascii="Arial" w:cs="Arial" w:eastAsia="Arial" w:hAnsi="Arial"/>
          <w:sz w:val="20"/>
          <w:szCs w:val="20"/>
          <w:color w:val="4C4C4E"/>
        </w:rPr>
      </w:pPr>
    </w:p>
    <w:p>
      <w:pPr>
        <w:ind w:left="500" w:right="100" w:hanging="255"/>
        <w:spacing w:after="0" w:line="252" w:lineRule="auto"/>
        <w:tabs>
          <w:tab w:leader="none" w:pos="500" w:val="left"/>
        </w:tabs>
        <w:numPr>
          <w:ilvl w:val="0"/>
          <w:numId w:val="81"/>
        </w:numPr>
        <w:rPr>
          <w:rFonts w:ascii="Arial" w:cs="Arial" w:eastAsia="Arial" w:hAnsi="Arial"/>
          <w:sz w:val="20"/>
          <w:szCs w:val="20"/>
          <w:color w:val="4C4C4E"/>
        </w:rPr>
      </w:pPr>
      <w:r>
        <w:rPr>
          <w:rFonts w:ascii="Times New Roman" w:cs="Times New Roman" w:eastAsia="Times New Roman" w:hAnsi="Times New Roman"/>
          <w:sz w:val="20"/>
          <w:szCs w:val="20"/>
          <w:color w:val="4C4C4E"/>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Company conducts this valuation process on a quarterly basis.</w:t>
      </w:r>
    </w:p>
    <w:p>
      <w:pPr>
        <w:spacing w:after="0" w:line="240"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20"/>
          <w:szCs w:val="20"/>
          <w:color w:val="4C4C4E"/>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2025,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97"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4C4C4E"/>
        </w:rPr>
        <w:t xml:space="preserve">The Company applies Financial Accounting Standards Board Accounting Standards Codification Topic 820, </w:t>
      </w:r>
      <w:r>
        <w:rPr>
          <w:rFonts w:ascii="Times New Roman" w:cs="Times New Roman" w:eastAsia="Times New Roman" w:hAnsi="Times New Roman"/>
          <w:sz w:val="20"/>
          <w:szCs w:val="20"/>
          <w:i w:val="1"/>
          <w:iCs w:val="1"/>
          <w:color w:val="4C4C4E"/>
        </w:rPr>
        <w:t>Fair Value</w:t>
      </w:r>
      <w:r>
        <w:rPr>
          <w:rFonts w:ascii="Times New Roman" w:cs="Times New Roman" w:eastAsia="Times New Roman" w:hAnsi="Times New Roman"/>
          <w:sz w:val="20"/>
          <w:szCs w:val="20"/>
          <w:color w:val="4C4C4E"/>
        </w:rPr>
        <w:t xml:space="preserve"> </w:t>
      </w:r>
      <w:r>
        <w:rPr>
          <w:rFonts w:ascii="Times New Roman" w:cs="Times New Roman" w:eastAsia="Times New Roman" w:hAnsi="Times New Roman"/>
          <w:sz w:val="20"/>
          <w:szCs w:val="20"/>
          <w:i w:val="1"/>
          <w:iCs w:val="1"/>
          <w:color w:val="4C4C4E"/>
        </w:rPr>
        <w:t xml:space="preserve">Measurement </w:t>
      </w:r>
      <w:r>
        <w:rPr>
          <w:rFonts w:ascii="Times New Roman" w:cs="Times New Roman" w:eastAsia="Times New Roman" w:hAnsi="Times New Roman"/>
          <w:sz w:val="20"/>
          <w:szCs w:val="20"/>
          <w:color w:val="4C4C4E"/>
        </w:rPr>
        <w:t>(“ASC Topic 820”), as amended, which establishes a framework for measuring fair value in accordance with U.S.</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w:t>
      </w:r>
    </w:p>
    <w:p>
      <w:pPr>
        <w:sectPr>
          <w:pgSz w:w="11880" w:h="15480" w:orient="portrait"/>
          <w:cols w:equalWidth="0" w:num="1">
            <w:col w:w="10780"/>
          </w:cols>
          <w:pgMar w:left="540" w:top="744"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4C4C4E"/>
        </w:rPr>
        <w:t>F-28</w:t>
      </w:r>
    </w:p>
    <w:p>
      <w:pPr>
        <w:sectPr>
          <w:pgSz w:w="11880" w:h="15480" w:orient="portrait"/>
          <w:cols w:equalWidth="0" w:num="1">
            <w:col w:w="10780"/>
          </w:cols>
          <w:pgMar w:left="540" w:top="744" w:right="560" w:bottom="6" w:gutter="0" w:footer="0" w:header="0"/>
          <w:type w:val="continuous"/>
        </w:sectPr>
      </w:pPr>
    </w:p>
    <w:bookmarkStart w:id="117" w:name="page118"/>
    <w:bookmarkEnd w:id="117"/>
    <w:p>
      <w:pPr>
        <w:ind w:right="320"/>
        <w:spacing w:after="0" w:line="277" w:lineRule="auto"/>
        <w:rPr>
          <w:sz w:val="20"/>
          <w:szCs w:val="20"/>
          <w:color w:val="auto"/>
        </w:rPr>
      </w:pPr>
      <w:r>
        <w:rPr>
          <w:rFonts w:ascii="Times New Roman" w:cs="Times New Roman" w:eastAsia="Times New Roman" w:hAnsi="Times New Roman"/>
          <w:sz w:val="20"/>
          <w:szCs w:val="20"/>
          <w:color w:val="4C4C4E"/>
        </w:rPr>
        <w:t>hierarchy that prioritizes and ranks the level of observability of inputs used in determination of fair value. In accordance with ASC Topic 820, these levels are summarized below:</w:t>
      </w:r>
    </w:p>
    <w:p>
      <w:pPr>
        <w:spacing w:after="0" w:line="64" w:lineRule="exact"/>
        <w:rPr>
          <w:sz w:val="20"/>
          <w:szCs w:val="20"/>
          <w:color w:val="auto"/>
        </w:rPr>
      </w:pPr>
    </w:p>
    <w:p>
      <w:pPr>
        <w:ind w:left="500" w:right="120" w:hanging="255"/>
        <w:spacing w:after="0" w:line="276" w:lineRule="auto"/>
        <w:tabs>
          <w:tab w:leader="none" w:pos="500" w:val="left"/>
        </w:tabs>
        <w:numPr>
          <w:ilvl w:val="0"/>
          <w:numId w:val="82"/>
        </w:numPr>
        <w:rPr>
          <w:rFonts w:ascii="Arial" w:cs="Arial" w:eastAsia="Arial" w:hAnsi="Arial"/>
          <w:sz w:val="20"/>
          <w:szCs w:val="20"/>
          <w:color w:val="4C4C4E"/>
        </w:rPr>
      </w:pPr>
      <w:r>
        <w:rPr>
          <w:rFonts w:ascii="Times New Roman" w:cs="Times New Roman" w:eastAsia="Times New Roman" w:hAnsi="Times New Roman"/>
          <w:sz w:val="20"/>
          <w:szCs w:val="20"/>
          <w:color w:val="4C4C4E"/>
        </w:rPr>
        <w:t>Level 1—Valuations based on quoted prices in active markets for identical assets or liabilities that the Company has the ability to access.</w:t>
      </w:r>
    </w:p>
    <w:p>
      <w:pPr>
        <w:spacing w:after="0" w:line="64" w:lineRule="exact"/>
        <w:rPr>
          <w:rFonts w:ascii="Arial" w:cs="Arial" w:eastAsia="Arial" w:hAnsi="Arial"/>
          <w:sz w:val="20"/>
          <w:szCs w:val="20"/>
          <w:color w:val="4C4C4E"/>
        </w:rPr>
      </w:pPr>
    </w:p>
    <w:p>
      <w:pPr>
        <w:ind w:left="500" w:right="380" w:hanging="255"/>
        <w:spacing w:after="0" w:line="276" w:lineRule="auto"/>
        <w:tabs>
          <w:tab w:leader="none" w:pos="500" w:val="left"/>
        </w:tabs>
        <w:numPr>
          <w:ilvl w:val="0"/>
          <w:numId w:val="82"/>
        </w:numPr>
        <w:rPr>
          <w:rFonts w:ascii="Arial" w:cs="Arial" w:eastAsia="Arial" w:hAnsi="Arial"/>
          <w:sz w:val="20"/>
          <w:szCs w:val="20"/>
          <w:color w:val="4C4C4E"/>
        </w:rPr>
      </w:pPr>
      <w:r>
        <w:rPr>
          <w:rFonts w:ascii="Times New Roman" w:cs="Times New Roman" w:eastAsia="Times New Roman" w:hAnsi="Times New Roman"/>
          <w:sz w:val="20"/>
          <w:szCs w:val="20"/>
          <w:color w:val="4C4C4E"/>
        </w:rPr>
        <w:t>Level 2—Valuations based on quoted prices in markets that are not active or for which all significant inputs are observable, either directly or indirectly.</w:t>
      </w:r>
    </w:p>
    <w:p>
      <w:pPr>
        <w:spacing w:after="0" w:line="64" w:lineRule="exact"/>
        <w:rPr>
          <w:rFonts w:ascii="Arial" w:cs="Arial" w:eastAsia="Arial" w:hAnsi="Arial"/>
          <w:sz w:val="20"/>
          <w:szCs w:val="20"/>
          <w:color w:val="4C4C4E"/>
        </w:rPr>
      </w:pPr>
    </w:p>
    <w:p>
      <w:pPr>
        <w:ind w:left="500" w:hanging="255"/>
        <w:spacing w:after="0"/>
        <w:tabs>
          <w:tab w:leader="none" w:pos="500" w:val="left"/>
        </w:tabs>
        <w:numPr>
          <w:ilvl w:val="0"/>
          <w:numId w:val="82"/>
        </w:numPr>
        <w:rPr>
          <w:rFonts w:ascii="Arial" w:cs="Arial" w:eastAsia="Arial" w:hAnsi="Arial"/>
          <w:sz w:val="20"/>
          <w:szCs w:val="20"/>
          <w:color w:val="4C4C4E"/>
        </w:rPr>
      </w:pPr>
      <w:r>
        <w:rPr>
          <w:rFonts w:ascii="Times New Roman" w:cs="Times New Roman" w:eastAsia="Times New Roman" w:hAnsi="Times New Roman"/>
          <w:sz w:val="20"/>
          <w:szCs w:val="20"/>
          <w:color w:val="4C4C4E"/>
        </w:rPr>
        <w:t>Level 3—Valuations based on inputs that are unobservable and significant to the overall fair value measurement.</w:t>
      </w:r>
    </w:p>
    <w:p>
      <w:pPr>
        <w:spacing w:after="0" w:line="228" w:lineRule="exact"/>
        <w:rPr>
          <w:sz w:val="20"/>
          <w:szCs w:val="20"/>
          <w:color w:val="auto"/>
        </w:rPr>
      </w:pPr>
    </w:p>
    <w:p>
      <w:pPr>
        <w:ind w:right="20" w:firstLine="245"/>
        <w:spacing w:after="0" w:line="231" w:lineRule="auto"/>
        <w:rPr>
          <w:sz w:val="20"/>
          <w:szCs w:val="20"/>
          <w:color w:val="auto"/>
        </w:rPr>
      </w:pPr>
      <w:r>
        <w:rPr>
          <w:rFonts w:ascii="Times New Roman" w:cs="Times New Roman" w:eastAsia="Times New Roman" w:hAnsi="Times New Roman"/>
          <w:sz w:val="20"/>
          <w:szCs w:val="20"/>
          <w:color w:val="4C4C4E"/>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2" w:lineRule="exact"/>
        <w:rPr>
          <w:sz w:val="20"/>
          <w:szCs w:val="20"/>
          <w:color w:val="auto"/>
        </w:rPr>
      </w:pPr>
    </w:p>
    <w:p>
      <w:pPr>
        <w:ind w:right="140" w:firstLine="245"/>
        <w:spacing w:after="0" w:line="233" w:lineRule="auto"/>
        <w:rPr>
          <w:sz w:val="20"/>
          <w:szCs w:val="20"/>
          <w:color w:val="auto"/>
        </w:rPr>
      </w:pPr>
      <w:r>
        <w:rPr>
          <w:rFonts w:ascii="Times New Roman" w:cs="Times New Roman" w:eastAsia="Times New Roman" w:hAnsi="Times New Roman"/>
          <w:sz w:val="20"/>
          <w:szCs w:val="20"/>
          <w:color w:val="4C4C4E"/>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jc w:val="both"/>
        <w:ind w:right="180" w:firstLine="245"/>
        <w:spacing w:after="0" w:line="244" w:lineRule="auto"/>
        <w:rPr>
          <w:sz w:val="20"/>
          <w:szCs w:val="20"/>
          <w:color w:val="auto"/>
        </w:rPr>
      </w:pPr>
      <w:r>
        <w:rPr>
          <w:rFonts w:ascii="Times New Roman" w:cs="Times New Roman" w:eastAsia="Times New Roman" w:hAnsi="Times New Roman"/>
          <w:sz w:val="20"/>
          <w:szCs w:val="20"/>
          <w:color w:val="4C4C4E"/>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Financial and Derivative Instruments</w:t>
      </w:r>
    </w:p>
    <w:p>
      <w:pPr>
        <w:spacing w:after="0" w:line="105" w:lineRule="exact"/>
        <w:rPr>
          <w:sz w:val="20"/>
          <w:szCs w:val="20"/>
          <w:color w:val="auto"/>
        </w:rPr>
      </w:pPr>
    </w:p>
    <w:p>
      <w:pPr>
        <w:ind w:right="220" w:firstLine="245"/>
        <w:spacing w:after="0" w:line="231" w:lineRule="auto"/>
        <w:rPr>
          <w:sz w:val="20"/>
          <w:szCs w:val="20"/>
          <w:color w:val="auto"/>
        </w:rPr>
      </w:pPr>
      <w:r>
        <w:rPr>
          <w:rFonts w:ascii="Times New Roman" w:cs="Times New Roman" w:eastAsia="Times New Roman" w:hAnsi="Times New Roman"/>
          <w:sz w:val="20"/>
          <w:szCs w:val="20"/>
          <w:color w:val="4C4C4E"/>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77" w:lineRule="exact"/>
        <w:rPr>
          <w:sz w:val="20"/>
          <w:szCs w:val="20"/>
          <w:color w:val="auto"/>
        </w:rPr>
      </w:pPr>
    </w:p>
    <w:p>
      <w:pPr>
        <w:ind w:firstLine="245"/>
        <w:spacing w:after="0" w:line="234" w:lineRule="auto"/>
        <w:rPr>
          <w:sz w:val="20"/>
          <w:szCs w:val="20"/>
          <w:color w:val="auto"/>
        </w:rPr>
      </w:pPr>
      <w:r>
        <w:rPr>
          <w:rFonts w:ascii="Times New Roman" w:cs="Times New Roman" w:eastAsia="Times New Roman" w:hAnsi="Times New Roman"/>
          <w:sz w:val="20"/>
          <w:szCs w:val="20"/>
          <w:color w:val="4C4C4E"/>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74" w:lineRule="exact"/>
        <w:rPr>
          <w:sz w:val="20"/>
          <w:szCs w:val="20"/>
          <w:color w:val="auto"/>
        </w:rPr>
      </w:pPr>
    </w:p>
    <w:p>
      <w:pPr>
        <w:ind w:right="20" w:firstLine="245"/>
        <w:spacing w:after="0" w:line="263" w:lineRule="auto"/>
        <w:rPr>
          <w:sz w:val="20"/>
          <w:szCs w:val="20"/>
          <w:color w:val="auto"/>
        </w:rPr>
      </w:pPr>
      <w:r>
        <w:rPr>
          <w:rFonts w:ascii="Times New Roman" w:cs="Times New Roman" w:eastAsia="Times New Roman" w:hAnsi="Times New Roman"/>
          <w:sz w:val="20"/>
          <w:szCs w:val="20"/>
          <w:color w:val="4C4C4E"/>
        </w:rPr>
        <w:t>Derivatives, including the Company’s interest rate swaps, for which broker quotes are available are typically valued at those broker quotes.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Offsetting Assets and Liabilities</w:t>
      </w:r>
    </w:p>
    <w:p>
      <w:pPr>
        <w:spacing w:after="0" w:line="105" w:lineRule="exact"/>
        <w:rPr>
          <w:sz w:val="20"/>
          <w:szCs w:val="20"/>
          <w:color w:val="auto"/>
        </w:rPr>
      </w:pPr>
    </w:p>
    <w:p>
      <w:pPr>
        <w:ind w:right="20" w:firstLine="245"/>
        <w:spacing w:after="0" w:line="238" w:lineRule="auto"/>
        <w:rPr>
          <w:sz w:val="20"/>
          <w:szCs w:val="20"/>
          <w:color w:val="auto"/>
        </w:rPr>
      </w:pPr>
      <w:r>
        <w:rPr>
          <w:rFonts w:ascii="Times New Roman" w:cs="Times New Roman" w:eastAsia="Times New Roman" w:hAnsi="Times New Roman"/>
          <w:sz w:val="20"/>
          <w:szCs w:val="20"/>
          <w:color w:val="4C4C4E"/>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ectPr>
          <w:pgSz w:w="11880" w:h="15480" w:orient="portrait"/>
          <w:cols w:equalWidth="0" w:num="1">
            <w:col w:w="10780"/>
          </w:cols>
          <w:pgMar w:left="540" w:top="750"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4C4C4E"/>
        </w:rPr>
        <w:t>F-29</w:t>
      </w:r>
    </w:p>
    <w:p>
      <w:pPr>
        <w:sectPr>
          <w:pgSz w:w="11880" w:h="15480" w:orient="portrait"/>
          <w:cols w:equalWidth="0" w:num="1">
            <w:col w:w="10780"/>
          </w:cols>
          <w:pgMar w:left="540" w:top="750" w:right="560" w:bottom="6"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i w:val="1"/>
          <w:iCs w:val="1"/>
          <w:color w:val="4C4C4E"/>
        </w:rPr>
        <w:t>Foreign Currency</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Foreign currency amounts are translated into U.S. dollars on the following basis:</w:t>
      </w:r>
    </w:p>
    <w:p>
      <w:pPr>
        <w:spacing w:after="0" w:line="120" w:lineRule="exact"/>
        <w:rPr>
          <w:sz w:val="20"/>
          <w:szCs w:val="20"/>
          <w:color w:val="auto"/>
        </w:rPr>
      </w:pPr>
    </w:p>
    <w:p>
      <w:pPr>
        <w:ind w:left="500" w:right="780" w:hanging="255"/>
        <w:spacing w:after="0" w:line="263" w:lineRule="auto"/>
        <w:tabs>
          <w:tab w:leader="none" w:pos="500" w:val="left"/>
        </w:tabs>
        <w:numPr>
          <w:ilvl w:val="0"/>
          <w:numId w:val="83"/>
        </w:numPr>
        <w:rPr>
          <w:rFonts w:ascii="Arial" w:cs="Arial" w:eastAsia="Arial" w:hAnsi="Arial"/>
          <w:sz w:val="20"/>
          <w:szCs w:val="20"/>
          <w:color w:val="4C4C4E"/>
        </w:rPr>
      </w:pPr>
      <w:r>
        <w:rPr>
          <w:rFonts w:ascii="Times New Roman" w:cs="Times New Roman" w:eastAsia="Times New Roman" w:hAnsi="Times New Roman"/>
          <w:sz w:val="20"/>
          <w:szCs w:val="20"/>
          <w:color w:val="4C4C4E"/>
        </w:rPr>
        <w:t>cash and cash equivalents, market value of investments, outstanding debt on revolving credit facilities, other assets and liabilities: at the spot exchange rate on the last business day of the period; and</w:t>
      </w:r>
    </w:p>
    <w:p>
      <w:pPr>
        <w:spacing w:after="0" w:line="61" w:lineRule="exact"/>
        <w:rPr>
          <w:rFonts w:ascii="Arial" w:cs="Arial" w:eastAsia="Arial" w:hAnsi="Arial"/>
          <w:sz w:val="20"/>
          <w:szCs w:val="20"/>
          <w:color w:val="4C4C4E"/>
        </w:rPr>
      </w:pPr>
    </w:p>
    <w:p>
      <w:pPr>
        <w:ind w:left="500" w:right="620" w:hanging="255"/>
        <w:spacing w:after="0" w:line="263" w:lineRule="auto"/>
        <w:tabs>
          <w:tab w:leader="none" w:pos="500" w:val="left"/>
        </w:tabs>
        <w:numPr>
          <w:ilvl w:val="0"/>
          <w:numId w:val="83"/>
        </w:numPr>
        <w:rPr>
          <w:rFonts w:ascii="Arial" w:cs="Arial" w:eastAsia="Arial" w:hAnsi="Arial"/>
          <w:sz w:val="20"/>
          <w:szCs w:val="20"/>
          <w:color w:val="4C4C4E"/>
        </w:rPr>
      </w:pPr>
      <w:r>
        <w:rPr>
          <w:rFonts w:ascii="Times New Roman" w:cs="Times New Roman" w:eastAsia="Times New Roman" w:hAnsi="Times New Roman"/>
          <w:sz w:val="20"/>
          <w:szCs w:val="20"/>
          <w:color w:val="4C4C4E"/>
        </w:rPr>
        <w:t>purchases and sales of investments, borrowings and repayments of such borrowings, income and expenses: at the rates of exchange prevailing on the respective dates of such transactions.</w:t>
      </w:r>
    </w:p>
    <w:p>
      <w:pPr>
        <w:spacing w:after="0" w:line="168" w:lineRule="exact"/>
        <w:rPr>
          <w:sz w:val="20"/>
          <w:szCs w:val="20"/>
          <w:color w:val="auto"/>
        </w:rPr>
      </w:pPr>
    </w:p>
    <w:p>
      <w:pPr>
        <w:ind w:right="200" w:firstLine="245"/>
        <w:spacing w:after="0" w:line="232" w:lineRule="auto"/>
        <w:rPr>
          <w:sz w:val="20"/>
          <w:szCs w:val="20"/>
          <w:color w:val="auto"/>
        </w:rPr>
      </w:pPr>
      <w:r>
        <w:rPr>
          <w:rFonts w:ascii="Times New Roman" w:cs="Times New Roman" w:eastAsia="Times New Roman" w:hAnsi="Times New Roman"/>
          <w:sz w:val="20"/>
          <w:szCs w:val="20"/>
          <w:color w:val="4C4C4E"/>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202" w:lineRule="exact"/>
        <w:rPr>
          <w:sz w:val="20"/>
          <w:szCs w:val="20"/>
          <w:color w:val="auto"/>
        </w:rPr>
      </w:pPr>
    </w:p>
    <w:p>
      <w:pPr>
        <w:jc w:val="both"/>
        <w:ind w:right="160" w:firstLine="245"/>
        <w:spacing w:after="0" w:line="258" w:lineRule="auto"/>
        <w:rPr>
          <w:sz w:val="20"/>
          <w:szCs w:val="20"/>
          <w:color w:val="auto"/>
        </w:rPr>
      </w:pPr>
      <w:r>
        <w:rPr>
          <w:rFonts w:ascii="Times New Roman" w:cs="Times New Roman" w:eastAsia="Times New Roman" w:hAnsi="Times New Roman"/>
          <w:sz w:val="20"/>
          <w:szCs w:val="20"/>
          <w:color w:val="4C4C4E"/>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Equity Offering Expenses</w:t>
      </w:r>
    </w:p>
    <w:p>
      <w:pPr>
        <w:spacing w:after="0" w:line="118" w:lineRule="exact"/>
        <w:rPr>
          <w:sz w:val="20"/>
          <w:szCs w:val="20"/>
          <w:color w:val="auto"/>
        </w:rPr>
      </w:pPr>
    </w:p>
    <w:p>
      <w:pPr>
        <w:ind w:right="320" w:firstLine="245"/>
        <w:spacing w:after="0" w:line="277" w:lineRule="auto"/>
        <w:rPr>
          <w:sz w:val="20"/>
          <w:szCs w:val="20"/>
          <w:color w:val="auto"/>
        </w:rPr>
      </w:pPr>
      <w:r>
        <w:rPr>
          <w:rFonts w:ascii="Times New Roman" w:cs="Times New Roman" w:eastAsia="Times New Roman" w:hAnsi="Times New Roman"/>
          <w:sz w:val="20"/>
          <w:szCs w:val="20"/>
          <w:color w:val="4C4C4E"/>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Debt Issuance Costs</w:t>
      </w:r>
    </w:p>
    <w:p>
      <w:pPr>
        <w:spacing w:after="0" w:line="118" w:lineRule="exact"/>
        <w:rPr>
          <w:sz w:val="20"/>
          <w:szCs w:val="20"/>
          <w:color w:val="auto"/>
        </w:rPr>
      </w:pPr>
    </w:p>
    <w:p>
      <w:pPr>
        <w:ind w:right="20" w:firstLine="245"/>
        <w:spacing w:after="0" w:line="258" w:lineRule="auto"/>
        <w:rPr>
          <w:sz w:val="20"/>
          <w:szCs w:val="20"/>
          <w:color w:val="auto"/>
        </w:rPr>
      </w:pPr>
      <w:r>
        <w:rPr>
          <w:rFonts w:ascii="Times New Roman" w:cs="Times New Roman" w:eastAsia="Times New Roman" w:hAnsi="Times New Roman"/>
          <w:sz w:val="20"/>
          <w:szCs w:val="20"/>
          <w:color w:val="4C4C4E"/>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Interest and Dividend Income Recognition</w:t>
      </w:r>
    </w:p>
    <w:p>
      <w:pPr>
        <w:spacing w:after="0" w:line="118" w:lineRule="exact"/>
        <w:rPr>
          <w:sz w:val="20"/>
          <w:szCs w:val="20"/>
          <w:color w:val="auto"/>
        </w:rPr>
      </w:pPr>
    </w:p>
    <w:p>
      <w:pPr>
        <w:ind w:right="60" w:firstLine="245"/>
        <w:spacing w:after="0" w:line="252" w:lineRule="auto"/>
        <w:rPr>
          <w:sz w:val="20"/>
          <w:szCs w:val="20"/>
          <w:color w:val="auto"/>
        </w:rPr>
      </w:pPr>
      <w:r>
        <w:rPr>
          <w:rFonts w:ascii="Times New Roman" w:cs="Times New Roman" w:eastAsia="Times New Roman" w:hAnsi="Times New Roman"/>
          <w:sz w:val="20"/>
          <w:szCs w:val="20"/>
          <w:color w:val="4C4C4E"/>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94" w:lineRule="exact"/>
        <w:rPr>
          <w:sz w:val="20"/>
          <w:szCs w:val="20"/>
          <w:color w:val="auto"/>
        </w:rPr>
      </w:pPr>
    </w:p>
    <w:p>
      <w:pPr>
        <w:ind w:right="320" w:firstLine="245"/>
        <w:spacing w:after="0" w:line="277" w:lineRule="auto"/>
        <w:rPr>
          <w:sz w:val="20"/>
          <w:szCs w:val="20"/>
          <w:color w:val="auto"/>
        </w:rPr>
      </w:pPr>
      <w:r>
        <w:rPr>
          <w:rFonts w:ascii="Times New Roman" w:cs="Times New Roman" w:eastAsia="Times New Roman" w:hAnsi="Times New Roman"/>
          <w:sz w:val="20"/>
          <w:szCs w:val="20"/>
          <w:color w:val="4C4C4E"/>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9"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4C4C4E"/>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200" w:lineRule="exact"/>
        <w:rPr>
          <w:sz w:val="20"/>
          <w:szCs w:val="20"/>
          <w:color w:val="auto"/>
        </w:rPr>
      </w:pPr>
    </w:p>
    <w:p>
      <w:pPr>
        <w:jc w:val="both"/>
        <w:ind w:right="160" w:firstLine="245"/>
        <w:spacing w:after="0" w:line="258" w:lineRule="auto"/>
        <w:rPr>
          <w:sz w:val="20"/>
          <w:szCs w:val="20"/>
          <w:color w:val="auto"/>
        </w:rPr>
      </w:pPr>
      <w:r>
        <w:rPr>
          <w:rFonts w:ascii="Times New Roman" w:cs="Times New Roman" w:eastAsia="Times New Roman" w:hAnsi="Times New Roman"/>
          <w:sz w:val="20"/>
          <w:szCs w:val="20"/>
          <w:color w:val="4C4C4E"/>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Other Income</w:t>
      </w:r>
    </w:p>
    <w:p>
      <w:pPr>
        <w:spacing w:after="0" w:line="118"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4C4C4E"/>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F-30</w:t>
      </w:r>
    </w:p>
    <w:p>
      <w:pPr>
        <w:sectPr>
          <w:pgSz w:w="11880" w:h="15480" w:orient="portrait"/>
          <w:cols w:equalWidth="0" w:num="1">
            <w:col w:w="10800"/>
          </w:cols>
          <w:pgMar w:left="540" w:top="741" w:right="540" w:bottom="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i w:val="1"/>
          <w:iCs w:val="1"/>
          <w:color w:val="4C4C4E"/>
        </w:rPr>
        <w:t>Earnings per share</w:t>
      </w:r>
    </w:p>
    <w:p>
      <w:pPr>
        <w:spacing w:after="0" w:line="118" w:lineRule="exact"/>
        <w:rPr>
          <w:sz w:val="20"/>
          <w:szCs w:val="20"/>
          <w:color w:val="auto"/>
        </w:rPr>
      </w:pPr>
    </w:p>
    <w:p>
      <w:pPr>
        <w:ind w:right="280" w:firstLine="245"/>
        <w:spacing w:after="0" w:line="246" w:lineRule="auto"/>
        <w:rPr>
          <w:sz w:val="20"/>
          <w:szCs w:val="20"/>
          <w:color w:val="auto"/>
        </w:rPr>
      </w:pPr>
      <w:r>
        <w:rPr>
          <w:rFonts w:ascii="Times New Roman" w:cs="Times New Roman" w:eastAsia="Times New Roman" w:hAnsi="Times New Roman"/>
          <w:sz w:val="20"/>
          <w:szCs w:val="20"/>
          <w:color w:val="4C4C4E"/>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Reimbursement of Transaction-Related Expenses</w:t>
      </w:r>
    </w:p>
    <w:p>
      <w:pPr>
        <w:spacing w:after="0" w:line="118" w:lineRule="exact"/>
        <w:rPr>
          <w:sz w:val="20"/>
          <w:szCs w:val="20"/>
          <w:color w:val="auto"/>
        </w:rPr>
      </w:pPr>
    </w:p>
    <w:p>
      <w:pPr>
        <w:ind w:right="320" w:firstLine="245"/>
        <w:spacing w:after="0" w:line="249" w:lineRule="auto"/>
        <w:rPr>
          <w:sz w:val="20"/>
          <w:szCs w:val="20"/>
          <w:color w:val="auto"/>
        </w:rPr>
      </w:pPr>
      <w:r>
        <w:rPr>
          <w:rFonts w:ascii="Times New Roman" w:cs="Times New Roman" w:eastAsia="Times New Roman" w:hAnsi="Times New Roman"/>
          <w:sz w:val="20"/>
          <w:szCs w:val="20"/>
          <w:color w:val="4C4C4E"/>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97"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Income Taxes, Including Excise Taxes</w:t>
      </w:r>
    </w:p>
    <w:p>
      <w:pPr>
        <w:spacing w:after="0" w:line="118"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4C4C4E"/>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200" w:lineRule="exact"/>
        <w:rPr>
          <w:sz w:val="20"/>
          <w:szCs w:val="20"/>
          <w:color w:val="auto"/>
        </w:rPr>
      </w:pPr>
    </w:p>
    <w:p>
      <w:pPr>
        <w:ind w:right="20" w:firstLine="245"/>
        <w:spacing w:after="0" w:line="245" w:lineRule="auto"/>
        <w:rPr>
          <w:sz w:val="20"/>
          <w:szCs w:val="20"/>
          <w:color w:val="auto"/>
        </w:rPr>
      </w:pPr>
      <w:r>
        <w:rPr>
          <w:rFonts w:ascii="Times New Roman" w:cs="Times New Roman" w:eastAsia="Times New Roman" w:hAnsi="Times New Roman"/>
          <w:sz w:val="20"/>
          <w:szCs w:val="20"/>
          <w:color w:val="4C4C4E"/>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2025, the Company did not have any uncertain tax positions that met the recognition or measurement criteria, nor did the Company have any unrecognized tax benefits. The Company’s 2024, 2023 and 2022 tax year returns remain subject to examination by the relevant federal, state, and local tax authorities.</w:t>
      </w:r>
    </w:p>
    <w:p>
      <w:pPr>
        <w:spacing w:after="0" w:line="202"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4C4C4E"/>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97" w:lineRule="exact"/>
        <w:rPr>
          <w:sz w:val="20"/>
          <w:szCs w:val="20"/>
          <w:color w:val="auto"/>
        </w:rPr>
      </w:pPr>
    </w:p>
    <w:p>
      <w:pPr>
        <w:jc w:val="both"/>
        <w:ind w:right="200" w:firstLine="245"/>
        <w:spacing w:after="0" w:line="277" w:lineRule="auto"/>
        <w:rPr>
          <w:sz w:val="20"/>
          <w:szCs w:val="20"/>
          <w:color w:val="auto"/>
        </w:rPr>
      </w:pPr>
      <w:r>
        <w:rPr>
          <w:rFonts w:ascii="Times New Roman" w:cs="Times New Roman" w:eastAsia="Times New Roman" w:hAnsi="Times New Roman"/>
          <w:sz w:val="20"/>
          <w:szCs w:val="20"/>
          <w:color w:val="4C4C4E"/>
        </w:rPr>
        <w:t>For the calendar years ended December 31, 2025, December 31, 2024 and December 31, 2023 we recorded a net expense of $5.3 million, $3.9 million and $2.4 million, respectively, for U.S. federal excise tax and other taxes.</w:t>
      </w:r>
    </w:p>
    <w:p>
      <w:pPr>
        <w:spacing w:after="0" w:line="169" w:lineRule="exact"/>
        <w:rPr>
          <w:sz w:val="20"/>
          <w:szCs w:val="20"/>
          <w:color w:val="auto"/>
        </w:rPr>
      </w:pPr>
    </w:p>
    <w:p>
      <w:pPr>
        <w:jc w:val="both"/>
        <w:ind w:right="200" w:firstLine="245"/>
        <w:spacing w:after="0" w:line="258" w:lineRule="auto"/>
        <w:rPr>
          <w:sz w:val="20"/>
          <w:szCs w:val="20"/>
          <w:color w:val="auto"/>
        </w:rPr>
      </w:pPr>
      <w:r>
        <w:rPr>
          <w:rFonts w:ascii="Times New Roman" w:cs="Times New Roman" w:eastAsia="Times New Roman" w:hAnsi="Times New Roman"/>
          <w:sz w:val="20"/>
          <w:szCs w:val="20"/>
          <w:color w:val="4C4C4E"/>
        </w:rPr>
        <w:t>For the calendar years ended December 31, 2025, December 31, 2024 and December 31, 2023 we recorded a deferred tax benefit of $0.5 million, a deferred tax liability of $2.6 million, and a deferred tax benefit of $0.6 million, respectively. For the calendar year ended December 31, 2025 we recognized a tax expense of $0.9 million pertaining to net realized gains.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Dividends to Common Stockholders</w:t>
      </w:r>
    </w:p>
    <w:p>
      <w:pPr>
        <w:spacing w:after="0" w:line="118"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4C4C4E"/>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ectPr>
          <w:pgSz w:w="11880" w:h="15480" w:orient="portrait"/>
          <w:cols w:equalWidth="0" w:num="1">
            <w:col w:w="10780"/>
          </w:cols>
          <w:pgMar w:left="540" w:top="752" w:right="560" w:bottom="6"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4C4C4E"/>
        </w:rPr>
        <w:t>F-31</w:t>
      </w:r>
    </w:p>
    <w:p>
      <w:pPr>
        <w:sectPr>
          <w:pgSz w:w="11880" w:h="15480" w:orient="portrait"/>
          <w:cols w:equalWidth="0" w:num="1">
            <w:col w:w="10780"/>
          </w:cols>
          <w:pgMar w:left="540" w:top="752" w:right="560" w:bottom="6" w:gutter="0" w:footer="0" w:header="0"/>
          <w:type w:val="continuous"/>
        </w:sectPr>
      </w:pPr>
    </w:p>
    <w:bookmarkStart w:id="120" w:name="page121"/>
    <w:bookmarkEnd w:id="120"/>
    <w:p>
      <w:pPr>
        <w:ind w:right="40" w:firstLine="245"/>
        <w:spacing w:after="0" w:line="249" w:lineRule="auto"/>
        <w:rPr>
          <w:sz w:val="20"/>
          <w:szCs w:val="20"/>
          <w:color w:val="auto"/>
        </w:rPr>
      </w:pPr>
      <w:r>
        <w:rPr>
          <w:rFonts w:ascii="Times New Roman" w:cs="Times New Roman" w:eastAsia="Times New Roman" w:hAnsi="Times New Roman"/>
          <w:sz w:val="20"/>
          <w:szCs w:val="20"/>
          <w:color w:val="4C4C4E"/>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Segment Reporting</w:t>
      </w:r>
    </w:p>
    <w:p>
      <w:pPr>
        <w:spacing w:after="0" w:line="238" w:lineRule="exact"/>
        <w:rPr>
          <w:sz w:val="20"/>
          <w:szCs w:val="20"/>
          <w:color w:val="auto"/>
        </w:rPr>
      </w:pPr>
    </w:p>
    <w:p>
      <w:pPr>
        <w:jc w:val="both"/>
        <w:ind w:right="180" w:firstLine="245"/>
        <w:spacing w:after="0" w:line="258" w:lineRule="auto"/>
        <w:rPr>
          <w:sz w:val="20"/>
          <w:szCs w:val="20"/>
          <w:color w:val="auto"/>
        </w:rPr>
      </w:pPr>
      <w:r>
        <w:rPr>
          <w:rFonts w:ascii="Times New Roman" w:cs="Times New Roman" w:eastAsia="Times New Roman" w:hAnsi="Times New Roman"/>
          <w:sz w:val="20"/>
          <w:szCs w:val="20"/>
          <w:color w:val="4C4C4E"/>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88" w:lineRule="exact"/>
        <w:rPr>
          <w:sz w:val="20"/>
          <w:szCs w:val="20"/>
          <w:color w:val="auto"/>
        </w:rPr>
      </w:pPr>
    </w:p>
    <w:p>
      <w:pPr>
        <w:ind w:right="260" w:firstLine="245"/>
        <w:spacing w:after="0" w:line="277" w:lineRule="auto"/>
        <w:rPr>
          <w:sz w:val="20"/>
          <w:szCs w:val="20"/>
          <w:color w:val="auto"/>
        </w:rPr>
      </w:pPr>
      <w:r>
        <w:rPr>
          <w:rFonts w:ascii="Times New Roman" w:cs="Times New Roman" w:eastAsia="Times New Roman" w:hAnsi="Times New Roman"/>
          <w:sz w:val="20"/>
          <w:szCs w:val="20"/>
          <w:color w:val="4C4C4E"/>
        </w:rPr>
        <w:t>The Company’s chief operating decision maker (the “CODM”) is comprised of the senior executive committee that includes the Chief Executive Officer, President, Chief Financial Officer, and the Deputy Chief Financial Officer.</w:t>
      </w:r>
    </w:p>
    <w:p>
      <w:pPr>
        <w:spacing w:after="0" w:line="169" w:lineRule="exact"/>
        <w:rPr>
          <w:sz w:val="20"/>
          <w:szCs w:val="20"/>
          <w:color w:val="auto"/>
        </w:rPr>
      </w:pPr>
    </w:p>
    <w:p>
      <w:pPr>
        <w:ind w:right="120" w:firstLine="245"/>
        <w:spacing w:after="0" w:line="252" w:lineRule="auto"/>
        <w:rPr>
          <w:sz w:val="20"/>
          <w:szCs w:val="20"/>
          <w:color w:val="auto"/>
        </w:rPr>
      </w:pPr>
      <w:r>
        <w:rPr>
          <w:rFonts w:ascii="Times New Roman" w:cs="Times New Roman" w:eastAsia="Times New Roman" w:hAnsi="Times New Roman"/>
          <w:sz w:val="20"/>
          <w:szCs w:val="20"/>
          <w:color w:val="4C4C4E"/>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94"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4C4C4E"/>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Recent Accounting Standards and Regulatory Updates</w:t>
      </w:r>
    </w:p>
    <w:p>
      <w:pPr>
        <w:spacing w:after="0" w:line="238" w:lineRule="exact"/>
        <w:rPr>
          <w:sz w:val="20"/>
          <w:szCs w:val="20"/>
          <w:color w:val="auto"/>
        </w:rPr>
      </w:pPr>
    </w:p>
    <w:p>
      <w:pPr>
        <w:ind w:right="260" w:firstLine="245"/>
        <w:spacing w:after="0" w:line="249" w:lineRule="auto"/>
        <w:rPr>
          <w:sz w:val="20"/>
          <w:szCs w:val="20"/>
          <w:color w:val="auto"/>
        </w:rPr>
      </w:pPr>
      <w:r>
        <w:rPr>
          <w:rFonts w:ascii="Times New Roman" w:cs="Times New Roman" w:eastAsia="Times New Roman" w:hAnsi="Times New Roman"/>
          <w:sz w:val="20"/>
          <w:szCs w:val="20"/>
          <w:color w:val="4C4C4E"/>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adopted ASU 2023-09 effective December 31, 2025 and concluded that the application of this guidance did not have any material impact on its consolidated financial statements.</w:t>
      </w:r>
    </w:p>
    <w:p>
      <w:pPr>
        <w:spacing w:after="0" w:line="77" w:lineRule="exact"/>
        <w:rPr>
          <w:sz w:val="20"/>
          <w:szCs w:val="20"/>
          <w:color w:val="auto"/>
        </w:rPr>
      </w:pPr>
    </w:p>
    <w:p>
      <w:pPr>
        <w:ind w:right="300" w:firstLine="245"/>
        <w:spacing w:after="0" w:line="247" w:lineRule="auto"/>
        <w:rPr>
          <w:sz w:val="20"/>
          <w:szCs w:val="20"/>
          <w:color w:val="auto"/>
        </w:rPr>
      </w:pPr>
      <w:r>
        <w:rPr>
          <w:rFonts w:ascii="Times New Roman" w:cs="Times New Roman" w:eastAsia="Times New Roman" w:hAnsi="Times New Roman"/>
          <w:sz w:val="20"/>
          <w:szCs w:val="20"/>
          <w:color w:val="4C4C4E"/>
        </w:rPr>
        <w:t>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the Company’s consolidated financial statements.</w:t>
      </w:r>
    </w:p>
    <w:p>
      <w:pPr>
        <w:spacing w:after="0" w:line="8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4C4C4E"/>
        </w:rPr>
        <w:t>In November 2025, the FASB issued ASU No. 2025-09, “Derivatives and Hedging (Topic 815): Hedge Accounting Improvements”, which intends to more closely align hedge accounting with the economics of an entity’s risk management activities. This update is effective for annual periods beginning after December 15, 2026, including interim periods within those fiscal years, though early adoption is permitted. The Company does not expect this update to have a material effect on the Company’s consolidated financial statements.</w:t>
      </w:r>
    </w:p>
    <w:p>
      <w:pPr>
        <w:spacing w:after="0" w:line="305" w:lineRule="exact"/>
        <w:rPr>
          <w:sz w:val="20"/>
          <w:szCs w:val="20"/>
          <w:color w:val="auto"/>
        </w:rPr>
      </w:pPr>
    </w:p>
    <w:p>
      <w:pPr>
        <w:ind w:right="6780"/>
        <w:spacing w:after="0" w:line="357" w:lineRule="auto"/>
        <w:tabs>
          <w:tab w:leader="none" w:pos="200" w:val="left"/>
        </w:tabs>
        <w:numPr>
          <w:ilvl w:val="0"/>
          <w:numId w:val="84"/>
        </w:numPr>
        <w:rPr>
          <w:rFonts w:ascii="Times New Roman" w:cs="Times New Roman" w:eastAsia="Times New Roman" w:hAnsi="Times New Roman"/>
          <w:sz w:val="20"/>
          <w:szCs w:val="20"/>
          <w:b w:val="1"/>
          <w:bCs w:val="1"/>
          <w:color w:val="4C4C4E"/>
        </w:rPr>
      </w:pPr>
      <w:r>
        <w:rPr>
          <w:rFonts w:ascii="Times New Roman" w:cs="Times New Roman" w:eastAsia="Times New Roman" w:hAnsi="Times New Roman"/>
          <w:sz w:val="20"/>
          <w:szCs w:val="20"/>
          <w:b w:val="1"/>
          <w:bCs w:val="1"/>
          <w:color w:val="4C4C4E"/>
        </w:rPr>
        <w:t xml:space="preserve">Agreements and Related Party Transactions </w:t>
      </w:r>
      <w:r>
        <w:rPr>
          <w:rFonts w:ascii="Times New Roman" w:cs="Times New Roman" w:eastAsia="Times New Roman" w:hAnsi="Times New Roman"/>
          <w:sz w:val="20"/>
          <w:szCs w:val="20"/>
          <w:i w:val="1"/>
          <w:iCs w:val="1"/>
          <w:color w:val="4C4C4E"/>
        </w:rPr>
        <w:t>Administration Agreement</w:t>
      </w:r>
    </w:p>
    <w:p>
      <w:pPr>
        <w:spacing w:after="0" w:line="1" w:lineRule="exact"/>
        <w:rPr>
          <w:sz w:val="20"/>
          <w:szCs w:val="20"/>
          <w:color w:val="auto"/>
        </w:rPr>
      </w:pPr>
    </w:p>
    <w:p>
      <w:pPr>
        <w:ind w:right="120" w:firstLine="245"/>
        <w:spacing w:after="0" w:line="250" w:lineRule="auto"/>
        <w:rPr>
          <w:sz w:val="20"/>
          <w:szCs w:val="20"/>
          <w:color w:val="auto"/>
        </w:rPr>
      </w:pPr>
      <w:r>
        <w:rPr>
          <w:rFonts w:ascii="Times New Roman" w:cs="Times New Roman" w:eastAsia="Times New Roman" w:hAnsi="Times New Roman"/>
          <w:sz w:val="19"/>
          <w:szCs w:val="19"/>
          <w:color w:val="4C4C4E"/>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ectPr>
          <w:pgSz w:w="11880" w:h="15480" w:orient="portrait"/>
          <w:cols w:equalWidth="0" w:num="1">
            <w:col w:w="10760"/>
          </w:cols>
          <w:pgMar w:left="540" w:top="750" w:right="5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4C4C4E"/>
        </w:rPr>
        <w:t>F-32</w:t>
      </w:r>
    </w:p>
    <w:p>
      <w:pPr>
        <w:sectPr>
          <w:pgSz w:w="11880" w:h="15480" w:orient="portrait"/>
          <w:cols w:equalWidth="0" w:num="1">
            <w:col w:w="10760"/>
          </w:cols>
          <w:pgMar w:left="540" w:top="750" w:right="580" w:bottom="6" w:gutter="0" w:footer="0" w:header="0"/>
          <w:type w:val="continuous"/>
        </w:sectPr>
      </w:pPr>
    </w:p>
    <w:bookmarkStart w:id="121" w:name="page122"/>
    <w:bookmarkEnd w:id="121"/>
    <w:p>
      <w:pPr>
        <w:ind w:right="160" w:firstLine="245"/>
        <w:spacing w:after="0" w:line="248" w:lineRule="auto"/>
        <w:rPr>
          <w:sz w:val="20"/>
          <w:szCs w:val="20"/>
          <w:color w:val="auto"/>
        </w:rPr>
      </w:pPr>
      <w:r>
        <w:rPr>
          <w:rFonts w:ascii="Times New Roman" w:cs="Times New Roman" w:eastAsia="Times New Roman" w:hAnsi="Times New Roman"/>
          <w:sz w:val="20"/>
          <w:szCs w:val="20"/>
          <w:color w:val="4C4C4E"/>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8" w:lineRule="exact"/>
        <w:rPr>
          <w:sz w:val="20"/>
          <w:szCs w:val="20"/>
          <w:color w:val="auto"/>
        </w:rPr>
      </w:pPr>
    </w:p>
    <w:p>
      <w:pPr>
        <w:ind w:right="600" w:firstLine="245"/>
        <w:spacing w:after="0" w:line="268" w:lineRule="auto"/>
        <w:rPr>
          <w:sz w:val="20"/>
          <w:szCs w:val="20"/>
          <w:color w:val="auto"/>
        </w:rPr>
      </w:pPr>
      <w:r>
        <w:rPr>
          <w:rFonts w:ascii="Times New Roman" w:cs="Times New Roman" w:eastAsia="Times New Roman" w:hAnsi="Times New Roman"/>
          <w:sz w:val="19"/>
          <w:szCs w:val="19"/>
          <w:color w:val="4C4C4E"/>
        </w:rPr>
        <w:t>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w:t>
      </w:r>
    </w:p>
    <w:p>
      <w:pPr>
        <w:spacing w:after="0" w:line="169" w:lineRule="exact"/>
        <w:rPr>
          <w:sz w:val="20"/>
          <w:szCs w:val="20"/>
          <w:color w:val="auto"/>
        </w:rPr>
      </w:pPr>
    </w:p>
    <w:p>
      <w:pPr>
        <w:ind w:right="40" w:firstLine="245"/>
        <w:spacing w:after="0" w:line="233" w:lineRule="auto"/>
        <w:rPr>
          <w:sz w:val="20"/>
          <w:szCs w:val="20"/>
          <w:color w:val="auto"/>
        </w:rPr>
      </w:pPr>
      <w:r>
        <w:rPr>
          <w:rFonts w:ascii="Times New Roman" w:cs="Times New Roman" w:eastAsia="Times New Roman" w:hAnsi="Times New Roman"/>
          <w:sz w:val="20"/>
          <w:szCs w:val="20"/>
          <w:color w:val="4C4C4E"/>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200" w:lineRule="exact"/>
        <w:rPr>
          <w:sz w:val="20"/>
          <w:szCs w:val="20"/>
          <w:color w:val="auto"/>
        </w:rPr>
      </w:pPr>
    </w:p>
    <w:p>
      <w:pPr>
        <w:ind w:right="420" w:firstLine="245"/>
        <w:spacing w:after="0" w:line="242" w:lineRule="auto"/>
        <w:rPr>
          <w:sz w:val="20"/>
          <w:szCs w:val="20"/>
          <w:color w:val="auto"/>
        </w:rPr>
      </w:pPr>
      <w:r>
        <w:rPr>
          <w:rFonts w:ascii="Times New Roman" w:cs="Times New Roman" w:eastAsia="Times New Roman" w:hAnsi="Times New Roman"/>
          <w:sz w:val="20"/>
          <w:szCs w:val="20"/>
          <w:color w:val="4C4C4E"/>
        </w:rPr>
        <w:t>For the years ended December 31, 2025, December 31, 2024 and December 31, 2023, the Company incurred expenses of $3.9 million, $3.9 million and $3.2 million, respectively, for administrative services payable to the Adviser under the terms of the Administration Agreement, which is included in other general and administrative expenses in the Consolidated Statements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Investment Advisory Agreement</w:t>
      </w:r>
    </w:p>
    <w:p>
      <w:pPr>
        <w:spacing w:after="0" w:line="108" w:lineRule="exact"/>
        <w:rPr>
          <w:sz w:val="20"/>
          <w:szCs w:val="20"/>
          <w:color w:val="auto"/>
        </w:rPr>
      </w:pPr>
    </w:p>
    <w:p>
      <w:pPr>
        <w:ind w:right="20" w:firstLine="245"/>
        <w:spacing w:after="0" w:line="237" w:lineRule="auto"/>
        <w:rPr>
          <w:sz w:val="20"/>
          <w:szCs w:val="20"/>
          <w:color w:val="auto"/>
        </w:rPr>
      </w:pPr>
      <w:r>
        <w:rPr>
          <w:rFonts w:ascii="Times New Roman" w:cs="Times New Roman" w:eastAsia="Times New Roman" w:hAnsi="Times New Roman"/>
          <w:sz w:val="20"/>
          <w:szCs w:val="20"/>
          <w:color w:val="4C4C4E"/>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80" w:lineRule="exact"/>
        <w:rPr>
          <w:sz w:val="20"/>
          <w:szCs w:val="20"/>
          <w:color w:val="auto"/>
        </w:rPr>
      </w:pPr>
    </w:p>
    <w:p>
      <w:pPr>
        <w:ind w:right="120" w:firstLine="245"/>
        <w:spacing w:after="0" w:line="248" w:lineRule="auto"/>
        <w:rPr>
          <w:sz w:val="20"/>
          <w:szCs w:val="20"/>
          <w:color w:val="auto"/>
        </w:rPr>
      </w:pPr>
      <w:r>
        <w:rPr>
          <w:rFonts w:ascii="Times New Roman" w:cs="Times New Roman" w:eastAsia="Times New Roman" w:hAnsi="Times New Roman"/>
          <w:sz w:val="20"/>
          <w:szCs w:val="20"/>
          <w:color w:val="4C4C4E"/>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may be terminated by either party without penalty on 60 days’ written notice to the other party.</w:t>
      </w:r>
    </w:p>
    <w:p>
      <w:pPr>
        <w:spacing w:after="0" w:line="196" w:lineRule="exact"/>
        <w:rPr>
          <w:sz w:val="20"/>
          <w:szCs w:val="20"/>
          <w:color w:val="auto"/>
        </w:rPr>
      </w:pPr>
    </w:p>
    <w:p>
      <w:pPr>
        <w:ind w:right="140" w:firstLine="245"/>
        <w:spacing w:after="0" w:line="258" w:lineRule="auto"/>
        <w:rPr>
          <w:sz w:val="20"/>
          <w:szCs w:val="20"/>
          <w:color w:val="auto"/>
        </w:rPr>
      </w:pPr>
      <w:r>
        <w:rPr>
          <w:rFonts w:ascii="Times New Roman" w:cs="Times New Roman" w:eastAsia="Times New Roman" w:hAnsi="Times New Roman"/>
          <w:sz w:val="20"/>
          <w:szCs w:val="20"/>
          <w:color w:val="4C4C4E"/>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8" w:lineRule="exact"/>
        <w:rPr>
          <w:sz w:val="20"/>
          <w:szCs w:val="20"/>
          <w:color w:val="auto"/>
        </w:rPr>
      </w:pPr>
    </w:p>
    <w:p>
      <w:pPr>
        <w:ind w:right="200" w:firstLine="245"/>
        <w:spacing w:after="0" w:line="277" w:lineRule="auto"/>
        <w:rPr>
          <w:sz w:val="20"/>
          <w:szCs w:val="20"/>
          <w:color w:val="auto"/>
        </w:rPr>
      </w:pPr>
      <w:r>
        <w:rPr>
          <w:rFonts w:ascii="Times New Roman" w:cs="Times New Roman" w:eastAsia="Times New Roman" w:hAnsi="Times New Roman"/>
          <w:sz w:val="20"/>
          <w:szCs w:val="20"/>
          <w:color w:val="4C4C4E"/>
        </w:rPr>
        <w:t>For the years ended December 31, 2025, December 31, 2024 and December 31, 2023, Management Fees (gross of waivers) were $52.2 million, $51.8 million and $46.4 million, respectively.</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Any waived Management Fees are not subject to recoupment by the Adviser.</w:t>
      </w:r>
    </w:p>
    <w:p>
      <w:pPr>
        <w:spacing w:after="0" w:line="240"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4C4C4E"/>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years ended December 31, 2025, December 31, 2024 and December 31, 2023, Management Fees of $1.3 million, $1.5 million, and $1.2 million, respectively, have been waived pursuant to the Leverage Waiver.</w:t>
      </w:r>
    </w:p>
    <w:p>
      <w:pPr>
        <w:sectPr>
          <w:pgSz w:w="11880" w:h="15480" w:orient="portrait"/>
          <w:cols w:equalWidth="0" w:num="1">
            <w:col w:w="10760"/>
          </w:cols>
          <w:pgMar w:left="540" w:top="742" w:right="5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4C4C4E"/>
        </w:rPr>
        <w:t>F-33</w:t>
      </w:r>
    </w:p>
    <w:p>
      <w:pPr>
        <w:sectPr>
          <w:pgSz w:w="11880" w:h="15480" w:orient="portrait"/>
          <w:cols w:equalWidth="0" w:num="1">
            <w:col w:w="10760"/>
          </w:cols>
          <w:pgMar w:left="540" w:top="742" w:right="580" w:bottom="6" w:gutter="0" w:footer="0" w:header="0"/>
          <w:type w:val="continuous"/>
        </w:sectPr>
      </w:pPr>
    </w:p>
    <w:bookmarkStart w:id="122" w:name="page123"/>
    <w:bookmarkEnd w:id="122"/>
    <w:p>
      <w:pPr>
        <w:ind w:left="240"/>
        <w:spacing w:after="0"/>
        <w:rPr>
          <w:sz w:val="20"/>
          <w:szCs w:val="20"/>
          <w:color w:val="auto"/>
        </w:rPr>
      </w:pPr>
      <w:r>
        <w:rPr>
          <w:rFonts w:ascii="Times New Roman" w:cs="Times New Roman" w:eastAsia="Times New Roman" w:hAnsi="Times New Roman"/>
          <w:sz w:val="20"/>
          <w:szCs w:val="20"/>
          <w:color w:val="4C4C4E"/>
        </w:rPr>
        <w:t>The Incentive Fee consists of two parts, as follows:</w:t>
      </w:r>
    </w:p>
    <w:p>
      <w:pPr>
        <w:spacing w:after="0" w:line="120" w:lineRule="exact"/>
        <w:rPr>
          <w:sz w:val="20"/>
          <w:szCs w:val="20"/>
          <w:color w:val="auto"/>
        </w:rPr>
      </w:pPr>
    </w:p>
    <w:p>
      <w:pPr>
        <w:ind w:left="500" w:hanging="255"/>
        <w:spacing w:after="0" w:line="257" w:lineRule="auto"/>
        <w:tabs>
          <w:tab w:leader="none" w:pos="500" w:val="left"/>
        </w:tabs>
        <w:numPr>
          <w:ilvl w:val="0"/>
          <w:numId w:val="85"/>
        </w:numPr>
        <w:rPr>
          <w:rFonts w:ascii="Times New Roman" w:cs="Times New Roman" w:eastAsia="Times New Roman" w:hAnsi="Times New Roman"/>
          <w:sz w:val="19"/>
          <w:szCs w:val="19"/>
          <w:color w:val="4C4C4E"/>
        </w:rPr>
      </w:pPr>
      <w:r>
        <w:rPr>
          <w:rFonts w:ascii="Times New Roman" w:cs="Times New Roman" w:eastAsia="Times New Roman" w:hAnsi="Times New Roman"/>
          <w:sz w:val="19"/>
          <w:szCs w:val="19"/>
          <w:color w:val="4C4C4E"/>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w:t>
      </w:r>
    </w:p>
    <w:p>
      <w:pPr>
        <w:spacing w:after="0" w:line="4" w:lineRule="exact"/>
        <w:rPr>
          <w:rFonts w:ascii="Times New Roman" w:cs="Times New Roman" w:eastAsia="Times New Roman" w:hAnsi="Times New Roman"/>
          <w:sz w:val="19"/>
          <w:szCs w:val="19"/>
          <w:color w:val="4C4C4E"/>
        </w:rPr>
      </w:pPr>
    </w:p>
    <w:p>
      <w:pPr>
        <w:ind w:left="500" w:right="80"/>
        <w:spacing w:after="0" w:line="248" w:lineRule="auto"/>
        <w:rPr>
          <w:rFonts w:ascii="Times New Roman" w:cs="Times New Roman" w:eastAsia="Times New Roman" w:hAnsi="Times New Roman"/>
          <w:sz w:val="19"/>
          <w:szCs w:val="19"/>
          <w:color w:val="4C4C4E"/>
        </w:rPr>
      </w:pPr>
      <w:r>
        <w:rPr>
          <w:rFonts w:ascii="Times New Roman" w:cs="Times New Roman" w:eastAsia="Times New Roman" w:hAnsi="Times New Roman"/>
          <w:sz w:val="20"/>
          <w:szCs w:val="20"/>
          <w:color w:val="4C4C4E"/>
        </w:rPr>
        <w:t>(7.28% annualized), which is the rate at which catch-up is achieved. Once the “hurdle rate” is reached and catch-up is achieved, 17.5% of any pre-Incentive Fee net investment income in excess of 1.82% in any quarter is payable to the Adviser.</w:t>
      </w:r>
    </w:p>
    <w:p>
      <w:pPr>
        <w:spacing w:after="0" w:line="76" w:lineRule="exact"/>
        <w:rPr>
          <w:rFonts w:ascii="Times New Roman" w:cs="Times New Roman" w:eastAsia="Times New Roman" w:hAnsi="Times New Roman"/>
          <w:sz w:val="19"/>
          <w:szCs w:val="19"/>
          <w:color w:val="4C4C4E"/>
        </w:rPr>
      </w:pPr>
    </w:p>
    <w:p>
      <w:pPr>
        <w:ind w:left="500" w:right="40"/>
        <w:spacing w:after="0" w:line="246" w:lineRule="auto"/>
        <w:rPr>
          <w:rFonts w:ascii="Times New Roman" w:cs="Times New Roman" w:eastAsia="Times New Roman" w:hAnsi="Times New Roman"/>
          <w:sz w:val="19"/>
          <w:szCs w:val="19"/>
          <w:color w:val="4C4C4E"/>
        </w:rPr>
      </w:pPr>
      <w:r>
        <w:rPr>
          <w:rFonts w:ascii="Times New Roman" w:cs="Times New Roman" w:eastAsia="Times New Roman" w:hAnsi="Times New Roman"/>
          <w:sz w:val="20"/>
          <w:szCs w:val="20"/>
          <w:color w:val="4C4C4E"/>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9" w:lineRule="exact"/>
        <w:rPr>
          <w:rFonts w:ascii="Times New Roman" w:cs="Times New Roman" w:eastAsia="Times New Roman" w:hAnsi="Times New Roman"/>
          <w:sz w:val="19"/>
          <w:szCs w:val="19"/>
          <w:color w:val="4C4C4E"/>
        </w:rPr>
      </w:pPr>
    </w:p>
    <w:p>
      <w:pPr>
        <w:ind w:left="500" w:right="20" w:hanging="255"/>
        <w:spacing w:after="0" w:line="242" w:lineRule="auto"/>
        <w:tabs>
          <w:tab w:leader="none" w:pos="500" w:val="left"/>
        </w:tabs>
        <w:numPr>
          <w:ilvl w:val="0"/>
          <w:numId w:val="85"/>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212" w:lineRule="exact"/>
        <w:rPr>
          <w:sz w:val="20"/>
          <w:szCs w:val="20"/>
          <w:color w:val="auto"/>
        </w:rPr>
      </w:pPr>
    </w:p>
    <w:p>
      <w:pPr>
        <w:ind w:right="260" w:firstLine="245"/>
        <w:spacing w:after="0" w:line="258" w:lineRule="auto"/>
        <w:rPr>
          <w:sz w:val="20"/>
          <w:szCs w:val="20"/>
          <w:color w:val="auto"/>
        </w:rPr>
      </w:pPr>
      <w:r>
        <w:rPr>
          <w:rFonts w:ascii="Times New Roman" w:cs="Times New Roman" w:eastAsia="Times New Roman" w:hAnsi="Times New Roman"/>
          <w:sz w:val="20"/>
          <w:szCs w:val="20"/>
          <w:color w:val="4C4C4E"/>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88" w:lineRule="exact"/>
        <w:rPr>
          <w:sz w:val="20"/>
          <w:szCs w:val="20"/>
          <w:color w:val="auto"/>
        </w:rPr>
      </w:pPr>
    </w:p>
    <w:p>
      <w:pPr>
        <w:ind w:right="160" w:firstLine="245"/>
        <w:spacing w:after="0" w:line="258" w:lineRule="auto"/>
        <w:rPr>
          <w:sz w:val="20"/>
          <w:szCs w:val="20"/>
          <w:color w:val="auto"/>
        </w:rPr>
      </w:pPr>
      <w:r>
        <w:rPr>
          <w:rFonts w:ascii="Times New Roman" w:cs="Times New Roman" w:eastAsia="Times New Roman" w:hAnsi="Times New Roman"/>
          <w:sz w:val="20"/>
          <w:szCs w:val="20"/>
          <w:color w:val="4C4C4E"/>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61" w:lineRule="exact"/>
        <w:rPr>
          <w:sz w:val="20"/>
          <w:szCs w:val="20"/>
          <w:color w:val="auto"/>
        </w:rPr>
      </w:pPr>
    </w:p>
    <w:p>
      <w:pPr>
        <w:ind w:right="280" w:firstLine="245"/>
        <w:spacing w:after="0" w:line="239" w:lineRule="auto"/>
        <w:rPr>
          <w:sz w:val="20"/>
          <w:szCs w:val="20"/>
          <w:color w:val="auto"/>
        </w:rPr>
      </w:pPr>
      <w:r>
        <w:rPr>
          <w:rFonts w:ascii="Times New Roman" w:cs="Times New Roman" w:eastAsia="Times New Roman" w:hAnsi="Times New Roman"/>
          <w:sz w:val="20"/>
          <w:szCs w:val="20"/>
          <w:color w:val="4C4C4E"/>
        </w:rPr>
        <w:t>For the years ended December 31, 2025, December 31, 2024 and December 31, 2023, Incentive Fees were $38.4 million, $40.2 million and $47.0 million, respectively, of which $43.5 million, $45.5 million and $42.6 million, respectively, were realized and payable to the Adviser. For the years ended December 31, 2025, December 31, 2024 and December 31, 2023, $(5.1) million, $(5.4) million, and $4.4 million, respectively, of Incentive Fees were accrued related to Capital Gains Fees. As of December 31, 2025, December 31, 2024 and December 31, 2023, these accrued Incentive Fees are not contractually payable to the Adviser.</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Any waived Incentive Fees are not subject to recoupment by the Adviser.</w:t>
      </w:r>
    </w:p>
    <w:p>
      <w:pPr>
        <w:spacing w:after="0" w:line="232" w:lineRule="exact"/>
        <w:rPr>
          <w:sz w:val="20"/>
          <w:szCs w:val="20"/>
          <w:color w:val="auto"/>
        </w:rPr>
      </w:pPr>
    </w:p>
    <w:p>
      <w:pPr>
        <w:ind w:right="520" w:firstLine="245"/>
        <w:spacing w:after="0" w:line="248" w:lineRule="auto"/>
        <w:rPr>
          <w:sz w:val="20"/>
          <w:szCs w:val="20"/>
          <w:color w:val="auto"/>
        </w:rPr>
      </w:pPr>
      <w:r>
        <w:rPr>
          <w:rFonts w:ascii="Times New Roman" w:cs="Times New Roman" w:eastAsia="Times New Roman" w:hAnsi="Times New Roman"/>
          <w:sz w:val="20"/>
          <w:szCs w:val="20"/>
          <w:color w:val="4C4C4E"/>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88" w:lineRule="exact"/>
        <w:rPr>
          <w:sz w:val="20"/>
          <w:szCs w:val="20"/>
          <w:color w:val="auto"/>
        </w:rPr>
      </w:pPr>
    </w:p>
    <w:p>
      <w:pPr>
        <w:ind w:right="40" w:firstLine="245"/>
        <w:spacing w:after="0" w:line="248" w:lineRule="auto"/>
        <w:rPr>
          <w:sz w:val="20"/>
          <w:szCs w:val="20"/>
          <w:color w:val="auto"/>
        </w:rPr>
      </w:pPr>
      <w:r>
        <w:rPr>
          <w:rFonts w:ascii="Times New Roman" w:cs="Times New Roman" w:eastAsia="Times New Roman" w:hAnsi="Times New Roman"/>
          <w:sz w:val="20"/>
          <w:szCs w:val="20"/>
          <w:color w:val="4C4C4E"/>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F-34</w:t>
      </w:r>
    </w:p>
    <w:p>
      <w:pPr>
        <w:sectPr>
          <w:pgSz w:w="11880" w:h="15480" w:orient="portrait"/>
          <w:cols w:equalWidth="0" w:num="1">
            <w:col w:w="10800"/>
          </w:cols>
          <w:pgMar w:left="540" w:top="750" w:right="540" w:bottom="6"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4C4C4E"/>
        </w:rPr>
        <w:t>4. Investments at Fair Value</w:t>
      </w:r>
    </w:p>
    <w:p>
      <w:pPr>
        <w:spacing w:after="0" w:line="114" w:lineRule="exact"/>
        <w:rPr>
          <w:sz w:val="20"/>
          <w:szCs w:val="20"/>
          <w:color w:val="auto"/>
        </w:rPr>
      </w:pPr>
    </w:p>
    <w:p>
      <w:pPr>
        <w:ind w:firstLine="245"/>
        <w:spacing w:after="0" w:line="235" w:lineRule="auto"/>
        <w:rPr>
          <w:sz w:val="20"/>
          <w:szCs w:val="20"/>
          <w:color w:val="auto"/>
        </w:rPr>
      </w:pPr>
      <w:r>
        <w:rPr>
          <w:rFonts w:ascii="Times New Roman" w:cs="Times New Roman" w:eastAsia="Times New Roman" w:hAnsi="Times New Roman"/>
          <w:sz w:val="20"/>
          <w:szCs w:val="20"/>
          <w:color w:val="4C4C4E"/>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Investments at fair value consisted of the following at December 31, 2025 and December 31, 2024:</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4C4C4E"/>
              </w:rPr>
              <w:t>Net Unrealized</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120"/>
              <w:spacing w:after="0" w:line="204" w:lineRule="exact"/>
              <w:rPr>
                <w:sz w:val="20"/>
                <w:szCs w:val="20"/>
                <w:color w:val="auto"/>
              </w:rPr>
            </w:pPr>
            <w:r>
              <w:rPr>
                <w:rFonts w:ascii="Times New Roman" w:cs="Times New Roman" w:eastAsia="Times New Roman" w:hAnsi="Times New Roman"/>
                <w:sz w:val="16"/>
                <w:szCs w:val="16"/>
                <w:b w:val="1"/>
                <w:bCs w:val="1"/>
                <w:color w:val="4C4C4E"/>
                <w:w w:val="97"/>
              </w:rPr>
              <w:t xml:space="preserve">Amortized Cost </w:t>
            </w:r>
            <w:r>
              <w:rPr>
                <w:rFonts w:ascii="Times New Roman" w:cs="Times New Roman" w:eastAsia="Times New Roman" w:hAnsi="Times New Roman"/>
                <w:sz w:val="20"/>
                <w:szCs w:val="20"/>
                <w:b w:val="1"/>
                <w:bCs w:val="1"/>
                <w:color w:val="4C4C4E"/>
                <w:w w:val="97"/>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4C4C4E"/>
              </w:rPr>
              <w:t>Fair Value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4C4C4E"/>
              </w:rPr>
              <w:t>Gain (Loss)</w:t>
            </w:r>
          </w:p>
        </w:tc>
        <w:tc>
          <w:tcPr>
            <w:tcW w:w="0" w:type="dxa"/>
            <w:vAlign w:val="bottom"/>
          </w:tcPr>
          <w:p>
            <w:pPr>
              <w:spacing w:after="0"/>
              <w:rPr>
                <w:sz w:val="1"/>
                <w:szCs w:val="1"/>
                <w:color w:val="auto"/>
              </w:rPr>
            </w:pPr>
          </w:p>
        </w:tc>
      </w:tr>
      <w:tr>
        <w:trPr>
          <w:trHeight w:val="239"/>
        </w:trPr>
        <w:tc>
          <w:tcPr>
            <w:tcW w:w="40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First-lien debt investments</w:t>
            </w:r>
          </w:p>
        </w:tc>
        <w:tc>
          <w:tcPr>
            <w:tcW w:w="40" w:type="dxa"/>
            <w:vAlign w:val="bottom"/>
            <w:tcBorders>
              <w:top w:val="single" w:sz="8" w:color="D8EEF4"/>
            </w:tcBorders>
            <w:shd w:val="clear" w:color="auto" w:fill="D8EEF4"/>
          </w:tcPr>
          <w:p>
            <w:pPr>
              <w:spacing w:after="0"/>
              <w:rPr>
                <w:sz w:val="20"/>
                <w:szCs w:val="20"/>
                <w:color w:val="auto"/>
              </w:rPr>
            </w:pPr>
          </w:p>
        </w:tc>
        <w:tc>
          <w:tcPr>
            <w:tcW w:w="10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w w:val="79"/>
              </w:rPr>
              <w:t>$</w:t>
            </w:r>
          </w:p>
        </w:tc>
        <w:tc>
          <w:tcPr>
            <w:tcW w:w="1380" w:type="dxa"/>
            <w:vAlign w:val="bottom"/>
            <w:tcBorders>
              <w:top w:val="single" w:sz="8" w:color="4C4C4E"/>
            </w:tcBorders>
            <w:gridSpan w:val="3"/>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2,934,162</w:t>
            </w:r>
          </w:p>
        </w:tc>
        <w:tc>
          <w:tcPr>
            <w:tcW w:w="20" w:type="dxa"/>
            <w:vAlign w:val="bottom"/>
            <w:tcBorders>
              <w:top w:val="single" w:sz="8" w:color="4C4C4E"/>
            </w:tcBorders>
            <w:shd w:val="clear" w:color="auto" w:fill="D8EEF4"/>
          </w:tcPr>
          <w:p>
            <w:pPr>
              <w:spacing w:after="0"/>
              <w:rPr>
                <w:sz w:val="20"/>
                <w:szCs w:val="20"/>
                <w:color w:val="auto"/>
              </w:rPr>
            </w:pPr>
          </w:p>
        </w:tc>
        <w:tc>
          <w:tcPr>
            <w:tcW w:w="220" w:type="dxa"/>
            <w:vAlign w:val="bottom"/>
            <w:tcBorders>
              <w:top w:val="single" w:sz="8" w:color="D8EEF4"/>
            </w:tcBorders>
            <w:shd w:val="clear" w:color="auto" w:fill="D8EEF4"/>
          </w:tcPr>
          <w:p>
            <w:pPr>
              <w:spacing w:after="0"/>
              <w:rPr>
                <w:sz w:val="20"/>
                <w:szCs w:val="20"/>
                <w:color w:val="auto"/>
              </w:rPr>
            </w:pPr>
          </w:p>
        </w:tc>
        <w:tc>
          <w:tcPr>
            <w:tcW w:w="1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10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2,984,501</w:t>
            </w:r>
          </w:p>
        </w:tc>
        <w:tc>
          <w:tcPr>
            <w:tcW w:w="200" w:type="dxa"/>
            <w:vAlign w:val="bottom"/>
            <w:tcBorders>
              <w:top w:val="single" w:sz="8" w:color="D8EEF4"/>
            </w:tcBorders>
            <w:shd w:val="clear" w:color="auto" w:fill="D8EEF4"/>
          </w:tcPr>
          <w:p>
            <w:pPr>
              <w:spacing w:after="0"/>
              <w:rPr>
                <w:sz w:val="20"/>
                <w:szCs w:val="20"/>
                <w:color w:val="auto"/>
              </w:rPr>
            </w:pPr>
          </w:p>
        </w:tc>
        <w:tc>
          <w:tcPr>
            <w:tcW w:w="140" w:type="dxa"/>
            <w:vAlign w:val="bottom"/>
            <w:tcBorders>
              <w:top w:val="single" w:sz="8" w:color="4C4C4E"/>
            </w:tcBorders>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80" w:type="dxa"/>
            <w:vAlign w:val="bottom"/>
            <w:tcBorders>
              <w:top w:val="single" w:sz="8" w:color="4C4C4E"/>
            </w:tcBorders>
            <w:shd w:val="clear" w:color="auto" w:fill="D8EEF4"/>
          </w:tcPr>
          <w:p>
            <w:pPr>
              <w:spacing w:after="0"/>
              <w:rPr>
                <w:sz w:val="20"/>
                <w:szCs w:val="20"/>
                <w:color w:val="auto"/>
              </w:rPr>
            </w:pPr>
          </w:p>
        </w:tc>
        <w:tc>
          <w:tcPr>
            <w:tcW w:w="160" w:type="dxa"/>
            <w:vAlign w:val="bottom"/>
            <w:tcBorders>
              <w:top w:val="single" w:sz="8" w:color="4C4C4E"/>
            </w:tcBorders>
            <w:shd w:val="clear" w:color="auto" w:fill="D8EEF4"/>
          </w:tcPr>
          <w:p>
            <w:pPr>
              <w:spacing w:after="0"/>
              <w:rPr>
                <w:sz w:val="20"/>
                <w:szCs w:val="20"/>
                <w:color w:val="auto"/>
              </w:rPr>
            </w:pPr>
          </w:p>
        </w:tc>
        <w:tc>
          <w:tcPr>
            <w:tcW w:w="10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50,339</w:t>
            </w:r>
          </w:p>
        </w:tc>
        <w:tc>
          <w:tcPr>
            <w:tcW w:w="20" w:type="dxa"/>
            <w:vAlign w:val="bottom"/>
            <w:tcBorders>
              <w:top w:val="single" w:sz="8" w:color="D8EEF4"/>
            </w:tcBorders>
            <w:shd w:val="clear" w:color="auto" w:fill="D8EEF4"/>
          </w:tcPr>
          <w:p>
            <w:pPr>
              <w:spacing w:after="0"/>
              <w:rPr>
                <w:sz w:val="20"/>
                <w:szCs w:val="20"/>
                <w:color w:val="auto"/>
              </w:rPr>
            </w:pPr>
          </w:p>
        </w:tc>
        <w:tc>
          <w:tcPr>
            <w:tcW w:w="100" w:type="dxa"/>
            <w:vAlign w:val="bottom"/>
            <w:tcBorders>
              <w:top w:val="single" w:sz="8" w:color="D8EEF4"/>
            </w:tcBorders>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4C4C4E"/>
              </w:rPr>
              <w:t>Second-lien debt investments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E"/>
              </w:rPr>
              <w:t>69,631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30,678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(38,953)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Mezzanine debt investments</w:t>
            </w:r>
          </w:p>
        </w:tc>
        <w:tc>
          <w:tcPr>
            <w:tcW w:w="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38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61,150</w:t>
            </w:r>
          </w:p>
        </w:tc>
        <w:tc>
          <w:tcPr>
            <w:tcW w:w="2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160" w:type="dxa"/>
            <w:vAlign w:val="bottom"/>
            <w:shd w:val="clear" w:color="auto" w:fill="D8EEF4"/>
          </w:tcPr>
          <w:p>
            <w:pPr>
              <w:spacing w:after="0"/>
              <w:rPr>
                <w:sz w:val="21"/>
                <w:szCs w:val="21"/>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61,684</w:t>
            </w:r>
          </w:p>
        </w:tc>
        <w:tc>
          <w:tcPr>
            <w:tcW w:w="20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2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160" w:type="dxa"/>
            <w:vAlign w:val="bottom"/>
            <w:shd w:val="clear" w:color="auto" w:fill="D8EEF4"/>
          </w:tcPr>
          <w:p>
            <w:pPr>
              <w:spacing w:after="0"/>
              <w:rPr>
                <w:sz w:val="21"/>
                <w:szCs w:val="21"/>
                <w:color w:val="auto"/>
              </w:rPr>
            </w:pPr>
          </w:p>
        </w:tc>
        <w:tc>
          <w:tcPr>
            <w:tcW w:w="10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534</w:t>
            </w:r>
          </w:p>
        </w:tc>
        <w:tc>
          <w:tcPr>
            <w:tcW w:w="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4C4C4E"/>
              </w:rPr>
              <w:t>Equity and other investments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E"/>
              </w:rPr>
              <w:t>159,782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172,582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12,800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Structured credit investments</w:t>
            </w:r>
          </w:p>
        </w:tc>
        <w:tc>
          <w:tcPr>
            <w:tcW w:w="40" w:type="dxa"/>
            <w:vAlign w:val="bottom"/>
            <w:shd w:val="clear" w:color="auto" w:fill="D8EEF4"/>
          </w:tcPr>
          <w:p>
            <w:pPr>
              <w:spacing w:after="0"/>
              <w:rPr>
                <w:sz w:val="22"/>
                <w:szCs w:val="22"/>
                <w:color w:val="auto"/>
              </w:rPr>
            </w:pPr>
          </w:p>
        </w:tc>
        <w:tc>
          <w:tcPr>
            <w:tcW w:w="100" w:type="dxa"/>
            <w:vAlign w:val="bottom"/>
            <w:shd w:val="clear" w:color="auto" w:fill="D8EEF4"/>
          </w:tcPr>
          <w:p>
            <w:pPr>
              <w:spacing w:after="0"/>
              <w:rPr>
                <w:sz w:val="22"/>
                <w:szCs w:val="22"/>
                <w:color w:val="auto"/>
              </w:rPr>
            </w:pPr>
          </w:p>
        </w:tc>
        <w:tc>
          <w:tcPr>
            <w:tcW w:w="138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98,557</w:t>
            </w:r>
          </w:p>
        </w:tc>
        <w:tc>
          <w:tcPr>
            <w:tcW w:w="20" w:type="dxa"/>
            <w:vAlign w:val="bottom"/>
            <w:shd w:val="clear" w:color="auto" w:fill="D8EEF4"/>
          </w:tcPr>
          <w:p>
            <w:pPr>
              <w:spacing w:after="0"/>
              <w:rPr>
                <w:sz w:val="22"/>
                <w:szCs w:val="22"/>
                <w:color w:val="auto"/>
              </w:rPr>
            </w:pPr>
          </w:p>
        </w:tc>
        <w:tc>
          <w:tcPr>
            <w:tcW w:w="220" w:type="dxa"/>
            <w:vAlign w:val="bottom"/>
            <w:shd w:val="clear" w:color="auto" w:fill="D8EEF4"/>
          </w:tcPr>
          <w:p>
            <w:pPr>
              <w:spacing w:after="0"/>
              <w:rPr>
                <w:sz w:val="22"/>
                <w:szCs w:val="22"/>
                <w:color w:val="auto"/>
              </w:rPr>
            </w:pPr>
          </w:p>
        </w:tc>
        <w:tc>
          <w:tcPr>
            <w:tcW w:w="160" w:type="dxa"/>
            <w:vAlign w:val="bottom"/>
            <w:shd w:val="clear" w:color="auto" w:fill="D8EEF4"/>
          </w:tcPr>
          <w:p>
            <w:pPr>
              <w:spacing w:after="0"/>
              <w:rPr>
                <w:sz w:val="22"/>
                <w:szCs w:val="22"/>
                <w:color w:val="auto"/>
              </w:rPr>
            </w:pPr>
          </w:p>
        </w:tc>
        <w:tc>
          <w:tcPr>
            <w:tcW w:w="10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97,872</w:t>
            </w:r>
          </w:p>
        </w:tc>
        <w:tc>
          <w:tcPr>
            <w:tcW w:w="200" w:type="dxa"/>
            <w:vAlign w:val="bottom"/>
            <w:shd w:val="clear" w:color="auto" w:fill="D8EEF4"/>
          </w:tcPr>
          <w:p>
            <w:pPr>
              <w:spacing w:after="0"/>
              <w:rPr>
                <w:sz w:val="22"/>
                <w:szCs w:val="22"/>
                <w:color w:val="auto"/>
              </w:rPr>
            </w:pPr>
          </w:p>
        </w:tc>
        <w:tc>
          <w:tcPr>
            <w:tcW w:w="20" w:type="dxa"/>
            <w:vAlign w:val="bottom"/>
            <w:shd w:val="clear" w:color="auto" w:fill="D8EEF4"/>
          </w:tcPr>
          <w:p>
            <w:pPr>
              <w:spacing w:after="0"/>
              <w:rPr>
                <w:sz w:val="22"/>
                <w:szCs w:val="22"/>
                <w:color w:val="auto"/>
              </w:rPr>
            </w:pPr>
          </w:p>
        </w:tc>
        <w:tc>
          <w:tcPr>
            <w:tcW w:w="120" w:type="dxa"/>
            <w:vAlign w:val="bottom"/>
            <w:shd w:val="clear" w:color="auto" w:fill="D8EEF4"/>
          </w:tcPr>
          <w:p>
            <w:pPr>
              <w:spacing w:after="0"/>
              <w:rPr>
                <w:sz w:val="22"/>
                <w:szCs w:val="22"/>
                <w:color w:val="auto"/>
              </w:rPr>
            </w:pPr>
          </w:p>
        </w:tc>
        <w:tc>
          <w:tcPr>
            <w:tcW w:w="80" w:type="dxa"/>
            <w:vAlign w:val="bottom"/>
            <w:shd w:val="clear" w:color="auto" w:fill="D8EEF4"/>
          </w:tcPr>
          <w:p>
            <w:pPr>
              <w:spacing w:after="0"/>
              <w:rPr>
                <w:sz w:val="22"/>
                <w:szCs w:val="22"/>
                <w:color w:val="auto"/>
              </w:rPr>
            </w:pPr>
          </w:p>
        </w:tc>
        <w:tc>
          <w:tcPr>
            <w:tcW w:w="160" w:type="dxa"/>
            <w:vAlign w:val="bottom"/>
            <w:shd w:val="clear" w:color="auto" w:fill="D8EEF4"/>
          </w:tcPr>
          <w:p>
            <w:pPr>
              <w:spacing w:after="0"/>
              <w:rPr>
                <w:sz w:val="22"/>
                <w:szCs w:val="22"/>
                <w:color w:val="auto"/>
              </w:rPr>
            </w:pPr>
          </w:p>
        </w:tc>
        <w:tc>
          <w:tcPr>
            <w:tcW w:w="112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rPr>
              <w:t>(685)</w:t>
            </w:r>
          </w:p>
        </w:tc>
        <w:tc>
          <w:tcPr>
            <w:tcW w:w="0" w:type="dxa"/>
            <w:vAlign w:val="bottom"/>
          </w:tcPr>
          <w:p>
            <w:pPr>
              <w:spacing w:after="0"/>
              <w:rPr>
                <w:sz w:val="1"/>
                <w:szCs w:val="1"/>
                <w:color w:val="auto"/>
              </w:rPr>
            </w:pPr>
          </w:p>
        </w:tc>
      </w:tr>
      <w:tr>
        <w:trPr>
          <w:trHeight w:val="219"/>
        </w:trPr>
        <w:tc>
          <w:tcPr>
            <w:tcW w:w="4000" w:type="dxa"/>
            <w:vAlign w:val="bottom"/>
            <w:tcBorders>
              <w:top w:val="single" w:sz="8" w:color="D8EEF4"/>
            </w:tcBorders>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4C4C4E"/>
              </w:rPr>
              <w:t>Total Investments</w:t>
            </w:r>
          </w:p>
        </w:tc>
        <w:tc>
          <w:tcPr>
            <w:tcW w:w="40" w:type="dxa"/>
            <w:vAlign w:val="bottom"/>
            <w:tcBorders>
              <w:top w:val="single" w:sz="8" w:color="D8EEF4"/>
            </w:tcBorders>
          </w:tcPr>
          <w:p>
            <w:pPr>
              <w:spacing w:after="0"/>
              <w:rPr>
                <w:sz w:val="19"/>
                <w:szCs w:val="19"/>
                <w:color w:val="auto"/>
              </w:rPr>
            </w:pPr>
          </w:p>
        </w:tc>
        <w:tc>
          <w:tcPr>
            <w:tcW w:w="100" w:type="dxa"/>
            <w:vAlign w:val="bottom"/>
            <w:tcBorders>
              <w:top w:val="single" w:sz="8" w:color="4C4C4E"/>
              <w:bottom w:val="single" w:sz="8" w:color="4C4C4E"/>
            </w:tcBorders>
          </w:tcPr>
          <w:p>
            <w:pPr>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1380" w:type="dxa"/>
            <w:vAlign w:val="bottom"/>
            <w:tcBorders>
              <w:top w:val="single" w:sz="8" w:color="4C4C4E"/>
              <w:bottom w:val="single" w:sz="8" w:color="4C4C4E"/>
            </w:tcBorders>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4C4C4E"/>
              </w:rPr>
              <w:t>3,323,282</w:t>
            </w:r>
          </w:p>
        </w:tc>
        <w:tc>
          <w:tcPr>
            <w:tcW w:w="20" w:type="dxa"/>
            <w:vAlign w:val="bottom"/>
            <w:tcBorders>
              <w:top w:val="single" w:sz="8" w:color="4C4C4E"/>
              <w:bottom w:val="single" w:sz="8" w:color="4C4C4E"/>
            </w:tcBorders>
          </w:tcPr>
          <w:p>
            <w:pPr>
              <w:spacing w:after="0"/>
              <w:rPr>
                <w:sz w:val="19"/>
                <w:szCs w:val="19"/>
                <w:color w:val="auto"/>
              </w:rPr>
            </w:pPr>
          </w:p>
        </w:tc>
        <w:tc>
          <w:tcPr>
            <w:tcW w:w="220" w:type="dxa"/>
            <w:vAlign w:val="bottom"/>
            <w:tcBorders>
              <w:top w:val="single" w:sz="8" w:color="D8EEF4"/>
            </w:tcBorders>
          </w:tcPr>
          <w:p>
            <w:pPr>
              <w:spacing w:after="0"/>
              <w:rPr>
                <w:sz w:val="19"/>
                <w:szCs w:val="19"/>
                <w:color w:val="auto"/>
              </w:rPr>
            </w:pPr>
          </w:p>
        </w:tc>
        <w:tc>
          <w:tcPr>
            <w:tcW w:w="160" w:type="dxa"/>
            <w:vAlign w:val="bottom"/>
            <w:tcBorders>
              <w:top w:val="single" w:sz="8" w:color="4C4C4E"/>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1020" w:type="dxa"/>
            <w:vAlign w:val="bottom"/>
            <w:tcBorders>
              <w:top w:val="single" w:sz="8" w:color="4C4C4E"/>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3,347,317</w:t>
            </w:r>
          </w:p>
        </w:tc>
        <w:tc>
          <w:tcPr>
            <w:tcW w:w="200" w:type="dxa"/>
            <w:vAlign w:val="bottom"/>
            <w:tcBorders>
              <w:top w:val="single" w:sz="8" w:color="D8EEF4"/>
            </w:tcBorders>
          </w:tcPr>
          <w:p>
            <w:pPr>
              <w:spacing w:after="0"/>
              <w:rPr>
                <w:sz w:val="19"/>
                <w:szCs w:val="19"/>
                <w:color w:val="auto"/>
              </w:rPr>
            </w:pPr>
          </w:p>
        </w:tc>
        <w:tc>
          <w:tcPr>
            <w:tcW w:w="140" w:type="dxa"/>
            <w:vAlign w:val="bottom"/>
            <w:tcBorders>
              <w:top w:val="single" w:sz="8" w:color="4C4C4E"/>
              <w:bottom w:val="single" w:sz="8" w:color="4C4C4E"/>
            </w:tcBorders>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80" w:type="dxa"/>
            <w:vAlign w:val="bottom"/>
            <w:tcBorders>
              <w:top w:val="single" w:sz="8" w:color="4C4C4E"/>
              <w:bottom w:val="single" w:sz="8" w:color="4C4C4E"/>
            </w:tcBorders>
          </w:tcPr>
          <w:p>
            <w:pPr>
              <w:spacing w:after="0"/>
              <w:rPr>
                <w:sz w:val="19"/>
                <w:szCs w:val="19"/>
                <w:color w:val="auto"/>
              </w:rPr>
            </w:pPr>
          </w:p>
        </w:tc>
        <w:tc>
          <w:tcPr>
            <w:tcW w:w="160" w:type="dxa"/>
            <w:vAlign w:val="bottom"/>
            <w:tcBorders>
              <w:top w:val="single" w:sz="8" w:color="4C4C4E"/>
              <w:bottom w:val="single" w:sz="8" w:color="4C4C4E"/>
            </w:tcBorders>
          </w:tcPr>
          <w:p>
            <w:pPr>
              <w:spacing w:after="0"/>
              <w:rPr>
                <w:sz w:val="19"/>
                <w:szCs w:val="19"/>
                <w:color w:val="auto"/>
              </w:rPr>
            </w:pPr>
          </w:p>
        </w:tc>
        <w:tc>
          <w:tcPr>
            <w:tcW w:w="1000" w:type="dxa"/>
            <w:vAlign w:val="bottom"/>
            <w:tcBorders>
              <w:top w:val="single" w:sz="8" w:color="4C4C4E"/>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24,035</w:t>
            </w:r>
          </w:p>
        </w:tc>
        <w:tc>
          <w:tcPr>
            <w:tcW w:w="20" w:type="dxa"/>
            <w:vAlign w:val="bottom"/>
            <w:tcBorders>
              <w:top w:val="single" w:sz="8" w:color="D8EEF4"/>
            </w:tcBorders>
          </w:tcPr>
          <w:p>
            <w:pPr>
              <w:spacing w:after="0"/>
              <w:rPr>
                <w:sz w:val="19"/>
                <w:szCs w:val="19"/>
                <w:color w:val="auto"/>
              </w:rPr>
            </w:pPr>
          </w:p>
        </w:tc>
        <w:tc>
          <w:tcPr>
            <w:tcW w:w="100" w:type="dxa"/>
            <w:vAlign w:val="bottom"/>
            <w:tcBorders>
              <w:top w:val="single" w:sz="8" w:color="D8EEF4"/>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18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102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100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4C4C4E"/>
              </w:rPr>
              <w:t>Net Unrealized</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4"/>
          </w:tcPr>
          <w:p>
            <w:pPr>
              <w:spacing w:after="0" w:line="204" w:lineRule="exact"/>
              <w:rPr>
                <w:sz w:val="20"/>
                <w:szCs w:val="20"/>
                <w:color w:val="auto"/>
              </w:rPr>
            </w:pPr>
            <w:r>
              <w:rPr>
                <w:rFonts w:ascii="Times New Roman" w:cs="Times New Roman" w:eastAsia="Times New Roman" w:hAnsi="Times New Roman"/>
                <w:sz w:val="16"/>
                <w:szCs w:val="16"/>
                <w:b w:val="1"/>
                <w:bCs w:val="1"/>
                <w:color w:val="4C4C4E"/>
              </w:rPr>
              <w:t xml:space="preserve">Amortized Cost </w:t>
            </w:r>
            <w:r>
              <w:rPr>
                <w:rFonts w:ascii="Times New Roman" w:cs="Times New Roman" w:eastAsia="Times New Roman" w:hAnsi="Times New Roman"/>
                <w:sz w:val="20"/>
                <w:szCs w:val="20"/>
                <w:b w:val="1"/>
                <w:bCs w:val="1"/>
                <w:color w:val="4C4C4E"/>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4C4C4E"/>
              </w:rPr>
              <w:t>Fair Value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4C4C4E"/>
              </w:rPr>
              <w:t>Gain (Loss)</w:t>
            </w:r>
          </w:p>
        </w:tc>
        <w:tc>
          <w:tcPr>
            <w:tcW w:w="0" w:type="dxa"/>
            <w:vAlign w:val="bottom"/>
          </w:tcPr>
          <w:p>
            <w:pPr>
              <w:spacing w:after="0"/>
              <w:rPr>
                <w:sz w:val="1"/>
                <w:szCs w:val="1"/>
                <w:color w:val="auto"/>
              </w:rPr>
            </w:pPr>
          </w:p>
        </w:tc>
      </w:tr>
      <w:tr>
        <w:trPr>
          <w:trHeight w:val="225"/>
        </w:trPr>
        <w:tc>
          <w:tcPr>
            <w:tcW w:w="400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First-lien debt investments</w:t>
            </w:r>
          </w:p>
        </w:tc>
        <w:tc>
          <w:tcPr>
            <w:tcW w:w="140" w:type="dxa"/>
            <w:vAlign w:val="bottom"/>
            <w:tcBorders>
              <w:top w:val="single" w:sz="8" w:color="4C4C4E"/>
            </w:tcBorders>
            <w:gridSpan w:val="2"/>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1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3,298,006</w:t>
            </w:r>
          </w:p>
        </w:tc>
        <w:tc>
          <w:tcPr>
            <w:tcW w:w="20" w:type="dxa"/>
            <w:vAlign w:val="bottom"/>
            <w:tcBorders>
              <w:top w:val="single" w:sz="8" w:color="D8EEF4"/>
            </w:tcBorders>
            <w:shd w:val="clear" w:color="auto" w:fill="D8EEF4"/>
          </w:tcPr>
          <w:p>
            <w:pPr>
              <w:spacing w:after="0"/>
              <w:rPr>
                <w:sz w:val="19"/>
                <w:szCs w:val="19"/>
                <w:color w:val="auto"/>
              </w:rPr>
            </w:pPr>
          </w:p>
        </w:tc>
        <w:tc>
          <w:tcPr>
            <w:tcW w:w="180" w:type="dxa"/>
            <w:vAlign w:val="bottom"/>
            <w:tcBorders>
              <w:top w:val="single" w:sz="8" w:color="D8EEF4"/>
            </w:tcBorders>
            <w:shd w:val="clear" w:color="auto" w:fill="D8EEF4"/>
          </w:tcPr>
          <w:p>
            <w:pPr>
              <w:spacing w:after="0"/>
              <w:rPr>
                <w:sz w:val="19"/>
                <w:szCs w:val="19"/>
                <w:color w:val="auto"/>
              </w:rPr>
            </w:pPr>
          </w:p>
        </w:tc>
        <w:tc>
          <w:tcPr>
            <w:tcW w:w="240" w:type="dxa"/>
            <w:vAlign w:val="bottom"/>
            <w:tcBorders>
              <w:top w:val="single" w:sz="8" w:color="4C4C4E"/>
            </w:tcBorders>
            <w:gridSpan w:val="2"/>
            <w:shd w:val="clear" w:color="auto" w:fill="D8EE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60" w:type="dxa"/>
            <w:vAlign w:val="bottom"/>
            <w:tcBorders>
              <w:top w:val="single" w:sz="8" w:color="4C4C4E"/>
            </w:tcBorders>
            <w:shd w:val="clear" w:color="auto" w:fill="D8EEF4"/>
          </w:tcPr>
          <w:p>
            <w:pPr>
              <w:spacing w:after="0"/>
              <w:rPr>
                <w:sz w:val="19"/>
                <w:szCs w:val="19"/>
                <w:color w:val="auto"/>
              </w:rPr>
            </w:pPr>
          </w:p>
        </w:tc>
        <w:tc>
          <w:tcPr>
            <w:tcW w:w="1240" w:type="dxa"/>
            <w:vAlign w:val="bottom"/>
            <w:tcBorders>
              <w:top w:val="single" w:sz="8" w:color="4C4C4E"/>
            </w:tcBorders>
            <w:gridSpan w:val="3"/>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3,302,504</w:t>
            </w:r>
          </w:p>
        </w:tc>
        <w:tc>
          <w:tcPr>
            <w:tcW w:w="120" w:type="dxa"/>
            <w:vAlign w:val="bottom"/>
            <w:tcBorders>
              <w:top w:val="single" w:sz="8" w:color="D8EEF4"/>
            </w:tcBorders>
            <w:shd w:val="clear" w:color="auto" w:fill="D8EEF4"/>
          </w:tcPr>
          <w:p>
            <w:pPr>
              <w:spacing w:after="0"/>
              <w:rPr>
                <w:sz w:val="19"/>
                <w:szCs w:val="19"/>
                <w:color w:val="auto"/>
              </w:rPr>
            </w:pPr>
          </w:p>
        </w:tc>
        <w:tc>
          <w:tcPr>
            <w:tcW w:w="8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20" w:type="dxa"/>
            <w:vAlign w:val="bottom"/>
            <w:tcBorders>
              <w:top w:val="single" w:sz="8" w:color="4C4C4E"/>
            </w:tcBorders>
            <w:gridSpan w:val="2"/>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4,498</w:t>
            </w:r>
          </w:p>
        </w:tc>
        <w:tc>
          <w:tcPr>
            <w:tcW w:w="100" w:type="dxa"/>
            <w:vAlign w:val="bottom"/>
            <w:tcBorders>
              <w:top w:val="single" w:sz="8" w:color="D8EEF4"/>
            </w:tcBorders>
            <w:shd w:val="clear" w:color="auto" w:fill="D8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4C4C4E"/>
              </w:rPr>
              <w:t>Second-lien debt investments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53,151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E"/>
              </w:rPr>
              <w:t>19,844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(33,307)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Mezzanine debt investments</w:t>
            </w:r>
          </w:p>
        </w:tc>
        <w:tc>
          <w:tcPr>
            <w:tcW w:w="4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120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37,087</w:t>
            </w:r>
          </w:p>
        </w:tc>
        <w:tc>
          <w:tcPr>
            <w:tcW w:w="18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1360" w:type="dxa"/>
            <w:vAlign w:val="bottom"/>
            <w:gridSpan w:val="4"/>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39,091</w:t>
            </w:r>
          </w:p>
        </w:tc>
        <w:tc>
          <w:tcPr>
            <w:tcW w:w="8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1120" w:type="dxa"/>
            <w:vAlign w:val="bottom"/>
            <w:gridSpan w:val="3"/>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2,004</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4C4C4E"/>
              </w:rPr>
              <w:t>Equity and other investments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149,409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4C4C4E"/>
              </w:rPr>
              <w:t>155,501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4C4C4E"/>
              </w:rPr>
              <w:t>6,092</w:t>
            </w:r>
          </w:p>
        </w:tc>
        <w:tc>
          <w:tcPr>
            <w:tcW w:w="0" w:type="dxa"/>
            <w:vAlign w:val="bottom"/>
          </w:tcPr>
          <w:p>
            <w:pPr>
              <w:spacing w:after="0"/>
              <w:rPr>
                <w:sz w:val="1"/>
                <w:szCs w:val="1"/>
                <w:color w:val="auto"/>
              </w:rPr>
            </w:pPr>
          </w:p>
        </w:tc>
      </w:tr>
      <w:tr>
        <w:trPr>
          <w:trHeight w:val="250"/>
        </w:trPr>
        <w:tc>
          <w:tcPr>
            <w:tcW w:w="4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Structured credit investments</w:t>
            </w:r>
          </w:p>
        </w:tc>
        <w:tc>
          <w:tcPr>
            <w:tcW w:w="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20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1,500</w:t>
            </w:r>
          </w:p>
        </w:tc>
        <w:tc>
          <w:tcPr>
            <w:tcW w:w="18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160" w:type="dxa"/>
            <w:vAlign w:val="bottom"/>
            <w:shd w:val="clear" w:color="auto" w:fill="D8EEF4"/>
          </w:tcPr>
          <w:p>
            <w:pPr>
              <w:spacing w:after="0"/>
              <w:rPr>
                <w:sz w:val="21"/>
                <w:szCs w:val="21"/>
                <w:color w:val="auto"/>
              </w:rPr>
            </w:pPr>
          </w:p>
        </w:tc>
        <w:tc>
          <w:tcPr>
            <w:tcW w:w="1360" w:type="dxa"/>
            <w:vAlign w:val="bottom"/>
            <w:gridSpan w:val="4"/>
            <w:shd w:val="clear" w:color="auto" w:fill="D8EEF4"/>
          </w:tcPr>
          <w:p>
            <w:pPr>
              <w:jc w:val="right"/>
              <w:ind w:right="120"/>
              <w:spacing w:after="0"/>
              <w:rPr>
                <w:sz w:val="20"/>
                <w:szCs w:val="20"/>
                <w:color w:val="auto"/>
              </w:rPr>
            </w:pPr>
            <w:r>
              <w:rPr>
                <w:rFonts w:ascii="Times New Roman" w:cs="Times New Roman" w:eastAsia="Times New Roman" w:hAnsi="Times New Roman"/>
                <w:sz w:val="20"/>
                <w:szCs w:val="20"/>
                <w:color w:val="4C4C4E"/>
              </w:rPr>
              <w:t>1,472</w:t>
            </w:r>
          </w:p>
        </w:tc>
        <w:tc>
          <w:tcPr>
            <w:tcW w:w="80" w:type="dxa"/>
            <w:vAlign w:val="bottom"/>
            <w:shd w:val="clear" w:color="auto" w:fill="D8EEF4"/>
          </w:tcPr>
          <w:p>
            <w:pPr>
              <w:spacing w:after="0"/>
              <w:rPr>
                <w:sz w:val="21"/>
                <w:szCs w:val="21"/>
                <w:color w:val="auto"/>
              </w:rPr>
            </w:pPr>
          </w:p>
        </w:tc>
        <w:tc>
          <w:tcPr>
            <w:tcW w:w="160" w:type="dxa"/>
            <w:vAlign w:val="bottom"/>
            <w:shd w:val="clear" w:color="auto" w:fill="D8EEF4"/>
          </w:tcPr>
          <w:p>
            <w:pPr>
              <w:spacing w:after="0"/>
              <w:rPr>
                <w:sz w:val="21"/>
                <w:szCs w:val="21"/>
                <w:color w:val="auto"/>
              </w:rPr>
            </w:pPr>
          </w:p>
        </w:tc>
        <w:tc>
          <w:tcPr>
            <w:tcW w:w="112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rPr>
              <w:t>(28)</w:t>
            </w:r>
          </w:p>
        </w:tc>
        <w:tc>
          <w:tcPr>
            <w:tcW w:w="0" w:type="dxa"/>
            <w:vAlign w:val="bottom"/>
          </w:tcPr>
          <w:p>
            <w:pPr>
              <w:spacing w:after="0"/>
              <w:rPr>
                <w:sz w:val="1"/>
                <w:szCs w:val="1"/>
                <w:color w:val="auto"/>
              </w:rPr>
            </w:pPr>
          </w:p>
        </w:tc>
      </w:tr>
      <w:tr>
        <w:trPr>
          <w:trHeight w:val="205"/>
        </w:trPr>
        <w:tc>
          <w:tcPr>
            <w:tcW w:w="4000" w:type="dxa"/>
            <w:vAlign w:val="bottom"/>
            <w:tcBorders>
              <w:top w:val="single" w:sz="8" w:color="D8EEF4"/>
            </w:tcBorders>
          </w:tcPr>
          <w:p>
            <w:pPr>
              <w:ind w:left="200"/>
              <w:spacing w:after="0" w:line="205" w:lineRule="exact"/>
              <w:rPr>
                <w:sz w:val="20"/>
                <w:szCs w:val="20"/>
                <w:color w:val="auto"/>
              </w:rPr>
            </w:pPr>
            <w:r>
              <w:rPr>
                <w:rFonts w:ascii="Times New Roman" w:cs="Times New Roman" w:eastAsia="Times New Roman" w:hAnsi="Times New Roman"/>
                <w:sz w:val="20"/>
                <w:szCs w:val="20"/>
                <w:b w:val="1"/>
                <w:bCs w:val="1"/>
                <w:color w:val="4C4C4E"/>
              </w:rPr>
              <w:t>Total Investments</w:t>
            </w:r>
          </w:p>
        </w:tc>
        <w:tc>
          <w:tcPr>
            <w:tcW w:w="140" w:type="dxa"/>
            <w:vAlign w:val="bottom"/>
            <w:tcBorders>
              <w:top w:val="single" w:sz="8" w:color="4C4C4E"/>
              <w:bottom w:val="single" w:sz="8" w:color="4C4C4E"/>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1180" w:type="dxa"/>
            <w:vAlign w:val="bottom"/>
            <w:tcBorders>
              <w:top w:val="single" w:sz="8" w:color="4C4C4E"/>
              <w:bottom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rPr>
              <w:t>3,539,153</w:t>
            </w:r>
          </w:p>
        </w:tc>
        <w:tc>
          <w:tcPr>
            <w:tcW w:w="20" w:type="dxa"/>
            <w:vAlign w:val="bottom"/>
            <w:tcBorders>
              <w:top w:val="single" w:sz="8" w:color="D8EEF4"/>
            </w:tcBorders>
          </w:tcPr>
          <w:p>
            <w:pPr>
              <w:spacing w:after="0"/>
              <w:rPr>
                <w:sz w:val="17"/>
                <w:szCs w:val="17"/>
                <w:color w:val="auto"/>
              </w:rPr>
            </w:pPr>
          </w:p>
        </w:tc>
        <w:tc>
          <w:tcPr>
            <w:tcW w:w="180" w:type="dxa"/>
            <w:vAlign w:val="bottom"/>
            <w:tcBorders>
              <w:top w:val="single" w:sz="8" w:color="D8EEF4"/>
            </w:tcBorders>
          </w:tcPr>
          <w:p>
            <w:pPr>
              <w:spacing w:after="0"/>
              <w:rPr>
                <w:sz w:val="17"/>
                <w:szCs w:val="17"/>
                <w:color w:val="auto"/>
              </w:rPr>
            </w:pPr>
          </w:p>
        </w:tc>
        <w:tc>
          <w:tcPr>
            <w:tcW w:w="240" w:type="dxa"/>
            <w:vAlign w:val="bottom"/>
            <w:tcBorders>
              <w:top w:val="single" w:sz="8" w:color="4C4C4E"/>
              <w:bottom w:val="single" w:sz="8" w:color="4C4C4E"/>
            </w:tcBorders>
            <w:gridSpan w:val="2"/>
          </w:tcPr>
          <w:p>
            <w:pPr>
              <w:jc w:val="right"/>
              <w:ind w:right="60"/>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160" w:type="dxa"/>
            <w:vAlign w:val="bottom"/>
            <w:tcBorders>
              <w:top w:val="single" w:sz="8" w:color="4C4C4E"/>
              <w:bottom w:val="single" w:sz="8" w:color="4C4C4E"/>
            </w:tcBorders>
          </w:tcPr>
          <w:p>
            <w:pPr>
              <w:spacing w:after="0"/>
              <w:rPr>
                <w:sz w:val="17"/>
                <w:szCs w:val="17"/>
                <w:color w:val="auto"/>
              </w:rPr>
            </w:pPr>
          </w:p>
        </w:tc>
        <w:tc>
          <w:tcPr>
            <w:tcW w:w="1240" w:type="dxa"/>
            <w:vAlign w:val="bottom"/>
            <w:tcBorders>
              <w:top w:val="single" w:sz="8" w:color="4C4C4E"/>
              <w:bottom w:val="single" w:sz="8" w:color="4C4C4E"/>
            </w:tcBorders>
            <w:gridSpan w:val="3"/>
          </w:tcPr>
          <w:p>
            <w:pPr>
              <w:jc w:val="right"/>
              <w:spacing w:after="0" w:line="205" w:lineRule="exact"/>
              <w:rPr>
                <w:sz w:val="20"/>
                <w:szCs w:val="20"/>
                <w:color w:val="auto"/>
              </w:rPr>
            </w:pPr>
            <w:r>
              <w:rPr>
                <w:rFonts w:ascii="Times New Roman" w:cs="Times New Roman" w:eastAsia="Times New Roman" w:hAnsi="Times New Roman"/>
                <w:sz w:val="20"/>
                <w:szCs w:val="20"/>
                <w:color w:val="4C4C4E"/>
              </w:rPr>
              <w:t>3,518,412</w:t>
            </w:r>
          </w:p>
        </w:tc>
        <w:tc>
          <w:tcPr>
            <w:tcW w:w="120" w:type="dxa"/>
            <w:vAlign w:val="bottom"/>
            <w:tcBorders>
              <w:top w:val="single" w:sz="8" w:color="D8EEF4"/>
            </w:tcBorders>
          </w:tcPr>
          <w:p>
            <w:pPr>
              <w:spacing w:after="0"/>
              <w:rPr>
                <w:sz w:val="17"/>
                <w:szCs w:val="17"/>
                <w:color w:val="auto"/>
              </w:rPr>
            </w:pPr>
          </w:p>
        </w:tc>
        <w:tc>
          <w:tcPr>
            <w:tcW w:w="80" w:type="dxa"/>
            <w:vAlign w:val="bottom"/>
            <w:tcBorders>
              <w:top w:val="single" w:sz="8" w:color="D8EEF4"/>
            </w:tcBorders>
          </w:tcPr>
          <w:p>
            <w:pPr>
              <w:spacing w:after="0"/>
              <w:rPr>
                <w:sz w:val="17"/>
                <w:szCs w:val="17"/>
                <w:color w:val="auto"/>
              </w:rPr>
            </w:pPr>
          </w:p>
        </w:tc>
        <w:tc>
          <w:tcPr>
            <w:tcW w:w="160" w:type="dxa"/>
            <w:vAlign w:val="bottom"/>
            <w:tcBorders>
              <w:top w:val="single" w:sz="8" w:color="4C4C4E"/>
              <w:bottom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1020" w:type="dxa"/>
            <w:vAlign w:val="bottom"/>
            <w:tcBorders>
              <w:top w:val="single" w:sz="8" w:color="4C4C4E"/>
              <w:bottom w:val="single" w:sz="8" w:color="4C4C4E"/>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4C4C4E"/>
              </w:rPr>
              <w:t>(20,741)</w:t>
            </w:r>
          </w:p>
        </w:tc>
        <w:tc>
          <w:tcPr>
            <w:tcW w:w="100" w:type="dxa"/>
            <w:vAlign w:val="bottom"/>
            <w:tcBorders>
              <w:top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18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1020" w:type="dxa"/>
            <w:vAlign w:val="bottom"/>
            <w:tcBorders>
              <w:bottom w:val="single" w:sz="8" w:color="4C4C4E"/>
            </w:tcBorders>
          </w:tcPr>
          <w:p>
            <w:pPr>
              <w:spacing w:after="0" w:line="20" w:lineRule="exact"/>
              <w:rPr>
                <w:sz w:val="1"/>
                <w:szCs w:val="1"/>
                <w:color w:val="auto"/>
              </w:rPr>
            </w:pPr>
          </w:p>
        </w:tc>
        <w:tc>
          <w:tcPr>
            <w:tcW w:w="20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100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-2673350</wp:posOffset>
            </wp:positionV>
            <wp:extent cx="288925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4">
                      <a:extLst>
                        <a:ext uri="{28A0092B-C50C-407E-A947-70E740481C1C}"/>
                      </a:extLst>
                    </a:blip>
                    <a:srcRect/>
                    <a:stretch>
                      <a:fillRect/>
                    </a:stretch>
                  </pic:blipFill>
                  <pic:spPr bwMode="auto">
                    <a:xfrm>
                      <a:off x="0" y="0"/>
                      <a:ext cx="2889250" cy="3810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-1180465</wp:posOffset>
            </wp:positionV>
            <wp:extent cx="291782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5">
                      <a:extLst>
                        <a:ext uri="{28A0092B-C50C-407E-A947-70E740481C1C}"/>
                      </a:extLst>
                    </a:blip>
                    <a:srcRect/>
                    <a:stretch>
                      <a:fillRect/>
                    </a:stretch>
                  </pic:blipFill>
                  <pic:spPr bwMode="auto">
                    <a:xfrm>
                      <a:off x="0" y="0"/>
                      <a:ext cx="2917825" cy="38100"/>
                    </a:xfrm>
                    <a:prstGeom prst="rect">
                      <a:avLst/>
                    </a:prstGeom>
                    <a:noFill/>
                  </pic:spPr>
                </pic:pic>
              </a:graphicData>
            </a:graphic>
          </wp:anchor>
        </w:drawing>
      </w:r>
    </w:p>
    <w:p>
      <w:pPr>
        <w:spacing w:after="0" w:line="237" w:lineRule="exact"/>
        <w:rPr>
          <w:sz w:val="20"/>
          <w:szCs w:val="20"/>
          <w:color w:val="auto"/>
        </w:rPr>
      </w:pPr>
    </w:p>
    <w:p>
      <w:pPr>
        <w:ind w:left="480" w:right="240" w:hanging="480"/>
        <w:spacing w:after="0" w:line="277" w:lineRule="auto"/>
        <w:tabs>
          <w:tab w:leader="none" w:pos="480" w:val="left"/>
        </w:tabs>
        <w:numPr>
          <w:ilvl w:val="0"/>
          <w:numId w:val="86"/>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amortized cost represents the original cost adjusted for the amortization of discounts or premiums, as applicable, on debt investments using the effective interest method.</w:t>
      </w:r>
    </w:p>
    <w:p>
      <w:pPr>
        <w:sectPr>
          <w:pgSz w:w="11880" w:h="15480" w:orient="portrait"/>
          <w:cols w:equalWidth="0" w:num="1">
            <w:col w:w="10740"/>
          </w:cols>
          <w:pgMar w:left="540" w:top="738" w:right="6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4C4C4E"/>
        </w:rPr>
        <w:t>F-35</w:t>
      </w:r>
    </w:p>
    <w:p>
      <w:pPr>
        <w:sectPr>
          <w:pgSz w:w="11880" w:h="15480" w:orient="portrait"/>
          <w:cols w:equalWidth="0" w:num="1">
            <w:col w:w="10740"/>
          </w:cols>
          <w:pgMar w:left="540" w:top="738" w:right="600" w:bottom="6" w:gutter="0" w:footer="0" w:header="0"/>
          <w:type w:val="continuous"/>
        </w:sectPr>
      </w:pPr>
    </w:p>
    <w:bookmarkStart w:id="124" w:name="page125"/>
    <w:bookmarkEnd w:id="124"/>
    <w:p>
      <w:pPr>
        <w:ind w:left="240"/>
        <w:spacing w:after="0"/>
        <w:rPr>
          <w:sz w:val="20"/>
          <w:szCs w:val="20"/>
          <w:color w:val="auto"/>
        </w:rPr>
      </w:pPr>
      <w:r>
        <w:rPr>
          <w:rFonts w:ascii="Times New Roman" w:cs="Times New Roman" w:eastAsia="Times New Roman" w:hAnsi="Times New Roman"/>
          <w:sz w:val="20"/>
          <w:szCs w:val="20"/>
          <w:color w:val="4C4C4E"/>
        </w:rPr>
        <w:t>The industry composition of investments at fair value at December 31, 2025 and December 31, 2024 is as follows:</w:t>
      </w:r>
    </w:p>
    <w:p>
      <w:pPr>
        <w:spacing w:after="0" w:line="290"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3980" w:type="dxa"/>
            <w:vAlign w:val="bottom"/>
            <w:tcBorders>
              <w:bottom w:val="single" w:sz="8" w:color="D8EEF4"/>
            </w:tcBorders>
          </w:tcPr>
          <w:p>
            <w:pPr>
              <w:spacing w:after="0"/>
              <w:rPr>
                <w:sz w:val="17"/>
                <w:szCs w:val="17"/>
                <w:color w:val="auto"/>
              </w:rPr>
            </w:pPr>
          </w:p>
        </w:tc>
        <w:tc>
          <w:tcPr>
            <w:tcW w:w="1460" w:type="dxa"/>
            <w:vAlign w:val="bottom"/>
            <w:tcBorders>
              <w:bottom w:val="single" w:sz="8" w:color="4C4C4E"/>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440" w:type="dxa"/>
            <w:vAlign w:val="bottom"/>
            <w:tcBorders>
              <w:bottom w:val="single" w:sz="8" w:color="D8EEF4"/>
            </w:tcBorders>
          </w:tcPr>
          <w:p>
            <w:pPr>
              <w:spacing w:after="0"/>
              <w:rPr>
                <w:sz w:val="17"/>
                <w:szCs w:val="17"/>
                <w:color w:val="auto"/>
              </w:rPr>
            </w:pPr>
          </w:p>
        </w:tc>
        <w:tc>
          <w:tcPr>
            <w:tcW w:w="1360" w:type="dxa"/>
            <w:vAlign w:val="bottom"/>
            <w:tcBorders>
              <w:bottom w:val="single" w:sz="8" w:color="4C4C4E"/>
            </w:tcBorders>
          </w:tcPr>
          <w:p>
            <w:pPr>
              <w:ind w:left="2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Automotive</w:t>
            </w:r>
          </w:p>
        </w:tc>
        <w:tc>
          <w:tcPr>
            <w:tcW w:w="14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440" w:type="dxa"/>
            <w:vAlign w:val="bottom"/>
            <w:shd w:val="clear" w:color="auto" w:fill="D8EEF4"/>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1.2%</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Business Services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13.4%</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13.3%</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Chemicals</w:t>
            </w:r>
          </w:p>
        </w:tc>
        <w:tc>
          <w:tcPr>
            <w:tcW w:w="190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1.2%</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0.9%</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Communications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1.5%</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3.5%</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Education</w:t>
            </w:r>
          </w:p>
        </w:tc>
        <w:tc>
          <w:tcPr>
            <w:tcW w:w="190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3.1%</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5.0%</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Electronics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0.8%</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0.8%</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Financial Services</w:t>
            </w:r>
          </w:p>
        </w:tc>
        <w:tc>
          <w:tcPr>
            <w:tcW w:w="190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3.5%</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8.6%</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Healthcare</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9.0%</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7.5%</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Hotel, Gaming and Leisure</w:t>
            </w:r>
          </w:p>
        </w:tc>
        <w:tc>
          <w:tcPr>
            <w:tcW w:w="190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8.0%</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7.4%</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Human Resource Support Services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9.0%</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10.2%</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Insurance</w:t>
            </w:r>
          </w:p>
        </w:tc>
        <w:tc>
          <w:tcPr>
            <w:tcW w:w="1900" w:type="dxa"/>
            <w:vAlign w:val="bottom"/>
            <w:gridSpan w:val="2"/>
            <w:shd w:val="clear" w:color="auto" w:fill="D8EEF4"/>
          </w:tcPr>
          <w:p>
            <w:pPr>
              <w:jc w:val="right"/>
              <w:ind w:right="460"/>
              <w:spacing w:after="0"/>
              <w:rPr>
                <w:sz w:val="20"/>
                <w:szCs w:val="20"/>
                <w:color w:val="auto"/>
              </w:rPr>
            </w:pPr>
            <w:r>
              <w:rPr>
                <w:rFonts w:ascii="Times New Roman" w:cs="Times New Roman" w:eastAsia="Times New Roman" w:hAnsi="Times New Roman"/>
                <w:sz w:val="20"/>
                <w:szCs w:val="20"/>
                <w:color w:val="4C4C4E"/>
              </w:rPr>
              <w:t>—</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0.2%</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Internet Services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18.3%</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16.4%</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Manufacturing</w:t>
            </w:r>
          </w:p>
        </w:tc>
        <w:tc>
          <w:tcPr>
            <w:tcW w:w="190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1.2%</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3.5%</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Marketing Services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0.3%</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0.3%</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Office Products</w:t>
            </w:r>
          </w:p>
        </w:tc>
        <w:tc>
          <w:tcPr>
            <w:tcW w:w="190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0.3%</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0.4%</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Oil, Gas and Consumable Fuels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2.8%</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2.7%</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Other</w:t>
            </w:r>
          </w:p>
        </w:tc>
        <w:tc>
          <w:tcPr>
            <w:tcW w:w="190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5.3%</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1.9%</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Pharmaceuticals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2.7%</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2.9%</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line="243" w:lineRule="exact"/>
              <w:rPr>
                <w:sz w:val="20"/>
                <w:szCs w:val="20"/>
                <w:color w:val="auto"/>
              </w:rPr>
            </w:pPr>
            <w:r>
              <w:rPr>
                <w:rFonts w:ascii="Times New Roman" w:cs="Times New Roman" w:eastAsia="Times New Roman" w:hAnsi="Times New Roman"/>
                <w:sz w:val="20"/>
                <w:szCs w:val="20"/>
                <w:color w:val="4C4C4E"/>
              </w:rPr>
              <w:t xml:space="preserve">Real Estate </w:t>
            </w:r>
            <w:r>
              <w:rPr>
                <w:rFonts w:ascii="Times New Roman" w:cs="Times New Roman" w:eastAsia="Times New Roman" w:hAnsi="Times New Roman"/>
                <w:sz w:val="26"/>
                <w:szCs w:val="26"/>
                <w:color w:val="4C4C4E"/>
                <w:vertAlign w:val="superscript"/>
              </w:rPr>
              <w:t>(1)</w:t>
            </w:r>
          </w:p>
        </w:tc>
        <w:tc>
          <w:tcPr>
            <w:tcW w:w="190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0.0%</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0.0%</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Retail and Consumer Products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11.6%</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9.7%</w:t>
            </w: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Transportation</w:t>
            </w:r>
          </w:p>
        </w:tc>
        <w:tc>
          <w:tcPr>
            <w:tcW w:w="190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8.0%</w:t>
            </w:r>
          </w:p>
        </w:tc>
        <w:tc>
          <w:tcPr>
            <w:tcW w:w="168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3.6%</w:t>
            </w:r>
          </w:p>
        </w:tc>
        <w:tc>
          <w:tcPr>
            <w:tcW w:w="0" w:type="dxa"/>
            <w:vAlign w:val="bottom"/>
          </w:tcPr>
          <w:p>
            <w:pPr>
              <w:spacing w:after="0"/>
              <w:rPr>
                <w:sz w:val="1"/>
                <w:szCs w:val="1"/>
                <w:color w:val="auto"/>
              </w:rPr>
            </w:pPr>
          </w:p>
        </w:tc>
      </w:tr>
      <w:tr>
        <w:trPr>
          <w:trHeight w:val="20"/>
        </w:trPr>
        <w:tc>
          <w:tcPr>
            <w:tcW w:w="3980" w:type="dxa"/>
            <w:vAlign w:val="bottom"/>
            <w:tcBorders>
              <w:top w:val="single" w:sz="8" w:color="D8EEF4"/>
            </w:tcBorders>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1460" w:type="dxa"/>
            <w:vAlign w:val="bottom"/>
            <w:tcBorders>
              <w:top w:val="single" w:sz="8" w:color="4C4C4E"/>
            </w:tcBorders>
            <w:shd w:val="clear" w:color="auto" w:fill="4C4C4E"/>
          </w:tcPr>
          <w:p>
            <w:pPr>
              <w:spacing w:after="0" w:line="20" w:lineRule="exact"/>
              <w:rPr>
                <w:sz w:val="1"/>
                <w:szCs w:val="1"/>
                <w:color w:val="auto"/>
              </w:rPr>
            </w:pPr>
          </w:p>
        </w:tc>
        <w:tc>
          <w:tcPr>
            <w:tcW w:w="440" w:type="dxa"/>
            <w:vAlign w:val="bottom"/>
            <w:tcBorders>
              <w:top w:val="single" w:sz="8" w:color="D8EEF4"/>
            </w:tcBorders>
          </w:tcPr>
          <w:p>
            <w:pPr>
              <w:spacing w:after="0" w:line="20" w:lineRule="exact"/>
              <w:rPr>
                <w:sz w:val="1"/>
                <w:szCs w:val="1"/>
                <w:color w:val="auto"/>
              </w:rPr>
            </w:pPr>
          </w:p>
        </w:tc>
        <w:tc>
          <w:tcPr>
            <w:tcW w:w="1360" w:type="dxa"/>
            <w:vAlign w:val="bottom"/>
            <w:tcBorders>
              <w:top w:val="single" w:sz="8" w:color="4C4C4E"/>
            </w:tcBorders>
            <w:shd w:val="clear" w:color="auto" w:fill="4C4C4E"/>
          </w:tcPr>
          <w:p>
            <w:pPr>
              <w:spacing w:after="0" w:line="20" w:lineRule="exact"/>
              <w:rPr>
                <w:sz w:val="1"/>
                <w:szCs w:val="1"/>
                <w:color w:val="auto"/>
              </w:rPr>
            </w:pPr>
          </w:p>
        </w:tc>
        <w:tc>
          <w:tcPr>
            <w:tcW w:w="320" w:type="dxa"/>
            <w:vAlign w:val="bottom"/>
            <w:tcBorders>
              <w:top w:val="single" w:sz="8" w:color="D8EE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80" w:type="dxa"/>
            <w:vAlign w:val="bottom"/>
            <w:vMerge w:val="continue"/>
          </w:tcPr>
          <w:p>
            <w:pPr>
              <w:spacing w:after="0"/>
              <w:rPr>
                <w:sz w:val="19"/>
                <w:szCs w:val="19"/>
                <w:color w:val="auto"/>
              </w:rPr>
            </w:pPr>
          </w:p>
        </w:tc>
        <w:tc>
          <w:tcPr>
            <w:tcW w:w="1900" w:type="dxa"/>
            <w:vAlign w:val="bottom"/>
            <w:gridSpan w:val="2"/>
          </w:tcPr>
          <w:p>
            <w:pPr>
              <w:jc w:val="right"/>
              <w:ind w:right="280"/>
              <w:spacing w:after="0" w:line="219" w:lineRule="exact"/>
              <w:rPr>
                <w:sz w:val="20"/>
                <w:szCs w:val="20"/>
                <w:color w:val="auto"/>
              </w:rPr>
            </w:pPr>
            <w:r>
              <w:rPr>
                <w:rFonts w:ascii="Times New Roman" w:cs="Times New Roman" w:eastAsia="Times New Roman" w:hAnsi="Times New Roman"/>
                <w:sz w:val="20"/>
                <w:szCs w:val="20"/>
                <w:color w:val="4C4C4E"/>
              </w:rPr>
              <w:t>100.0%</w:t>
            </w:r>
          </w:p>
        </w:tc>
        <w:tc>
          <w:tcPr>
            <w:tcW w:w="1680" w:type="dxa"/>
            <w:vAlign w:val="bottom"/>
            <w:gridSpan w:val="2"/>
          </w:tcPr>
          <w:p>
            <w:pPr>
              <w:jc w:val="right"/>
              <w:ind w:right="160"/>
              <w:spacing w:after="0" w:line="219" w:lineRule="exact"/>
              <w:rPr>
                <w:sz w:val="20"/>
                <w:szCs w:val="20"/>
                <w:color w:val="auto"/>
              </w:rPr>
            </w:pPr>
            <w:r>
              <w:rPr>
                <w:rFonts w:ascii="Times New Roman" w:cs="Times New Roman" w:eastAsia="Times New Roman" w:hAnsi="Times New Roman"/>
                <w:sz w:val="20"/>
                <w:szCs w:val="20"/>
                <w:color w:val="4C4C4E"/>
              </w:rPr>
              <w:t>100.0%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60" w:type="dxa"/>
            <w:vAlign w:val="bottom"/>
            <w:tcBorders>
              <w:top w:val="single" w:sz="8" w:color="4C4C4E"/>
              <w:bottom w:val="single" w:sz="8" w:color="4C4C4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top w:val="single" w:sz="8" w:color="4C4C4E"/>
              <w:bottom w:val="single" w:sz="8" w:color="4C4C4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4758055</wp:posOffset>
                </wp:positionH>
                <wp:positionV relativeFrom="paragraph">
                  <wp:posOffset>-3446145</wp:posOffset>
                </wp:positionV>
                <wp:extent cx="863600" cy="15494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3600" cy="154940"/>
                        </a:xfrm>
                        <a:prstGeom prst="rect">
                          <a:avLst/>
                        </a:prstGeom>
                        <a:solidFill>
                          <a:srgbClr val="D8EEF4"/>
                        </a:solidFill>
                      </wps:spPr>
                      <wps:bodyPr/>
                    </wps:wsp>
                  </a:graphicData>
                </a:graphic>
              </wp:anchor>
            </w:drawing>
          </mc:Choice>
          <mc:Fallback>
            <w:pict>
              <v:rect id="Shape 84" o:spid="_x0000_s1109" style="position:absolute;margin-left:374.65pt;margin-top:-271.3499pt;width:6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5621655</wp:posOffset>
                </wp:positionH>
                <wp:positionV relativeFrom="paragraph">
                  <wp:posOffset>-3455670</wp:posOffset>
                </wp:positionV>
                <wp:extent cx="207645" cy="16446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645" cy="164465"/>
                        </a:xfrm>
                        <a:prstGeom prst="rect">
                          <a:avLst/>
                        </a:prstGeom>
                        <a:solidFill>
                          <a:srgbClr val="D8EEF4"/>
                        </a:solidFill>
                      </wps:spPr>
                      <wps:bodyPr/>
                    </wps:wsp>
                  </a:graphicData>
                </a:graphic>
              </wp:anchor>
            </w:drawing>
          </mc:Choice>
          <mc:Fallback>
            <w:pict>
              <v:rect id="Shape 85" o:spid="_x0000_s1110" style="position:absolute;margin-left:442.65pt;margin-top:-272.0999pt;width:16.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81"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20"/>
          <w:szCs w:val="20"/>
          <w:color w:val="4C4C4E"/>
        </w:rPr>
        <w:t>(1)</w:t>
        <w:tab/>
        <w:t>Value sums to less than 0.1%.</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geographic composition of investments at fair value at December 31, 2025 and December 31, 2024 is as follows:</w:t>
      </w:r>
    </w:p>
    <w:p>
      <w:pPr>
        <w:spacing w:after="0" w:line="290"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4C4C4E"/>
              </w:rPr>
              <w:t>December 31,</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C4C4E"/>
              </w:rPr>
              <w:t>December 31,</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D8EEF4"/>
            </w:tcBorders>
          </w:tcPr>
          <w:p>
            <w:pPr>
              <w:spacing w:after="0"/>
              <w:rPr>
                <w:sz w:val="17"/>
                <w:szCs w:val="17"/>
                <w:color w:val="auto"/>
              </w:rPr>
            </w:pPr>
          </w:p>
        </w:tc>
        <w:tc>
          <w:tcPr>
            <w:tcW w:w="1060" w:type="dxa"/>
            <w:vAlign w:val="bottom"/>
            <w:tcBorders>
              <w:bottom w:val="single" w:sz="8" w:color="4C4C4E"/>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4C4C4E"/>
              </w:rPr>
              <w:t>2025</w:t>
            </w:r>
          </w:p>
        </w:tc>
        <w:tc>
          <w:tcPr>
            <w:tcW w:w="340" w:type="dxa"/>
            <w:vAlign w:val="bottom"/>
            <w:tcBorders>
              <w:bottom w:val="single" w:sz="8" w:color="D8EEF4"/>
            </w:tcBorders>
          </w:tcPr>
          <w:p>
            <w:pPr>
              <w:spacing w:after="0"/>
              <w:rPr>
                <w:sz w:val="17"/>
                <w:szCs w:val="17"/>
                <w:color w:val="auto"/>
              </w:rPr>
            </w:pPr>
          </w:p>
        </w:tc>
        <w:tc>
          <w:tcPr>
            <w:tcW w:w="1060" w:type="dxa"/>
            <w:vAlign w:val="bottom"/>
            <w:tcBorders>
              <w:bottom w:val="single" w:sz="8" w:color="4C4C4E"/>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4C4C4E"/>
              </w:rPr>
              <w:t>2024</w:t>
            </w:r>
          </w:p>
        </w:tc>
        <w:tc>
          <w:tcPr>
            <w:tcW w:w="22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United States</w:t>
            </w:r>
          </w:p>
        </w:tc>
        <w:tc>
          <w:tcPr>
            <w:tcW w:w="1060" w:type="dxa"/>
            <w:vAlign w:val="bottom"/>
            <w:shd w:val="clear" w:color="auto" w:fill="D8EEF4"/>
          </w:tcPr>
          <w:p>
            <w:pPr>
              <w:spacing w:after="0"/>
              <w:rPr>
                <w:sz w:val="20"/>
                <w:szCs w:val="20"/>
                <w:color w:val="auto"/>
              </w:rPr>
            </w:pPr>
          </w:p>
        </w:tc>
        <w:tc>
          <w:tcPr>
            <w:tcW w:w="340" w:type="dxa"/>
            <w:vAlign w:val="bottom"/>
            <w:shd w:val="clear" w:color="auto" w:fill="D8EEF4"/>
          </w:tcPr>
          <w:p>
            <w:pPr>
              <w:spacing w:after="0"/>
              <w:rPr>
                <w:sz w:val="20"/>
                <w:szCs w:val="20"/>
                <w:color w:val="auto"/>
              </w:rPr>
            </w:pPr>
          </w:p>
        </w:tc>
        <w:tc>
          <w:tcPr>
            <w:tcW w:w="106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4C4C4E"/>
              </w:rPr>
              <w:t>Midwest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12.5%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14.3%</w:t>
            </w:r>
          </w:p>
        </w:tc>
        <w:tc>
          <w:tcPr>
            <w:tcW w:w="0" w:type="dxa"/>
            <w:vAlign w:val="bottom"/>
          </w:tcPr>
          <w:p>
            <w:pPr>
              <w:spacing w:after="0"/>
              <w:rPr>
                <w:sz w:val="1"/>
                <w:szCs w:val="1"/>
                <w:color w:val="auto"/>
              </w:rPr>
            </w:pPr>
          </w:p>
        </w:tc>
      </w:tr>
      <w:tr>
        <w:trPr>
          <w:trHeight w:val="244"/>
        </w:trPr>
        <w:tc>
          <w:tcPr>
            <w:tcW w:w="500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20"/>
                <w:szCs w:val="20"/>
                <w:color w:val="4C4C4E"/>
              </w:rPr>
              <w:t>Northeast</w:t>
            </w:r>
          </w:p>
        </w:tc>
        <w:tc>
          <w:tcPr>
            <w:tcW w:w="140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18.6%</w:t>
            </w:r>
          </w:p>
        </w:tc>
        <w:tc>
          <w:tcPr>
            <w:tcW w:w="128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rPr>
              <w:t>21.7%</w:t>
            </w: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4C4C4E"/>
              </w:rPr>
              <w:t>South</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23.2%</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20.6%</w:t>
            </w:r>
          </w:p>
        </w:tc>
        <w:tc>
          <w:tcPr>
            <w:tcW w:w="0" w:type="dxa"/>
            <w:vAlign w:val="bottom"/>
          </w:tcPr>
          <w:p>
            <w:pPr>
              <w:spacing w:after="0"/>
              <w:rPr>
                <w:sz w:val="1"/>
                <w:szCs w:val="1"/>
                <w:color w:val="auto"/>
              </w:rPr>
            </w:pPr>
          </w:p>
        </w:tc>
      </w:tr>
      <w:tr>
        <w:trPr>
          <w:trHeight w:val="244"/>
        </w:trPr>
        <w:tc>
          <w:tcPr>
            <w:tcW w:w="5000" w:type="dxa"/>
            <w:vAlign w:val="bottom"/>
            <w:shd w:val="clear" w:color="auto" w:fill="D8EEF4"/>
          </w:tcPr>
          <w:p>
            <w:pPr>
              <w:ind w:left="200"/>
              <w:spacing w:after="0"/>
              <w:rPr>
                <w:sz w:val="20"/>
                <w:szCs w:val="20"/>
                <w:color w:val="auto"/>
              </w:rPr>
            </w:pPr>
            <w:r>
              <w:rPr>
                <w:rFonts w:ascii="Times New Roman" w:cs="Times New Roman" w:eastAsia="Times New Roman" w:hAnsi="Times New Roman"/>
                <w:sz w:val="20"/>
                <w:szCs w:val="20"/>
                <w:color w:val="4C4C4E"/>
              </w:rPr>
              <w:t>West</w:t>
            </w:r>
          </w:p>
        </w:tc>
        <w:tc>
          <w:tcPr>
            <w:tcW w:w="140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29.8%</w:t>
            </w:r>
          </w:p>
        </w:tc>
        <w:tc>
          <w:tcPr>
            <w:tcW w:w="128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rPr>
              <w:t>28.8%</w:t>
            </w: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4C4C4E"/>
              </w:rPr>
              <w:t>Australia</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0.2%</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1.1%</w:t>
            </w:r>
          </w:p>
        </w:tc>
        <w:tc>
          <w:tcPr>
            <w:tcW w:w="0" w:type="dxa"/>
            <w:vAlign w:val="bottom"/>
          </w:tcPr>
          <w:p>
            <w:pPr>
              <w:spacing w:after="0"/>
              <w:rPr>
                <w:sz w:val="1"/>
                <w:szCs w:val="1"/>
                <w:color w:val="auto"/>
              </w:rPr>
            </w:pPr>
          </w:p>
        </w:tc>
      </w:tr>
      <w:tr>
        <w:trPr>
          <w:trHeight w:val="244"/>
        </w:trPr>
        <w:tc>
          <w:tcPr>
            <w:tcW w:w="5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Canada</w:t>
            </w:r>
          </w:p>
        </w:tc>
        <w:tc>
          <w:tcPr>
            <w:tcW w:w="140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1.5%</w:t>
            </w:r>
          </w:p>
        </w:tc>
        <w:tc>
          <w:tcPr>
            <w:tcW w:w="128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rPr>
              <w:t>3.1%</w:t>
            </w:r>
          </w:p>
        </w:tc>
        <w:tc>
          <w:tcPr>
            <w:tcW w:w="0" w:type="dxa"/>
            <w:vAlign w:val="bottom"/>
          </w:tcPr>
          <w:p>
            <w:pPr>
              <w:spacing w:after="0"/>
              <w:rPr>
                <w:sz w:val="1"/>
                <w:szCs w:val="1"/>
                <w:color w:val="auto"/>
              </w:rPr>
            </w:pPr>
          </w:p>
        </w:tc>
      </w:tr>
      <w:tr>
        <w:trPr>
          <w:trHeight w:val="244"/>
        </w:trPr>
        <w:tc>
          <w:tcPr>
            <w:tcW w:w="5000" w:type="dxa"/>
            <w:vAlign w:val="bottom"/>
          </w:tcPr>
          <w:p>
            <w:pPr>
              <w:spacing w:after="0" w:line="243" w:lineRule="exact"/>
              <w:rPr>
                <w:sz w:val="20"/>
                <w:szCs w:val="20"/>
                <w:color w:val="auto"/>
              </w:rPr>
            </w:pPr>
            <w:r>
              <w:rPr>
                <w:rFonts w:ascii="Times New Roman" w:cs="Times New Roman" w:eastAsia="Times New Roman" w:hAnsi="Times New Roman"/>
                <w:sz w:val="20"/>
                <w:szCs w:val="20"/>
                <w:color w:val="4C4C4E"/>
              </w:rPr>
              <w:t xml:space="preserve">Finland </w:t>
            </w:r>
            <w:r>
              <w:rPr>
                <w:rFonts w:ascii="Times New Roman" w:cs="Times New Roman" w:eastAsia="Times New Roman" w:hAnsi="Times New Roman"/>
                <w:sz w:val="26"/>
                <w:szCs w:val="26"/>
                <w:color w:val="4C4C4E"/>
                <w:vertAlign w:val="superscript"/>
              </w:rPr>
              <w:t>(1)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0.0%</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0.0%</w:t>
            </w:r>
          </w:p>
        </w:tc>
        <w:tc>
          <w:tcPr>
            <w:tcW w:w="0" w:type="dxa"/>
            <w:vAlign w:val="bottom"/>
          </w:tcPr>
          <w:p>
            <w:pPr>
              <w:spacing w:after="0"/>
              <w:rPr>
                <w:sz w:val="1"/>
                <w:szCs w:val="1"/>
                <w:color w:val="auto"/>
              </w:rPr>
            </w:pPr>
          </w:p>
        </w:tc>
      </w:tr>
      <w:tr>
        <w:trPr>
          <w:trHeight w:val="244"/>
        </w:trPr>
        <w:tc>
          <w:tcPr>
            <w:tcW w:w="5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France</w:t>
            </w:r>
          </w:p>
        </w:tc>
        <w:tc>
          <w:tcPr>
            <w:tcW w:w="140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1.6%</w:t>
            </w:r>
          </w:p>
        </w:tc>
        <w:tc>
          <w:tcPr>
            <w:tcW w:w="128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rPr>
              <w:t>0.1%</w:t>
            </w: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4C4C4E"/>
              </w:rPr>
              <w:t>Germany</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3.5%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1.7%</w:t>
            </w:r>
          </w:p>
        </w:tc>
        <w:tc>
          <w:tcPr>
            <w:tcW w:w="0" w:type="dxa"/>
            <w:vAlign w:val="bottom"/>
          </w:tcPr>
          <w:p>
            <w:pPr>
              <w:spacing w:after="0"/>
              <w:rPr>
                <w:sz w:val="1"/>
                <w:szCs w:val="1"/>
                <w:color w:val="auto"/>
              </w:rPr>
            </w:pPr>
          </w:p>
        </w:tc>
      </w:tr>
      <w:tr>
        <w:trPr>
          <w:trHeight w:val="244"/>
        </w:trPr>
        <w:tc>
          <w:tcPr>
            <w:tcW w:w="5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Italy</w:t>
            </w:r>
          </w:p>
        </w:tc>
        <w:tc>
          <w:tcPr>
            <w:tcW w:w="140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0.6%</w:t>
            </w:r>
          </w:p>
        </w:tc>
        <w:tc>
          <w:tcPr>
            <w:tcW w:w="128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rPr>
              <w:t>0.6%</w:t>
            </w: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4C4C4E"/>
              </w:rPr>
              <w:t>Netherlands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0.4%</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0.3%</w:t>
            </w:r>
          </w:p>
        </w:tc>
        <w:tc>
          <w:tcPr>
            <w:tcW w:w="0" w:type="dxa"/>
            <w:vAlign w:val="bottom"/>
          </w:tcPr>
          <w:p>
            <w:pPr>
              <w:spacing w:after="0"/>
              <w:rPr>
                <w:sz w:val="1"/>
                <w:szCs w:val="1"/>
                <w:color w:val="auto"/>
              </w:rPr>
            </w:pPr>
          </w:p>
        </w:tc>
      </w:tr>
      <w:tr>
        <w:trPr>
          <w:trHeight w:val="244"/>
        </w:trPr>
        <w:tc>
          <w:tcPr>
            <w:tcW w:w="5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Norway</w:t>
            </w:r>
          </w:p>
        </w:tc>
        <w:tc>
          <w:tcPr>
            <w:tcW w:w="140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3.3%</w:t>
            </w:r>
          </w:p>
        </w:tc>
        <w:tc>
          <w:tcPr>
            <w:tcW w:w="128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rPr>
              <w:t>2.8%</w:t>
            </w: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4C4C4E"/>
              </w:rPr>
              <w:t>Sweden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0.8%</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0.3%</w:t>
            </w:r>
          </w:p>
        </w:tc>
        <w:tc>
          <w:tcPr>
            <w:tcW w:w="0" w:type="dxa"/>
            <w:vAlign w:val="bottom"/>
          </w:tcPr>
          <w:p>
            <w:pPr>
              <w:spacing w:after="0"/>
              <w:rPr>
                <w:sz w:val="1"/>
                <w:szCs w:val="1"/>
                <w:color w:val="auto"/>
              </w:rPr>
            </w:pPr>
          </w:p>
        </w:tc>
      </w:tr>
      <w:tr>
        <w:trPr>
          <w:trHeight w:val="244"/>
        </w:trPr>
        <w:tc>
          <w:tcPr>
            <w:tcW w:w="50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United Kingdom</w:t>
            </w:r>
          </w:p>
        </w:tc>
        <w:tc>
          <w:tcPr>
            <w:tcW w:w="140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4.0%</w:t>
            </w:r>
          </w:p>
        </w:tc>
        <w:tc>
          <w:tcPr>
            <w:tcW w:w="128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rPr>
              <w:t>4.6%</w:t>
            </w:r>
          </w:p>
        </w:tc>
        <w:tc>
          <w:tcPr>
            <w:tcW w:w="0" w:type="dxa"/>
            <w:vAlign w:val="bottom"/>
          </w:tcPr>
          <w:p>
            <w:pPr>
              <w:spacing w:after="0"/>
              <w:rPr>
                <w:sz w:val="1"/>
                <w:szCs w:val="1"/>
                <w:color w:val="auto"/>
              </w:rPr>
            </w:pPr>
          </w:p>
        </w:tc>
      </w:tr>
      <w:tr>
        <w:trPr>
          <w:trHeight w:val="20"/>
        </w:trPr>
        <w:tc>
          <w:tcPr>
            <w:tcW w:w="5000" w:type="dxa"/>
            <w:vAlign w:val="bottom"/>
            <w:tcBorders>
              <w:top w:val="single" w:sz="8" w:color="D8EEF4"/>
            </w:tcBorders>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1060" w:type="dxa"/>
            <w:vAlign w:val="bottom"/>
            <w:tcBorders>
              <w:top w:val="single" w:sz="8" w:color="4C4C4E"/>
            </w:tcBorders>
            <w:shd w:val="clear" w:color="auto" w:fill="4C4C4E"/>
          </w:tcPr>
          <w:p>
            <w:pPr>
              <w:spacing w:after="0" w:line="20" w:lineRule="exact"/>
              <w:rPr>
                <w:sz w:val="1"/>
                <w:szCs w:val="1"/>
                <w:color w:val="auto"/>
              </w:rPr>
            </w:pPr>
          </w:p>
        </w:tc>
        <w:tc>
          <w:tcPr>
            <w:tcW w:w="340" w:type="dxa"/>
            <w:vAlign w:val="bottom"/>
            <w:tcBorders>
              <w:top w:val="single" w:sz="8" w:color="D8EEF4"/>
            </w:tcBorders>
          </w:tcPr>
          <w:p>
            <w:pPr>
              <w:spacing w:after="0" w:line="20" w:lineRule="exact"/>
              <w:rPr>
                <w:sz w:val="1"/>
                <w:szCs w:val="1"/>
                <w:color w:val="auto"/>
              </w:rPr>
            </w:pPr>
          </w:p>
        </w:tc>
        <w:tc>
          <w:tcPr>
            <w:tcW w:w="1060" w:type="dxa"/>
            <w:vAlign w:val="bottom"/>
            <w:tcBorders>
              <w:top w:val="single" w:sz="8" w:color="4C4C4E"/>
            </w:tcBorders>
            <w:shd w:val="clear" w:color="auto" w:fill="4C4C4E"/>
          </w:tcPr>
          <w:p>
            <w:pPr>
              <w:spacing w:after="0" w:line="20" w:lineRule="exact"/>
              <w:rPr>
                <w:sz w:val="1"/>
                <w:szCs w:val="1"/>
                <w:color w:val="auto"/>
              </w:rPr>
            </w:pPr>
          </w:p>
        </w:tc>
        <w:tc>
          <w:tcPr>
            <w:tcW w:w="220" w:type="dxa"/>
            <w:vAlign w:val="bottom"/>
            <w:tcBorders>
              <w:top w:val="single" w:sz="8" w:color="D8EE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00" w:type="dxa"/>
            <w:vAlign w:val="bottom"/>
            <w:vMerge w:val="continue"/>
          </w:tcPr>
          <w:p>
            <w:pPr>
              <w:spacing w:after="0"/>
              <w:rPr>
                <w:sz w:val="19"/>
                <w:szCs w:val="19"/>
                <w:color w:val="auto"/>
              </w:rPr>
            </w:pPr>
          </w:p>
        </w:tc>
        <w:tc>
          <w:tcPr>
            <w:tcW w:w="1400" w:type="dxa"/>
            <w:vAlign w:val="bottom"/>
            <w:gridSpan w:val="2"/>
          </w:tcPr>
          <w:p>
            <w:pPr>
              <w:jc w:val="right"/>
              <w:ind w:right="160"/>
              <w:spacing w:after="0" w:line="219" w:lineRule="exact"/>
              <w:rPr>
                <w:sz w:val="20"/>
                <w:szCs w:val="20"/>
                <w:color w:val="auto"/>
              </w:rPr>
            </w:pPr>
            <w:r>
              <w:rPr>
                <w:rFonts w:ascii="Times New Roman" w:cs="Times New Roman" w:eastAsia="Times New Roman" w:hAnsi="Times New Roman"/>
                <w:sz w:val="20"/>
                <w:szCs w:val="20"/>
                <w:color w:val="4C4C4E"/>
              </w:rPr>
              <w:t>100.0%</w:t>
            </w:r>
          </w:p>
        </w:tc>
        <w:tc>
          <w:tcPr>
            <w:tcW w:w="128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4C4C4E"/>
              </w:rPr>
              <w:t>100.0%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60" w:type="dxa"/>
            <w:vAlign w:val="bottom"/>
            <w:tcBorders>
              <w:top w:val="single" w:sz="8" w:color="4C4C4E"/>
              <w:bottom w:val="single" w:sz="8" w:color="4C4C4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4C4C4E"/>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980" w:hanging="490"/>
        <w:spacing w:after="0"/>
        <w:tabs>
          <w:tab w:leader="none" w:pos="980" w:val="left"/>
        </w:tabs>
        <w:numPr>
          <w:ilvl w:val="1"/>
          <w:numId w:val="8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Value sums to less than 0.1%.</w:t>
      </w:r>
    </w:p>
    <w:p>
      <w:pPr>
        <w:spacing w:after="0" w:line="356" w:lineRule="exact"/>
        <w:rPr>
          <w:rFonts w:ascii="Times New Roman" w:cs="Times New Roman" w:eastAsia="Times New Roman" w:hAnsi="Times New Roman"/>
          <w:sz w:val="20"/>
          <w:szCs w:val="20"/>
          <w:color w:val="4C4C4E"/>
        </w:rPr>
      </w:pPr>
    </w:p>
    <w:p>
      <w:pPr>
        <w:ind w:left="200" w:hanging="200"/>
        <w:spacing w:after="0"/>
        <w:tabs>
          <w:tab w:leader="none" w:pos="200" w:val="left"/>
        </w:tabs>
        <w:numPr>
          <w:ilvl w:val="0"/>
          <w:numId w:val="88"/>
        </w:numPr>
        <w:rPr>
          <w:rFonts w:ascii="Times New Roman" w:cs="Times New Roman" w:eastAsia="Times New Roman" w:hAnsi="Times New Roman"/>
          <w:sz w:val="20"/>
          <w:szCs w:val="20"/>
          <w:b w:val="1"/>
          <w:bCs w:val="1"/>
          <w:color w:val="4C4C4E"/>
        </w:rPr>
      </w:pPr>
      <w:r>
        <w:rPr>
          <w:rFonts w:ascii="Times New Roman" w:cs="Times New Roman" w:eastAsia="Times New Roman" w:hAnsi="Times New Roman"/>
          <w:sz w:val="20"/>
          <w:szCs w:val="20"/>
          <w:b w:val="1"/>
          <w:bCs w:val="1"/>
          <w:color w:val="4C4C4E"/>
        </w:rPr>
        <w:t>Derivatives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Interest Rate Swaps</w:t>
      </w:r>
    </w:p>
    <w:p>
      <w:pPr>
        <w:spacing w:after="0" w:line="238" w:lineRule="exact"/>
        <w:rPr>
          <w:sz w:val="20"/>
          <w:szCs w:val="20"/>
          <w:color w:val="auto"/>
        </w:rPr>
      </w:pPr>
    </w:p>
    <w:p>
      <w:pPr>
        <w:ind w:firstLine="245"/>
        <w:spacing w:after="0" w:line="305" w:lineRule="auto"/>
        <w:rPr>
          <w:sz w:val="20"/>
          <w:szCs w:val="20"/>
          <w:color w:val="auto"/>
        </w:rPr>
      </w:pPr>
      <w:r>
        <w:rPr>
          <w:rFonts w:ascii="Times New Roman" w:cs="Times New Roman" w:eastAsia="Times New Roman" w:hAnsi="Times New Roman"/>
          <w:sz w:val="19"/>
          <w:szCs w:val="19"/>
          <w:color w:val="4C4C4E"/>
        </w:rPr>
        <w:t>The Company enters into interest rate swap transactions from time to time to hedge fixed rate debt obligations and certain fixed rate debt investments. The Company’s interest rate swaps are all with one counterparty and are centrally cleared through a registered</w:t>
      </w:r>
    </w:p>
    <w:p>
      <w:pPr>
        <w:sectPr>
          <w:pgSz w:w="11880" w:h="15480" w:orient="portrait"/>
          <w:cols w:equalWidth="0" w:num="1">
            <w:col w:w="10620"/>
          </w:cols>
          <w:pgMar w:left="540" w:top="750" w:right="720" w:bottom="6" w:gutter="0" w:footer="0" w:header="0"/>
        </w:sectPr>
      </w:pP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4C4C4E"/>
        </w:rPr>
        <w:t>F-36</w:t>
      </w:r>
    </w:p>
    <w:p>
      <w:pPr>
        <w:sectPr>
          <w:pgSz w:w="11880" w:h="15480" w:orient="portrait"/>
          <w:cols w:equalWidth="0" w:num="1">
            <w:col w:w="10620"/>
          </w:cols>
          <w:pgMar w:left="540" w:top="750" w:right="720" w:bottom="6" w:gutter="0" w:footer="0" w:header="0"/>
          <w:type w:val="continuous"/>
        </w:sectPr>
      </w:pPr>
    </w:p>
    <w:bookmarkStart w:id="125" w:name="page126"/>
    <w:bookmarkEnd w:id="125"/>
    <w:p>
      <w:pPr>
        <w:ind w:right="540"/>
        <w:spacing w:after="0" w:line="277" w:lineRule="auto"/>
        <w:rPr>
          <w:sz w:val="20"/>
          <w:szCs w:val="20"/>
          <w:color w:val="auto"/>
        </w:rPr>
      </w:pPr>
      <w:r>
        <w:rPr>
          <w:rFonts w:ascii="Times New Roman" w:cs="Times New Roman" w:eastAsia="Times New Roman" w:hAnsi="Times New Roman"/>
          <w:sz w:val="20"/>
          <w:szCs w:val="20"/>
          <w:color w:val="4C4C4E"/>
        </w:rPr>
        <w:t>commodities exchange. Refer to the Consolidated Schedule of Investments for additional disclosure regarding these interest rate swaps.</w:t>
      </w:r>
    </w:p>
    <w:p>
      <w:pPr>
        <w:spacing w:after="0" w:line="169" w:lineRule="exact"/>
        <w:rPr>
          <w:sz w:val="20"/>
          <w:szCs w:val="20"/>
          <w:color w:val="auto"/>
        </w:rPr>
      </w:pPr>
    </w:p>
    <w:p>
      <w:pPr>
        <w:ind w:right="240" w:firstLine="245"/>
        <w:spacing w:after="0" w:line="258" w:lineRule="auto"/>
        <w:rPr>
          <w:sz w:val="20"/>
          <w:szCs w:val="20"/>
          <w:color w:val="auto"/>
        </w:rPr>
      </w:pPr>
      <w:r>
        <w:rPr>
          <w:rFonts w:ascii="Times New Roman" w:cs="Times New Roman" w:eastAsia="Times New Roman" w:hAnsi="Times New Roman"/>
          <w:sz w:val="20"/>
          <w:szCs w:val="20"/>
          <w:color w:val="4C4C4E"/>
        </w:rPr>
        <w:t>Cash flows related to the Company’s derivatives are included within operating activities on the Consolidated Statements of Cash Flows. The following tables present the amounts paid and received on the Company’s interest rate swap transactions for the year ended December 31, 2025 and December 31,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40" w:type="dxa"/>
            <w:vAlign w:val="bottom"/>
            <w:gridSpan w:val="8"/>
          </w:tcPr>
          <w:p>
            <w:pPr>
              <w:jc w:val="center"/>
              <w:ind w:left="487"/>
              <w:spacing w:after="0"/>
              <w:rPr>
                <w:sz w:val="20"/>
                <w:szCs w:val="20"/>
                <w:color w:val="auto"/>
              </w:rPr>
            </w:pPr>
            <w:r>
              <w:rPr>
                <w:rFonts w:ascii="Times New Roman" w:cs="Times New Roman" w:eastAsia="Times New Roman" w:hAnsi="Times New Roman"/>
                <w:sz w:val="16"/>
                <w:szCs w:val="16"/>
                <w:b w:val="1"/>
                <w:bCs w:val="1"/>
                <w:color w:val="4C4C4E"/>
              </w:rPr>
              <w:t>For the Year Ended December 31, 2025</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2740" w:type="dxa"/>
            <w:vAlign w:val="bottom"/>
          </w:tcPr>
          <w:p>
            <w:pPr>
              <w:spacing w:after="0"/>
              <w:rPr>
                <w:sz w:val="19"/>
                <w:szCs w:val="19"/>
                <w:color w:val="auto"/>
              </w:rPr>
            </w:pPr>
          </w:p>
        </w:tc>
        <w:tc>
          <w:tcPr>
            <w:tcW w:w="136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4C4C4E"/>
              </w:rPr>
              <w:t>Maturity Date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4C4C4E"/>
              </w:rPr>
              <w:t>Notional Amount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4C4C4E"/>
              </w:rPr>
              <w:t>Paid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4C4C4E"/>
              </w:rPr>
              <w:t>Received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4C4C4E"/>
              </w:rPr>
              <w:t>Net</w:t>
            </w:r>
          </w:p>
        </w:tc>
      </w:tr>
      <w:tr>
        <w:trPr>
          <w:trHeight w:val="239"/>
        </w:trPr>
        <w:tc>
          <w:tcPr>
            <w:tcW w:w="27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Interest rate swap</w:t>
            </w:r>
          </w:p>
        </w:tc>
        <w:tc>
          <w:tcPr>
            <w:tcW w:w="13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8/1/2026</w:t>
            </w:r>
          </w:p>
        </w:tc>
        <w:tc>
          <w:tcPr>
            <w:tcW w:w="160" w:type="dxa"/>
            <w:vAlign w:val="bottom"/>
            <w:tcBorders>
              <w:top w:val="single" w:sz="8" w:color="D8EEF4"/>
            </w:tcBorders>
            <w:shd w:val="clear" w:color="auto" w:fill="D8EEF4"/>
          </w:tcPr>
          <w:p>
            <w:pPr>
              <w:spacing w:after="0"/>
              <w:rPr>
                <w:sz w:val="20"/>
                <w:szCs w:val="20"/>
                <w:color w:val="auto"/>
              </w:rPr>
            </w:pPr>
          </w:p>
        </w:tc>
        <w:tc>
          <w:tcPr>
            <w:tcW w:w="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4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26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80" w:type="dxa"/>
            <w:vAlign w:val="bottom"/>
            <w:tcBorders>
              <w:top w:val="single" w:sz="8" w:color="4C4C4E"/>
            </w:tcBorders>
            <w:shd w:val="clear" w:color="auto" w:fill="D8EEF4"/>
          </w:tcPr>
          <w:p>
            <w:pPr>
              <w:jc w:val="right"/>
              <w:ind w:right="115"/>
              <w:spacing w:after="0"/>
              <w:rPr>
                <w:sz w:val="20"/>
                <w:szCs w:val="20"/>
                <w:color w:val="auto"/>
              </w:rPr>
            </w:pPr>
            <w:r>
              <w:rPr>
                <w:rFonts w:ascii="Times New Roman" w:cs="Times New Roman" w:eastAsia="Times New Roman" w:hAnsi="Times New Roman"/>
                <w:sz w:val="17"/>
                <w:szCs w:val="17"/>
                <w:color w:val="4C4C4E"/>
                <w:w w:val="70"/>
              </w:rPr>
              <w:t>$</w:t>
            </w:r>
          </w:p>
        </w:tc>
        <w:tc>
          <w:tcPr>
            <w:tcW w:w="10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(19,703)</w:t>
            </w:r>
          </w:p>
        </w:tc>
        <w:tc>
          <w:tcPr>
            <w:tcW w:w="28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20" w:type="dxa"/>
            <w:vAlign w:val="bottom"/>
            <w:tcBorders>
              <w:top w:val="single" w:sz="8" w:color="4C4C4E"/>
            </w:tcBorders>
            <w:shd w:val="clear" w:color="auto" w:fill="D8EEF4"/>
          </w:tcPr>
          <w:p>
            <w:pPr>
              <w:jc w:val="right"/>
              <w:ind w:right="91"/>
              <w:spacing w:after="0"/>
              <w:rPr>
                <w:sz w:val="20"/>
                <w:szCs w:val="20"/>
                <w:color w:val="auto"/>
              </w:rPr>
            </w:pPr>
            <w:r>
              <w:rPr>
                <w:rFonts w:ascii="Times New Roman" w:cs="Times New Roman" w:eastAsia="Times New Roman" w:hAnsi="Times New Roman"/>
                <w:sz w:val="11"/>
                <w:szCs w:val="11"/>
                <w:color w:val="4C4C4E"/>
                <w:w w:val="71"/>
              </w:rPr>
              <w:t>$</w:t>
            </w:r>
          </w:p>
        </w:tc>
        <w:tc>
          <w:tcPr>
            <w:tcW w:w="1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7,542</w:t>
            </w:r>
          </w:p>
        </w:tc>
        <w:tc>
          <w:tcPr>
            <w:tcW w:w="100" w:type="dxa"/>
            <w:vAlign w:val="bottom"/>
            <w:tcBorders>
              <w:top w:val="single" w:sz="8" w:color="D8EEF4"/>
            </w:tcBorders>
            <w:shd w:val="clear" w:color="auto" w:fill="D8EEF4"/>
          </w:tcPr>
          <w:p>
            <w:pPr>
              <w:spacing w:after="0"/>
              <w:rPr>
                <w:sz w:val="20"/>
                <w:szCs w:val="20"/>
                <w:color w:val="auto"/>
              </w:rPr>
            </w:pPr>
          </w:p>
        </w:tc>
        <w:tc>
          <w:tcPr>
            <w:tcW w:w="160" w:type="dxa"/>
            <w:vAlign w:val="bottom"/>
            <w:tcBorders>
              <w:top w:val="single" w:sz="8" w:color="D8EEF4"/>
            </w:tcBorders>
            <w:shd w:val="clear" w:color="auto" w:fill="D8EEF4"/>
          </w:tcPr>
          <w:p>
            <w:pPr>
              <w:spacing w:after="0"/>
              <w:rPr>
                <w:sz w:val="20"/>
                <w:szCs w:val="20"/>
                <w:color w:val="auto"/>
              </w:rPr>
            </w:pPr>
          </w:p>
        </w:tc>
        <w:tc>
          <w:tcPr>
            <w:tcW w:w="460" w:type="dxa"/>
            <w:vAlign w:val="bottom"/>
            <w:tcBorders>
              <w:top w:val="single" w:sz="8" w:color="4C4C4E"/>
            </w:tcBorders>
            <w:shd w:val="clear" w:color="auto" w:fill="D8EEF4"/>
          </w:tcPr>
          <w:p>
            <w:pPr>
              <w:jc w:val="right"/>
              <w:ind w:right="263"/>
              <w:spacing w:after="0"/>
              <w:rPr>
                <w:sz w:val="20"/>
                <w:szCs w:val="20"/>
                <w:color w:val="auto"/>
              </w:rPr>
            </w:pPr>
            <w:r>
              <w:rPr>
                <w:rFonts w:ascii="Times New Roman" w:cs="Times New Roman" w:eastAsia="Times New Roman" w:hAnsi="Times New Roman"/>
                <w:sz w:val="19"/>
                <w:szCs w:val="19"/>
                <w:color w:val="4C4C4E"/>
                <w:w w:val="83"/>
              </w:rPr>
              <w:t>$</w:t>
            </w:r>
          </w:p>
        </w:tc>
        <w:tc>
          <w:tcPr>
            <w:tcW w:w="9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(12,161)</w:t>
            </w:r>
          </w:p>
        </w:tc>
        <w:tc>
          <w:tcPr>
            <w:tcW w:w="80" w:type="dxa"/>
            <w:vAlign w:val="bottom"/>
            <w:tcBorders>
              <w:top w:val="single" w:sz="8" w:color="D8EEF4"/>
            </w:tcBorders>
            <w:shd w:val="clear" w:color="auto" w:fill="D8EEF4"/>
          </w:tcPr>
          <w:p>
            <w:pPr>
              <w:spacing w:after="0"/>
              <w:rPr>
                <w:sz w:val="20"/>
                <w:szCs w:val="20"/>
                <w:color w:val="auto"/>
              </w:rPr>
            </w:pPr>
          </w:p>
        </w:tc>
      </w:tr>
      <w:tr>
        <w:trPr>
          <w:trHeight w:val="244"/>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4C4C4E"/>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8/14/2028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(22,104)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20,850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(1,254)</w:t>
            </w:r>
          </w:p>
        </w:tc>
        <w:tc>
          <w:tcPr>
            <w:tcW w:w="80" w:type="dxa"/>
            <w:vAlign w:val="bottom"/>
          </w:tcPr>
          <w:p>
            <w:pPr>
              <w:spacing w:after="0"/>
              <w:rPr>
                <w:sz w:val="21"/>
                <w:szCs w:val="21"/>
                <w:color w:val="auto"/>
              </w:rPr>
            </w:pPr>
          </w:p>
        </w:tc>
      </w:tr>
      <w:tr>
        <w:trPr>
          <w:trHeight w:val="244"/>
        </w:trPr>
        <w:tc>
          <w:tcPr>
            <w:tcW w:w="27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Interest rate swap</w:t>
            </w:r>
          </w:p>
        </w:tc>
        <w:tc>
          <w:tcPr>
            <w:tcW w:w="13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3/1/2029</w:t>
            </w:r>
          </w:p>
        </w:tc>
        <w:tc>
          <w:tcPr>
            <w:tcW w:w="16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350,000</w:t>
            </w:r>
          </w:p>
        </w:tc>
        <w:tc>
          <w:tcPr>
            <w:tcW w:w="26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80" w:type="dxa"/>
            <w:vAlign w:val="bottom"/>
            <w:shd w:val="clear" w:color="auto" w:fill="D8EEF4"/>
          </w:tcPr>
          <w:p>
            <w:pPr>
              <w:spacing w:after="0"/>
              <w:rPr>
                <w:sz w:val="21"/>
                <w:szCs w:val="21"/>
                <w:color w:val="auto"/>
              </w:rPr>
            </w:pPr>
          </w:p>
        </w:tc>
        <w:tc>
          <w:tcPr>
            <w:tcW w:w="134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(23,819)</w:t>
            </w:r>
          </w:p>
        </w:tc>
        <w:tc>
          <w:tcPr>
            <w:tcW w:w="2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21,438</w:t>
            </w:r>
          </w:p>
        </w:tc>
        <w:tc>
          <w:tcPr>
            <w:tcW w:w="100" w:type="dxa"/>
            <w:vAlign w:val="bottom"/>
            <w:shd w:val="clear" w:color="auto" w:fill="D8EEF4"/>
          </w:tcPr>
          <w:p>
            <w:pPr>
              <w:spacing w:after="0"/>
              <w:rPr>
                <w:sz w:val="21"/>
                <w:szCs w:val="21"/>
                <w:color w:val="auto"/>
              </w:rPr>
            </w:pPr>
          </w:p>
        </w:tc>
        <w:tc>
          <w:tcPr>
            <w:tcW w:w="160" w:type="dxa"/>
            <w:vAlign w:val="bottom"/>
            <w:shd w:val="clear" w:color="auto" w:fill="D8EEF4"/>
          </w:tcPr>
          <w:p>
            <w:pPr>
              <w:spacing w:after="0"/>
              <w:rPr>
                <w:sz w:val="21"/>
                <w:szCs w:val="21"/>
                <w:color w:val="auto"/>
              </w:rPr>
            </w:pPr>
          </w:p>
        </w:tc>
        <w:tc>
          <w:tcPr>
            <w:tcW w:w="460" w:type="dxa"/>
            <w:vAlign w:val="bottom"/>
            <w:shd w:val="clear" w:color="auto" w:fill="D8EEF4"/>
          </w:tcPr>
          <w:p>
            <w:pPr>
              <w:spacing w:after="0"/>
              <w:rPr>
                <w:sz w:val="21"/>
                <w:szCs w:val="21"/>
                <w:color w:val="auto"/>
              </w:rPr>
            </w:pPr>
          </w:p>
        </w:tc>
        <w:tc>
          <w:tcPr>
            <w:tcW w:w="98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(2,381)</w:t>
            </w:r>
          </w:p>
        </w:tc>
      </w:tr>
      <w:tr>
        <w:trPr>
          <w:trHeight w:val="244"/>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4C4C4E"/>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8/15/2030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(14,646)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(537)</w:t>
            </w:r>
          </w:p>
        </w:tc>
      </w:tr>
      <w:tr>
        <w:trPr>
          <w:trHeight w:val="239"/>
        </w:trPr>
        <w:tc>
          <w:tcPr>
            <w:tcW w:w="2740" w:type="dxa"/>
            <w:vAlign w:val="bottom"/>
            <w:tcBorders>
              <w:top w:val="single" w:sz="8" w:color="D8EEF4"/>
            </w:tcBorders>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1360" w:type="dxa"/>
            <w:vAlign w:val="bottom"/>
            <w:tcBorders>
              <w:top w:val="single" w:sz="8" w:color="D8EEF4"/>
            </w:tcBorders>
            <w:shd w:val="clear" w:color="auto" w:fill="D8EEF4"/>
          </w:tcPr>
          <w:p>
            <w:pPr>
              <w:spacing w:after="0"/>
              <w:rPr>
                <w:sz w:val="20"/>
                <w:szCs w:val="20"/>
                <w:color w:val="auto"/>
              </w:rPr>
            </w:pPr>
          </w:p>
        </w:tc>
        <w:tc>
          <w:tcPr>
            <w:tcW w:w="160" w:type="dxa"/>
            <w:vAlign w:val="bottom"/>
            <w:tcBorders>
              <w:top w:val="single" w:sz="8" w:color="D8EEF4"/>
            </w:tcBorders>
            <w:shd w:val="clear" w:color="auto" w:fill="D8EEF4"/>
          </w:tcPr>
          <w:p>
            <w:pPr>
              <w:spacing w:after="0"/>
              <w:rPr>
                <w:sz w:val="20"/>
                <w:szCs w:val="20"/>
                <w:color w:val="auto"/>
              </w:rPr>
            </w:pPr>
          </w:p>
        </w:tc>
        <w:tc>
          <w:tcPr>
            <w:tcW w:w="1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4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1,250,000</w:t>
            </w:r>
          </w:p>
        </w:tc>
        <w:tc>
          <w:tcPr>
            <w:tcW w:w="26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80" w:type="dxa"/>
            <w:vAlign w:val="bottom"/>
            <w:tcBorders>
              <w:top w:val="single" w:sz="8" w:color="4C4C4E"/>
              <w:bottom w:val="single" w:sz="8" w:color="4C4C4E"/>
            </w:tcBorders>
            <w:shd w:val="clear" w:color="auto" w:fill="D8EEF4"/>
          </w:tcPr>
          <w:p>
            <w:pPr>
              <w:jc w:val="right"/>
              <w:ind w:right="115"/>
              <w:spacing w:after="0"/>
              <w:rPr>
                <w:sz w:val="20"/>
                <w:szCs w:val="20"/>
                <w:color w:val="auto"/>
              </w:rPr>
            </w:pPr>
            <w:r>
              <w:rPr>
                <w:rFonts w:ascii="Times New Roman" w:cs="Times New Roman" w:eastAsia="Times New Roman" w:hAnsi="Times New Roman"/>
                <w:sz w:val="17"/>
                <w:szCs w:val="17"/>
                <w:color w:val="4C4C4E"/>
                <w:w w:val="70"/>
              </w:rPr>
              <w:t>$</w:t>
            </w:r>
          </w:p>
        </w:tc>
        <w:tc>
          <w:tcPr>
            <w:tcW w:w="10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(80,272)</w:t>
            </w:r>
          </w:p>
        </w:tc>
        <w:tc>
          <w:tcPr>
            <w:tcW w:w="28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20" w:type="dxa"/>
            <w:vAlign w:val="bottom"/>
            <w:tcBorders>
              <w:top w:val="single" w:sz="8" w:color="4C4C4E"/>
              <w:bottom w:val="single" w:sz="8" w:color="4C4C4E"/>
            </w:tcBorders>
            <w:shd w:val="clear" w:color="auto" w:fill="D8EEF4"/>
          </w:tcPr>
          <w:p>
            <w:pPr>
              <w:jc w:val="right"/>
              <w:ind w:right="71"/>
              <w:spacing w:after="0"/>
              <w:rPr>
                <w:sz w:val="20"/>
                <w:szCs w:val="20"/>
                <w:color w:val="auto"/>
              </w:rPr>
            </w:pPr>
            <w:r>
              <w:rPr>
                <w:rFonts w:ascii="Times New Roman" w:cs="Times New Roman" w:eastAsia="Times New Roman" w:hAnsi="Times New Roman"/>
                <w:sz w:val="17"/>
                <w:szCs w:val="17"/>
                <w:color w:val="4C4C4E"/>
                <w:w w:val="70"/>
              </w:rPr>
              <w:t>$</w:t>
            </w:r>
          </w:p>
        </w:tc>
        <w:tc>
          <w:tcPr>
            <w:tcW w:w="11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63,939</w:t>
            </w:r>
          </w:p>
        </w:tc>
        <w:tc>
          <w:tcPr>
            <w:tcW w:w="100" w:type="dxa"/>
            <w:vAlign w:val="bottom"/>
            <w:tcBorders>
              <w:top w:val="single" w:sz="8" w:color="D8EEF4"/>
            </w:tcBorders>
            <w:shd w:val="clear" w:color="auto" w:fill="D8EEF4"/>
          </w:tcPr>
          <w:p>
            <w:pPr>
              <w:spacing w:after="0"/>
              <w:rPr>
                <w:sz w:val="20"/>
                <w:szCs w:val="20"/>
                <w:color w:val="auto"/>
              </w:rPr>
            </w:pPr>
          </w:p>
        </w:tc>
        <w:tc>
          <w:tcPr>
            <w:tcW w:w="160" w:type="dxa"/>
            <w:vAlign w:val="bottom"/>
            <w:tcBorders>
              <w:top w:val="single" w:sz="8" w:color="D8EEF4"/>
            </w:tcBorders>
            <w:shd w:val="clear" w:color="auto" w:fill="D8EEF4"/>
          </w:tcPr>
          <w:p>
            <w:pPr>
              <w:spacing w:after="0"/>
              <w:rPr>
                <w:sz w:val="20"/>
                <w:szCs w:val="20"/>
                <w:color w:val="auto"/>
              </w:rPr>
            </w:pPr>
          </w:p>
        </w:tc>
        <w:tc>
          <w:tcPr>
            <w:tcW w:w="460" w:type="dxa"/>
            <w:vAlign w:val="bottom"/>
            <w:tcBorders>
              <w:top w:val="single" w:sz="8" w:color="4C4C4E"/>
              <w:bottom w:val="single" w:sz="8" w:color="4C4C4E"/>
            </w:tcBorders>
            <w:shd w:val="clear" w:color="auto" w:fill="D8EEF4"/>
          </w:tcPr>
          <w:p>
            <w:pPr>
              <w:jc w:val="right"/>
              <w:ind w:right="263"/>
              <w:spacing w:after="0"/>
              <w:rPr>
                <w:sz w:val="20"/>
                <w:szCs w:val="20"/>
                <w:color w:val="auto"/>
              </w:rPr>
            </w:pPr>
            <w:r>
              <w:rPr>
                <w:rFonts w:ascii="Times New Roman" w:cs="Times New Roman" w:eastAsia="Times New Roman" w:hAnsi="Times New Roman"/>
                <w:sz w:val="20"/>
                <w:szCs w:val="20"/>
                <w:color w:val="4C4C4E"/>
                <w:w w:val="79"/>
              </w:rPr>
              <w:t>$</w:t>
            </w:r>
          </w:p>
        </w:tc>
        <w:tc>
          <w:tcPr>
            <w:tcW w:w="9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(16,333)</w:t>
            </w:r>
          </w:p>
        </w:tc>
        <w:tc>
          <w:tcPr>
            <w:tcW w:w="80" w:type="dxa"/>
            <w:vAlign w:val="bottom"/>
            <w:tcBorders>
              <w:top w:val="single" w:sz="8" w:color="D8EEF4"/>
            </w:tcBorders>
            <w:shd w:val="clear" w:color="auto" w:fill="D8EEF4"/>
          </w:tcPr>
          <w:p>
            <w:pPr>
              <w:spacing w:after="0"/>
              <w:rPr>
                <w:sz w:val="20"/>
                <w:szCs w:val="20"/>
                <w:color w:val="auto"/>
              </w:rPr>
            </w:pPr>
          </w:p>
        </w:tc>
      </w:tr>
      <w:tr>
        <w:trPr>
          <w:trHeight w:val="20"/>
        </w:trPr>
        <w:tc>
          <w:tcPr>
            <w:tcW w:w="2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1420" w:type="dxa"/>
            <w:vAlign w:val="bottom"/>
            <w:tcBorders>
              <w:bottom w:val="single" w:sz="8" w:color="4C4C4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4C4C4E"/>
            </w:tcBorders>
          </w:tcPr>
          <w:p>
            <w:pPr>
              <w:spacing w:after="0" w:line="20" w:lineRule="exact"/>
              <w:rPr>
                <w:sz w:val="1"/>
                <w:szCs w:val="1"/>
                <w:color w:val="auto"/>
              </w:rPr>
            </w:pPr>
          </w:p>
        </w:tc>
        <w:tc>
          <w:tcPr>
            <w:tcW w:w="1060" w:type="dxa"/>
            <w:vAlign w:val="bottom"/>
            <w:tcBorders>
              <w:bottom w:val="single" w:sz="8" w:color="4C4C4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114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4C4C4E"/>
            </w:tcBorders>
          </w:tcPr>
          <w:p>
            <w:pPr>
              <w:spacing w:after="0" w:line="20" w:lineRule="exact"/>
              <w:rPr>
                <w:sz w:val="1"/>
                <w:szCs w:val="1"/>
                <w:color w:val="auto"/>
              </w:rPr>
            </w:pPr>
          </w:p>
        </w:tc>
        <w:tc>
          <w:tcPr>
            <w:tcW w:w="90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9"/>
        </w:trPr>
        <w:tc>
          <w:tcPr>
            <w:tcW w:w="2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gridSpan w:val="8"/>
          </w:tcPr>
          <w:p>
            <w:pPr>
              <w:jc w:val="center"/>
              <w:ind w:left="487"/>
              <w:spacing w:after="0"/>
              <w:rPr>
                <w:sz w:val="20"/>
                <w:szCs w:val="20"/>
                <w:color w:val="auto"/>
              </w:rPr>
            </w:pPr>
            <w:r>
              <w:rPr>
                <w:rFonts w:ascii="Times New Roman" w:cs="Times New Roman" w:eastAsia="Times New Roman" w:hAnsi="Times New Roman"/>
                <w:sz w:val="16"/>
                <w:szCs w:val="16"/>
                <w:b w:val="1"/>
                <w:bCs w:val="1"/>
                <w:color w:val="4C4C4E"/>
              </w:rPr>
              <w:t>For the Year Ended December 31, 2024</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136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4C4C4E"/>
              </w:rPr>
              <w:t>Maturity Date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4C4C4E"/>
              </w:rPr>
              <w:t>Notional Amount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4C4C4E"/>
              </w:rPr>
              <w:t>Paid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4C4C4E"/>
              </w:rPr>
              <w:t>Received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4C4C4E"/>
              </w:rPr>
              <w:t>Net</w:t>
            </w:r>
          </w:p>
        </w:tc>
      </w:tr>
      <w:tr>
        <w:trPr>
          <w:trHeight w:val="239"/>
        </w:trPr>
        <w:tc>
          <w:tcPr>
            <w:tcW w:w="2740" w:type="dxa"/>
            <w:vAlign w:val="bottom"/>
            <w:tcBorders>
              <w:top w:val="single" w:sz="8" w:color="D8EEF4"/>
            </w:tcBorders>
            <w:shd w:val="clear" w:color="auto" w:fill="D8EEF4"/>
          </w:tcPr>
          <w:p>
            <w:pPr>
              <w:spacing w:after="0" w:line="239" w:lineRule="exact"/>
              <w:rPr>
                <w:sz w:val="20"/>
                <w:szCs w:val="20"/>
                <w:color w:val="auto"/>
              </w:rPr>
            </w:pPr>
            <w:r>
              <w:rPr>
                <w:rFonts w:ascii="Times New Roman" w:cs="Times New Roman" w:eastAsia="Times New Roman" w:hAnsi="Times New Roman"/>
                <w:sz w:val="19"/>
                <w:szCs w:val="19"/>
                <w:color w:val="4C4C4E"/>
              </w:rPr>
              <w:t xml:space="preserve">Interest rate swap </w:t>
            </w:r>
            <w:r>
              <w:rPr>
                <w:rFonts w:ascii="Times New Roman" w:cs="Times New Roman" w:eastAsia="Times New Roman" w:hAnsi="Times New Roman"/>
                <w:sz w:val="24"/>
                <w:szCs w:val="24"/>
                <w:color w:val="4C4C4E"/>
                <w:vertAlign w:val="superscript"/>
              </w:rPr>
              <w:t>(1)</w:t>
            </w:r>
          </w:p>
        </w:tc>
        <w:tc>
          <w:tcPr>
            <w:tcW w:w="13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11/1/2024</w:t>
            </w:r>
          </w:p>
        </w:tc>
        <w:tc>
          <w:tcPr>
            <w:tcW w:w="160" w:type="dxa"/>
            <w:vAlign w:val="bottom"/>
            <w:tcBorders>
              <w:top w:val="single" w:sz="8" w:color="D8EEF4"/>
            </w:tcBorders>
            <w:shd w:val="clear" w:color="auto" w:fill="D8EEF4"/>
          </w:tcPr>
          <w:p>
            <w:pPr>
              <w:spacing w:after="0"/>
              <w:rPr>
                <w:sz w:val="20"/>
                <w:szCs w:val="20"/>
                <w:color w:val="auto"/>
              </w:rPr>
            </w:pPr>
          </w:p>
        </w:tc>
        <w:tc>
          <w:tcPr>
            <w:tcW w:w="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4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6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80" w:type="dxa"/>
            <w:vAlign w:val="bottom"/>
            <w:tcBorders>
              <w:top w:val="single" w:sz="8" w:color="4C4C4E"/>
            </w:tcBorders>
            <w:shd w:val="clear" w:color="auto" w:fill="D8EEF4"/>
          </w:tcPr>
          <w:p>
            <w:pPr>
              <w:jc w:val="right"/>
              <w:ind w:right="115"/>
              <w:spacing w:after="0"/>
              <w:rPr>
                <w:sz w:val="20"/>
                <w:szCs w:val="20"/>
                <w:color w:val="auto"/>
              </w:rPr>
            </w:pPr>
            <w:r>
              <w:rPr>
                <w:rFonts w:ascii="Times New Roman" w:cs="Times New Roman" w:eastAsia="Times New Roman" w:hAnsi="Times New Roman"/>
                <w:sz w:val="17"/>
                <w:szCs w:val="17"/>
                <w:color w:val="4C4C4E"/>
                <w:w w:val="70"/>
              </w:rPr>
              <w:t>$</w:t>
            </w:r>
          </w:p>
        </w:tc>
        <w:tc>
          <w:tcPr>
            <w:tcW w:w="10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(20,226)</w:t>
            </w:r>
          </w:p>
        </w:tc>
        <w:tc>
          <w:tcPr>
            <w:tcW w:w="28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220" w:type="dxa"/>
            <w:vAlign w:val="bottom"/>
            <w:tcBorders>
              <w:top w:val="single" w:sz="8" w:color="4C4C4E"/>
            </w:tcBorders>
            <w:shd w:val="clear" w:color="auto" w:fill="D8EEF4"/>
          </w:tcPr>
          <w:p>
            <w:pPr>
              <w:jc w:val="right"/>
              <w:ind w:right="91"/>
              <w:spacing w:after="0"/>
              <w:rPr>
                <w:sz w:val="20"/>
                <w:szCs w:val="20"/>
                <w:color w:val="auto"/>
              </w:rPr>
            </w:pPr>
            <w:r>
              <w:rPr>
                <w:rFonts w:ascii="Times New Roman" w:cs="Times New Roman" w:eastAsia="Times New Roman" w:hAnsi="Times New Roman"/>
                <w:sz w:val="11"/>
                <w:szCs w:val="11"/>
                <w:color w:val="4C4C4E"/>
                <w:w w:val="71"/>
              </w:rPr>
              <w:t>$</w:t>
            </w:r>
          </w:p>
        </w:tc>
        <w:tc>
          <w:tcPr>
            <w:tcW w:w="1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9,881</w:t>
            </w:r>
          </w:p>
        </w:tc>
        <w:tc>
          <w:tcPr>
            <w:tcW w:w="100" w:type="dxa"/>
            <w:vAlign w:val="bottom"/>
            <w:tcBorders>
              <w:top w:val="single" w:sz="8" w:color="D8EEF4"/>
            </w:tcBorders>
            <w:shd w:val="clear" w:color="auto" w:fill="D8EEF4"/>
          </w:tcPr>
          <w:p>
            <w:pPr>
              <w:spacing w:after="0"/>
              <w:rPr>
                <w:sz w:val="20"/>
                <w:szCs w:val="20"/>
                <w:color w:val="auto"/>
              </w:rPr>
            </w:pPr>
          </w:p>
        </w:tc>
        <w:tc>
          <w:tcPr>
            <w:tcW w:w="160" w:type="dxa"/>
            <w:vAlign w:val="bottom"/>
            <w:tcBorders>
              <w:top w:val="single" w:sz="8" w:color="D8EEF4"/>
            </w:tcBorders>
            <w:shd w:val="clear" w:color="auto" w:fill="D8EEF4"/>
          </w:tcPr>
          <w:p>
            <w:pPr>
              <w:spacing w:after="0"/>
              <w:rPr>
                <w:sz w:val="20"/>
                <w:szCs w:val="20"/>
                <w:color w:val="auto"/>
              </w:rPr>
            </w:pPr>
          </w:p>
        </w:tc>
        <w:tc>
          <w:tcPr>
            <w:tcW w:w="460" w:type="dxa"/>
            <w:vAlign w:val="bottom"/>
            <w:tcBorders>
              <w:top w:val="single" w:sz="8" w:color="4C4C4E"/>
            </w:tcBorders>
            <w:shd w:val="clear" w:color="auto" w:fill="D8EEF4"/>
          </w:tcPr>
          <w:p>
            <w:pPr>
              <w:jc w:val="right"/>
              <w:ind w:right="263"/>
              <w:spacing w:after="0"/>
              <w:rPr>
                <w:sz w:val="20"/>
                <w:szCs w:val="20"/>
                <w:color w:val="auto"/>
              </w:rPr>
            </w:pPr>
            <w:r>
              <w:rPr>
                <w:rFonts w:ascii="Times New Roman" w:cs="Times New Roman" w:eastAsia="Times New Roman" w:hAnsi="Times New Roman"/>
                <w:sz w:val="19"/>
                <w:szCs w:val="19"/>
                <w:color w:val="4C4C4E"/>
                <w:w w:val="83"/>
              </w:rPr>
              <w:t>$</w:t>
            </w:r>
          </w:p>
        </w:tc>
        <w:tc>
          <w:tcPr>
            <w:tcW w:w="9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(10,345)</w:t>
            </w:r>
          </w:p>
        </w:tc>
        <w:tc>
          <w:tcPr>
            <w:tcW w:w="80" w:type="dxa"/>
            <w:vAlign w:val="bottom"/>
            <w:tcBorders>
              <w:top w:val="single" w:sz="8" w:color="D8EEF4"/>
            </w:tcBorders>
            <w:shd w:val="clear" w:color="auto" w:fill="D8EEF4"/>
          </w:tcPr>
          <w:p>
            <w:pPr>
              <w:spacing w:after="0"/>
              <w:rPr>
                <w:sz w:val="20"/>
                <w:szCs w:val="20"/>
                <w:color w:val="auto"/>
              </w:rPr>
            </w:pPr>
          </w:p>
        </w:tc>
      </w:tr>
      <w:tr>
        <w:trPr>
          <w:trHeight w:val="233"/>
        </w:trPr>
        <w:tc>
          <w:tcPr>
            <w:tcW w:w="2740" w:type="dxa"/>
            <w:vAlign w:val="bottom"/>
          </w:tcPr>
          <w:p>
            <w:pPr>
              <w:spacing w:after="0" w:line="233" w:lineRule="exact"/>
              <w:rPr>
                <w:sz w:val="20"/>
                <w:szCs w:val="20"/>
                <w:color w:val="auto"/>
              </w:rPr>
            </w:pPr>
            <w:r>
              <w:rPr>
                <w:rFonts w:ascii="Times New Roman" w:cs="Times New Roman" w:eastAsia="Times New Roman" w:hAnsi="Times New Roman"/>
                <w:sz w:val="19"/>
                <w:szCs w:val="19"/>
                <w:color w:val="4C4C4E"/>
              </w:rPr>
              <w:t xml:space="preserve">Interest rate swap </w:t>
            </w:r>
            <w:r>
              <w:rPr>
                <w:rFonts w:ascii="Times New Roman" w:cs="Times New Roman" w:eastAsia="Times New Roman" w:hAnsi="Times New Roman"/>
                <w:sz w:val="24"/>
                <w:szCs w:val="24"/>
                <w:color w:val="4C4C4E"/>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11/1/2024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(3,449)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1,647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(1,802)</w:t>
            </w:r>
          </w:p>
        </w:tc>
        <w:tc>
          <w:tcPr>
            <w:tcW w:w="80" w:type="dxa"/>
            <w:vAlign w:val="bottom"/>
          </w:tcPr>
          <w:p>
            <w:pPr>
              <w:spacing w:after="0"/>
              <w:rPr>
                <w:sz w:val="20"/>
                <w:szCs w:val="20"/>
                <w:color w:val="auto"/>
              </w:rPr>
            </w:pPr>
          </w:p>
        </w:tc>
      </w:tr>
      <w:tr>
        <w:trPr>
          <w:trHeight w:val="233"/>
        </w:trPr>
        <w:tc>
          <w:tcPr>
            <w:tcW w:w="2740" w:type="dxa"/>
            <w:vAlign w:val="bottom"/>
            <w:shd w:val="clear" w:color="auto" w:fill="D8EEF4"/>
          </w:tcPr>
          <w:p>
            <w:pPr>
              <w:spacing w:after="0" w:line="233" w:lineRule="exact"/>
              <w:rPr>
                <w:sz w:val="20"/>
                <w:szCs w:val="20"/>
                <w:color w:val="auto"/>
              </w:rPr>
            </w:pPr>
            <w:r>
              <w:rPr>
                <w:rFonts w:ascii="Times New Roman" w:cs="Times New Roman" w:eastAsia="Times New Roman" w:hAnsi="Times New Roman"/>
                <w:sz w:val="19"/>
                <w:szCs w:val="19"/>
                <w:color w:val="4C4C4E"/>
              </w:rPr>
              <w:t xml:space="preserve">Interest rate swap </w:t>
            </w:r>
            <w:r>
              <w:rPr>
                <w:rFonts w:ascii="Times New Roman" w:cs="Times New Roman" w:eastAsia="Times New Roman" w:hAnsi="Times New Roman"/>
                <w:sz w:val="24"/>
                <w:szCs w:val="24"/>
                <w:color w:val="4C4C4E"/>
                <w:vertAlign w:val="superscript"/>
              </w:rPr>
              <w:t>(1)</w:t>
            </w:r>
          </w:p>
        </w:tc>
        <w:tc>
          <w:tcPr>
            <w:tcW w:w="13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11/1/2024</w:t>
            </w:r>
          </w:p>
        </w:tc>
        <w:tc>
          <w:tcPr>
            <w:tcW w:w="160" w:type="dxa"/>
            <w:vAlign w:val="bottom"/>
            <w:shd w:val="clear" w:color="auto" w:fill="D8EEF4"/>
          </w:tcPr>
          <w:p>
            <w:pPr>
              <w:spacing w:after="0"/>
              <w:rPr>
                <w:sz w:val="20"/>
                <w:szCs w:val="20"/>
                <w:color w:val="auto"/>
              </w:rPr>
            </w:pPr>
          </w:p>
        </w:tc>
        <w:tc>
          <w:tcPr>
            <w:tcW w:w="140" w:type="dxa"/>
            <w:vAlign w:val="bottom"/>
            <w:shd w:val="clear" w:color="auto" w:fill="D8EEF4"/>
          </w:tcPr>
          <w:p>
            <w:pPr>
              <w:spacing w:after="0"/>
              <w:rPr>
                <w:sz w:val="20"/>
                <w:szCs w:val="20"/>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w:t>
            </w:r>
          </w:p>
        </w:tc>
        <w:tc>
          <w:tcPr>
            <w:tcW w:w="26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280" w:type="dxa"/>
            <w:vAlign w:val="bottom"/>
            <w:shd w:val="clear" w:color="auto" w:fill="D8EEF4"/>
          </w:tcPr>
          <w:p>
            <w:pPr>
              <w:spacing w:after="0"/>
              <w:rPr>
                <w:sz w:val="20"/>
                <w:szCs w:val="20"/>
                <w:color w:val="auto"/>
              </w:rPr>
            </w:pPr>
          </w:p>
        </w:tc>
        <w:tc>
          <w:tcPr>
            <w:tcW w:w="134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19"/>
                <w:szCs w:val="19"/>
                <w:color w:val="4C4C4E"/>
              </w:rPr>
              <w:t>(82)</w:t>
            </w: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169</w:t>
            </w:r>
          </w:p>
        </w:tc>
        <w:tc>
          <w:tcPr>
            <w:tcW w:w="10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460" w:type="dxa"/>
            <w:vAlign w:val="bottom"/>
            <w:shd w:val="clear" w:color="auto" w:fill="D8EEF4"/>
          </w:tcPr>
          <w:p>
            <w:pPr>
              <w:spacing w:after="0"/>
              <w:rPr>
                <w:sz w:val="20"/>
                <w:szCs w:val="20"/>
                <w:color w:val="auto"/>
              </w:rPr>
            </w:pPr>
          </w:p>
        </w:tc>
        <w:tc>
          <w:tcPr>
            <w:tcW w:w="9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87</w:t>
            </w:r>
          </w:p>
        </w:tc>
        <w:tc>
          <w:tcPr>
            <w:tcW w:w="80" w:type="dxa"/>
            <w:vAlign w:val="bottom"/>
            <w:shd w:val="clear" w:color="auto" w:fill="D8EEF4"/>
          </w:tcPr>
          <w:p>
            <w:pPr>
              <w:spacing w:after="0"/>
              <w:rPr>
                <w:sz w:val="20"/>
                <w:szCs w:val="20"/>
                <w:color w:val="auto"/>
              </w:rPr>
            </w:pPr>
          </w:p>
        </w:tc>
      </w:tr>
      <w:tr>
        <w:trPr>
          <w:trHeight w:val="233"/>
        </w:trPr>
        <w:tc>
          <w:tcPr>
            <w:tcW w:w="2740" w:type="dxa"/>
            <w:vAlign w:val="bottom"/>
          </w:tcPr>
          <w:p>
            <w:pPr>
              <w:spacing w:after="0"/>
              <w:rPr>
                <w:sz w:val="20"/>
                <w:szCs w:val="20"/>
                <w:color w:val="auto"/>
              </w:rPr>
            </w:pPr>
            <w:r>
              <w:rPr>
                <w:rFonts w:ascii="Times New Roman" w:cs="Times New Roman" w:eastAsia="Times New Roman" w:hAnsi="Times New Roman"/>
                <w:sz w:val="19"/>
                <w:szCs w:val="19"/>
                <w:color w:val="4C4C4E"/>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8/1/2026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300,000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4C4C4E"/>
              </w:rPr>
              <w:t>(22,448)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7,500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4C4C4E"/>
              </w:rPr>
              <w:t>(14,948)</w:t>
            </w:r>
          </w:p>
        </w:tc>
      </w:tr>
      <w:tr>
        <w:trPr>
          <w:trHeight w:val="233"/>
        </w:trPr>
        <w:tc>
          <w:tcPr>
            <w:tcW w:w="2740" w:type="dxa"/>
            <w:vAlign w:val="bottom"/>
            <w:shd w:val="clear" w:color="auto" w:fill="D8EEF4"/>
          </w:tcPr>
          <w:p>
            <w:pPr>
              <w:spacing w:after="0"/>
              <w:rPr>
                <w:sz w:val="20"/>
                <w:szCs w:val="20"/>
                <w:color w:val="auto"/>
              </w:rPr>
            </w:pPr>
            <w:r>
              <w:rPr>
                <w:rFonts w:ascii="Times New Roman" w:cs="Times New Roman" w:eastAsia="Times New Roman" w:hAnsi="Times New Roman"/>
                <w:sz w:val="19"/>
                <w:szCs w:val="19"/>
                <w:color w:val="4C4C4E"/>
              </w:rPr>
              <w:t>Interest rate swap</w:t>
            </w:r>
          </w:p>
        </w:tc>
        <w:tc>
          <w:tcPr>
            <w:tcW w:w="13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8/14/2028</w:t>
            </w:r>
          </w:p>
        </w:tc>
        <w:tc>
          <w:tcPr>
            <w:tcW w:w="160" w:type="dxa"/>
            <w:vAlign w:val="bottom"/>
            <w:shd w:val="clear" w:color="auto" w:fill="D8EEF4"/>
          </w:tcPr>
          <w:p>
            <w:pPr>
              <w:spacing w:after="0"/>
              <w:rPr>
                <w:sz w:val="20"/>
                <w:szCs w:val="20"/>
                <w:color w:val="auto"/>
              </w:rPr>
            </w:pPr>
          </w:p>
        </w:tc>
        <w:tc>
          <w:tcPr>
            <w:tcW w:w="140" w:type="dxa"/>
            <w:vAlign w:val="bottom"/>
            <w:shd w:val="clear" w:color="auto" w:fill="D8EEF4"/>
          </w:tcPr>
          <w:p>
            <w:pPr>
              <w:spacing w:after="0"/>
              <w:rPr>
                <w:sz w:val="20"/>
                <w:szCs w:val="20"/>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300,000</w:t>
            </w:r>
          </w:p>
        </w:tc>
        <w:tc>
          <w:tcPr>
            <w:tcW w:w="26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280" w:type="dxa"/>
            <w:vAlign w:val="bottom"/>
            <w:shd w:val="clear" w:color="auto" w:fill="D8EEF4"/>
          </w:tcPr>
          <w:p>
            <w:pPr>
              <w:spacing w:after="0"/>
              <w:rPr>
                <w:sz w:val="20"/>
                <w:szCs w:val="20"/>
                <w:color w:val="auto"/>
              </w:rPr>
            </w:pPr>
          </w:p>
        </w:tc>
        <w:tc>
          <w:tcPr>
            <w:tcW w:w="1340" w:type="dxa"/>
            <w:vAlign w:val="bottom"/>
            <w:gridSpan w:val="2"/>
            <w:shd w:val="clear" w:color="auto" w:fill="D8EEF4"/>
          </w:tcPr>
          <w:p>
            <w:pPr>
              <w:jc w:val="right"/>
              <w:ind w:right="220"/>
              <w:spacing w:after="0"/>
              <w:rPr>
                <w:sz w:val="20"/>
                <w:szCs w:val="20"/>
                <w:color w:val="auto"/>
              </w:rPr>
            </w:pPr>
            <w:r>
              <w:rPr>
                <w:rFonts w:ascii="Times New Roman" w:cs="Times New Roman" w:eastAsia="Times New Roman" w:hAnsi="Times New Roman"/>
                <w:sz w:val="19"/>
                <w:szCs w:val="19"/>
                <w:color w:val="4C4C4E"/>
              </w:rPr>
              <w:t>(24,956)</w:t>
            </w: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1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9"/>
                <w:szCs w:val="19"/>
                <w:color w:val="4C4C4E"/>
              </w:rPr>
              <w:t>20,850</w:t>
            </w:r>
          </w:p>
        </w:tc>
        <w:tc>
          <w:tcPr>
            <w:tcW w:w="10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460" w:type="dxa"/>
            <w:vAlign w:val="bottom"/>
            <w:shd w:val="clear" w:color="auto" w:fill="D8EEF4"/>
          </w:tcPr>
          <w:p>
            <w:pPr>
              <w:spacing w:after="0"/>
              <w:rPr>
                <w:sz w:val="20"/>
                <w:szCs w:val="20"/>
                <w:color w:val="auto"/>
              </w:rPr>
            </w:pPr>
          </w:p>
        </w:tc>
        <w:tc>
          <w:tcPr>
            <w:tcW w:w="98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19"/>
                <w:szCs w:val="19"/>
                <w:color w:val="4C4C4E"/>
              </w:rPr>
              <w:t>(4,106)</w:t>
            </w:r>
          </w:p>
        </w:tc>
      </w:tr>
      <w:tr>
        <w:trPr>
          <w:trHeight w:val="232"/>
        </w:trPr>
        <w:tc>
          <w:tcPr>
            <w:tcW w:w="2740" w:type="dxa"/>
            <w:vAlign w:val="bottom"/>
          </w:tcPr>
          <w:p>
            <w:pPr>
              <w:spacing w:after="0"/>
              <w:rPr>
                <w:sz w:val="20"/>
                <w:szCs w:val="20"/>
                <w:color w:val="auto"/>
              </w:rPr>
            </w:pPr>
            <w:r>
              <w:rPr>
                <w:rFonts w:ascii="Times New Roman" w:cs="Times New Roman" w:eastAsia="Times New Roman" w:hAnsi="Times New Roman"/>
                <w:sz w:val="19"/>
                <w:szCs w:val="19"/>
                <w:color w:val="4C4C4E"/>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3/1/2029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350,000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4C4C4E"/>
              </w:rPr>
              <w:t>(25,540)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4C4C4E"/>
              </w:rPr>
              <w:t>20,187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4C4C4E"/>
              </w:rPr>
              <w:t>(5,353)</w:t>
            </w:r>
          </w:p>
        </w:tc>
      </w:tr>
      <w:tr>
        <w:trPr>
          <w:trHeight w:val="259"/>
        </w:trPr>
        <w:tc>
          <w:tcPr>
            <w:tcW w:w="2740" w:type="dxa"/>
            <w:vAlign w:val="bottom"/>
            <w:tcBorders>
              <w:top w:val="single" w:sz="8" w:color="D8EEF4"/>
              <w:bottom w:val="single" w:sz="8" w:color="D8EEF4"/>
            </w:tcBorders>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w:t>
            </w:r>
          </w:p>
        </w:tc>
        <w:tc>
          <w:tcPr>
            <w:tcW w:w="1360" w:type="dxa"/>
            <w:vAlign w:val="bottom"/>
            <w:tcBorders>
              <w:top w:val="single" w:sz="8" w:color="D8EEF4"/>
              <w:bottom w:val="single" w:sz="8" w:color="D8EEF4"/>
            </w:tcBorders>
            <w:shd w:val="clear" w:color="auto" w:fill="D8EEF4"/>
          </w:tcPr>
          <w:p>
            <w:pPr>
              <w:spacing w:after="0"/>
              <w:rPr>
                <w:sz w:val="22"/>
                <w:szCs w:val="22"/>
                <w:color w:val="auto"/>
              </w:rPr>
            </w:pPr>
          </w:p>
        </w:tc>
        <w:tc>
          <w:tcPr>
            <w:tcW w:w="160" w:type="dxa"/>
            <w:vAlign w:val="bottom"/>
            <w:tcBorders>
              <w:top w:val="single" w:sz="8" w:color="D8EEF4"/>
              <w:bottom w:val="single" w:sz="8" w:color="D8EEF4"/>
            </w:tcBorders>
            <w:shd w:val="clear" w:color="auto" w:fill="D8EEF4"/>
          </w:tcPr>
          <w:p>
            <w:pPr>
              <w:spacing w:after="0"/>
              <w:rPr>
                <w:sz w:val="22"/>
                <w:szCs w:val="22"/>
                <w:color w:val="auto"/>
              </w:rPr>
            </w:pPr>
          </w:p>
        </w:tc>
        <w:tc>
          <w:tcPr>
            <w:tcW w:w="1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4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950,000</w:t>
            </w:r>
          </w:p>
        </w:tc>
        <w:tc>
          <w:tcPr>
            <w:tcW w:w="26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D8EEF4"/>
              <w:bottom w:val="single" w:sz="8" w:color="4C4C4E"/>
            </w:tcBorders>
            <w:shd w:val="clear" w:color="auto" w:fill="D8EEF4"/>
          </w:tcPr>
          <w:p>
            <w:pPr>
              <w:spacing w:after="0"/>
              <w:rPr>
                <w:sz w:val="22"/>
                <w:szCs w:val="22"/>
                <w:color w:val="auto"/>
              </w:rPr>
            </w:pPr>
          </w:p>
        </w:tc>
        <w:tc>
          <w:tcPr>
            <w:tcW w:w="280" w:type="dxa"/>
            <w:vAlign w:val="bottom"/>
            <w:tcBorders>
              <w:top w:val="single" w:sz="8" w:color="4C4C4E"/>
              <w:bottom w:val="single" w:sz="8" w:color="4C4C4E"/>
            </w:tcBorders>
            <w:shd w:val="clear" w:color="auto" w:fill="D8EEF4"/>
          </w:tcPr>
          <w:p>
            <w:pPr>
              <w:jc w:val="right"/>
              <w:ind w:right="115"/>
              <w:spacing w:after="0"/>
              <w:rPr>
                <w:sz w:val="20"/>
                <w:szCs w:val="20"/>
                <w:color w:val="auto"/>
              </w:rPr>
            </w:pPr>
            <w:r>
              <w:rPr>
                <w:rFonts w:ascii="Times New Roman" w:cs="Times New Roman" w:eastAsia="Times New Roman" w:hAnsi="Times New Roman"/>
                <w:sz w:val="17"/>
                <w:szCs w:val="17"/>
                <w:color w:val="4C4C4E"/>
                <w:w w:val="70"/>
              </w:rPr>
              <w:t>$</w:t>
            </w:r>
          </w:p>
        </w:tc>
        <w:tc>
          <w:tcPr>
            <w:tcW w:w="10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(96,701)</w:t>
            </w:r>
          </w:p>
        </w:tc>
        <w:tc>
          <w:tcPr>
            <w:tcW w:w="28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D8EEF4"/>
              <w:bottom w:val="single" w:sz="8" w:color="4C4C4E"/>
            </w:tcBorders>
            <w:shd w:val="clear" w:color="auto" w:fill="D8EEF4"/>
          </w:tcPr>
          <w:p>
            <w:pPr>
              <w:spacing w:after="0"/>
              <w:rPr>
                <w:sz w:val="22"/>
                <w:szCs w:val="22"/>
                <w:color w:val="auto"/>
              </w:rPr>
            </w:pPr>
          </w:p>
        </w:tc>
        <w:tc>
          <w:tcPr>
            <w:tcW w:w="220" w:type="dxa"/>
            <w:vAlign w:val="bottom"/>
            <w:tcBorders>
              <w:top w:val="single" w:sz="8" w:color="4C4C4E"/>
              <w:bottom w:val="single" w:sz="8" w:color="4C4C4E"/>
            </w:tcBorders>
            <w:shd w:val="clear" w:color="auto" w:fill="D8EEF4"/>
          </w:tcPr>
          <w:p>
            <w:pPr>
              <w:jc w:val="right"/>
              <w:ind w:right="71"/>
              <w:spacing w:after="0"/>
              <w:rPr>
                <w:sz w:val="20"/>
                <w:szCs w:val="20"/>
                <w:color w:val="auto"/>
              </w:rPr>
            </w:pPr>
            <w:r>
              <w:rPr>
                <w:rFonts w:ascii="Times New Roman" w:cs="Times New Roman" w:eastAsia="Times New Roman" w:hAnsi="Times New Roman"/>
                <w:sz w:val="17"/>
                <w:szCs w:val="17"/>
                <w:color w:val="4C4C4E"/>
                <w:w w:val="70"/>
              </w:rPr>
              <w:t>$</w:t>
            </w:r>
          </w:p>
        </w:tc>
        <w:tc>
          <w:tcPr>
            <w:tcW w:w="11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60,234</w:t>
            </w:r>
          </w:p>
        </w:tc>
        <w:tc>
          <w:tcPr>
            <w:tcW w:w="100" w:type="dxa"/>
            <w:vAlign w:val="bottom"/>
            <w:tcBorders>
              <w:top w:val="single" w:sz="8" w:color="D8EEF4"/>
              <w:bottom w:val="single" w:sz="8" w:color="D8EEF4"/>
            </w:tcBorders>
            <w:shd w:val="clear" w:color="auto" w:fill="D8EEF4"/>
          </w:tcPr>
          <w:p>
            <w:pPr>
              <w:spacing w:after="0"/>
              <w:rPr>
                <w:sz w:val="22"/>
                <w:szCs w:val="22"/>
                <w:color w:val="auto"/>
              </w:rPr>
            </w:pPr>
          </w:p>
        </w:tc>
        <w:tc>
          <w:tcPr>
            <w:tcW w:w="620" w:type="dxa"/>
            <w:vAlign w:val="bottom"/>
            <w:tcBorders>
              <w:top w:val="single" w:sz="8" w:color="4C4C4E"/>
              <w:bottom w:val="single" w:sz="8" w:color="4C4C4E"/>
            </w:tcBorders>
            <w:gridSpan w:val="2"/>
            <w:shd w:val="clear" w:color="auto" w:fill="D8EEF4"/>
          </w:tcPr>
          <w:p>
            <w:pPr>
              <w:jc w:val="right"/>
              <w:ind w:right="263"/>
              <w:spacing w:after="0"/>
              <w:rPr>
                <w:sz w:val="20"/>
                <w:szCs w:val="20"/>
                <w:color w:val="auto"/>
              </w:rPr>
            </w:pPr>
            <w:r>
              <w:rPr>
                <w:rFonts w:ascii="Times New Roman" w:cs="Times New Roman" w:eastAsia="Times New Roman" w:hAnsi="Times New Roman"/>
                <w:sz w:val="20"/>
                <w:szCs w:val="20"/>
                <w:color w:val="4C4C4E"/>
              </w:rPr>
              <w:t>$</w:t>
            </w:r>
          </w:p>
        </w:tc>
        <w:tc>
          <w:tcPr>
            <w:tcW w:w="9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(36,467)</w:t>
            </w: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r>
      <w:tr>
        <w:trPr>
          <w:trHeight w:val="20"/>
        </w:trPr>
        <w:tc>
          <w:tcPr>
            <w:tcW w:w="2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1420" w:type="dxa"/>
            <w:vAlign w:val="bottom"/>
            <w:tcBorders>
              <w:bottom w:val="single" w:sz="8" w:color="4C4C4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80" w:type="dxa"/>
            <w:vAlign w:val="bottom"/>
            <w:tcBorders>
              <w:bottom w:val="single" w:sz="8" w:color="4C4C4E"/>
            </w:tcBorders>
          </w:tcPr>
          <w:p>
            <w:pPr>
              <w:spacing w:after="0" w:line="20" w:lineRule="exact"/>
              <w:rPr>
                <w:sz w:val="1"/>
                <w:szCs w:val="1"/>
                <w:color w:val="auto"/>
              </w:rPr>
            </w:pPr>
          </w:p>
        </w:tc>
        <w:tc>
          <w:tcPr>
            <w:tcW w:w="1060" w:type="dxa"/>
            <w:vAlign w:val="bottom"/>
            <w:tcBorders>
              <w:bottom w:val="single" w:sz="8" w:color="4C4C4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114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460" w:type="dxa"/>
            <w:vAlign w:val="bottom"/>
            <w:tcBorders>
              <w:bottom w:val="single" w:sz="8" w:color="4C4C4E"/>
            </w:tcBorders>
          </w:tcPr>
          <w:p>
            <w:pPr>
              <w:spacing w:after="0" w:line="20" w:lineRule="exact"/>
              <w:rPr>
                <w:sz w:val="1"/>
                <w:szCs w:val="1"/>
                <w:color w:val="auto"/>
              </w:rPr>
            </w:pPr>
          </w:p>
        </w:tc>
        <w:tc>
          <w:tcPr>
            <w:tcW w:w="90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3839210</wp:posOffset>
            </wp:positionH>
            <wp:positionV relativeFrom="paragraph">
              <wp:posOffset>-2517775</wp:posOffset>
            </wp:positionV>
            <wp:extent cx="2983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6">
                      <a:extLst>
                        <a:ext uri="{28A0092B-C50C-407E-A947-70E740481C1C}"/>
                      </a:extLst>
                    </a:blip>
                    <a:srcRect/>
                    <a:stretch>
                      <a:fillRect/>
                    </a:stretch>
                  </pic:blipFill>
                  <pic:spPr bwMode="auto">
                    <a:xfrm>
                      <a:off x="0" y="0"/>
                      <a:ext cx="2983865" cy="3810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-1244600</wp:posOffset>
            </wp:positionV>
            <wp:extent cx="2983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7">
                      <a:extLst>
                        <a:ext uri="{28A0092B-C50C-407E-A947-70E740481C1C}"/>
                      </a:extLst>
                    </a:blip>
                    <a:srcRect/>
                    <a:stretch>
                      <a:fillRect/>
                    </a:stretch>
                  </pic:blipFill>
                  <pic:spPr bwMode="auto">
                    <a:xfrm>
                      <a:off x="0" y="0"/>
                      <a:ext cx="2983865" cy="38100"/>
                    </a:xfrm>
                    <a:prstGeom prst="rect">
                      <a:avLst/>
                    </a:prstGeom>
                    <a:noFill/>
                  </pic:spPr>
                </pic:pic>
              </a:graphicData>
            </a:graphic>
          </wp:anchor>
        </w:drawing>
      </w:r>
    </w:p>
    <w:p>
      <w:pPr>
        <w:spacing w:after="0" w:line="237" w:lineRule="exact"/>
        <w:rPr>
          <w:sz w:val="20"/>
          <w:szCs w:val="20"/>
          <w:color w:val="auto"/>
        </w:rPr>
      </w:pPr>
    </w:p>
    <w:p>
      <w:pPr>
        <w:ind w:left="500" w:right="240" w:hanging="500"/>
        <w:spacing w:after="0" w:line="277" w:lineRule="auto"/>
        <w:tabs>
          <w:tab w:leader="none" w:pos="500" w:val="left"/>
        </w:tabs>
        <w:numPr>
          <w:ilvl w:val="0"/>
          <w:numId w:val="89"/>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As of December 31, 2024, these interest rate swaps had either matured or been terminated due to repayment of the underlying investment or security.</w:t>
      </w:r>
    </w:p>
    <w:p>
      <w:pPr>
        <w:spacing w:after="0" w:line="169" w:lineRule="exact"/>
        <w:rPr>
          <w:sz w:val="20"/>
          <w:szCs w:val="20"/>
          <w:color w:val="auto"/>
        </w:rPr>
      </w:pPr>
    </w:p>
    <w:p>
      <w:pPr>
        <w:ind w:right="60" w:firstLine="245"/>
        <w:spacing w:after="0" w:line="243" w:lineRule="auto"/>
        <w:rPr>
          <w:sz w:val="20"/>
          <w:szCs w:val="20"/>
          <w:color w:val="auto"/>
        </w:rPr>
      </w:pPr>
      <w:r>
        <w:rPr>
          <w:rFonts w:ascii="Times New Roman" w:cs="Times New Roman" w:eastAsia="Times New Roman" w:hAnsi="Times New Roman"/>
          <w:sz w:val="20"/>
          <w:szCs w:val="20"/>
          <w:color w:val="4C4C4E"/>
        </w:rPr>
        <w:t>For the years ended December 31, 2025 and December 31, 2024, the Company recognized no net change in unrealized gains or losses, on interest rate swaps not designated as hedging instruments in the Consolidated Statement of Operations related to the swap transactions. For the years ended December 31, 2025 and December 31, 2024, the Company recognized a $34.5 million net change in gains and a $7.6 million net change in gains, respectively, on interest rate swaps designated as hedging instruments in the Consolidated Statements of Operations. For the years ended December 31, 2025 and December 31, 2024, the Company recognized no net realized gain or loss on interest rate swaps. For the year ended December 31, 2024, this amount is offset by an increase of $10.4 million for a change in the carrying value of the 2024 Notes. For the years ended December 31, 2025 and December 31, 2024, this amount is offset by an increase of $11.8 million and $8.5 million, respectively, for a change in carrying value of the 2026 Notes, an increase of $5.9 million and a decrease of $6.1 million, respectively, for a change in carrying value of the 2028 Notes, and an increase of $8.6 million and a decrease of $ 5.2 million, respectively, for a change in carrying value of the 2029 Notes. For the year ended December 31, 2025 this amount is offset by an increase of $8.3 million for a change in carrying value of the 2030 Notes.</w:t>
      </w:r>
    </w:p>
    <w:p>
      <w:pPr>
        <w:spacing w:after="0" w:line="209" w:lineRule="exact"/>
        <w:rPr>
          <w:sz w:val="20"/>
          <w:szCs w:val="20"/>
          <w:color w:val="auto"/>
        </w:rPr>
      </w:pPr>
    </w:p>
    <w:p>
      <w:pPr>
        <w:ind w:right="80" w:firstLine="245"/>
        <w:spacing w:after="0" w:line="246" w:lineRule="auto"/>
        <w:rPr>
          <w:sz w:val="20"/>
          <w:szCs w:val="20"/>
          <w:color w:val="auto"/>
        </w:rPr>
      </w:pPr>
      <w:r>
        <w:rPr>
          <w:rFonts w:ascii="Times New Roman" w:cs="Times New Roman" w:eastAsia="Times New Roman" w:hAnsi="Times New Roman"/>
          <w:sz w:val="20"/>
          <w:szCs w:val="20"/>
          <w:color w:val="4C4C4E"/>
        </w:rPr>
        <w:t>As of December 31, 2025, the swap transactions had a fair value of $10.3 million, which is netted against cash collateral of $16.7 million. Cash is pledged as collateral under the Company’s derivative agreements and is included in restricted cash as a component of cash and cash equivalents on the Company’s Consolidated Balance Sheet. As of December 31, 2025, the derivatives had a fair value of $27.0 million. As of December 31, 2024, the swap transactions had a fair value of $(24.2) million, which is netted against cash collateral of $46.6 million. Cash is pledged as collateral under the Company’s derivative agreements and is included in restricted cash as a component of cash and cash equivalents on the Company’s Consolidated Balance Sheet. As of December 31, 2024, the derivatives had a fair value of $22.4 million.</w:t>
      </w:r>
    </w:p>
    <w:p>
      <w:pPr>
        <w:spacing w:after="0" w:line="20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4C4C4E"/>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97" w:lineRule="exact"/>
        <w:rPr>
          <w:sz w:val="20"/>
          <w:szCs w:val="20"/>
          <w:color w:val="auto"/>
        </w:rPr>
      </w:pPr>
    </w:p>
    <w:p>
      <w:pPr>
        <w:ind w:right="280" w:firstLine="245"/>
        <w:spacing w:after="0" w:line="277" w:lineRule="auto"/>
        <w:rPr>
          <w:sz w:val="20"/>
          <w:szCs w:val="20"/>
          <w:color w:val="auto"/>
        </w:rPr>
      </w:pPr>
      <w:r>
        <w:rPr>
          <w:rFonts w:ascii="Times New Roman" w:cs="Times New Roman" w:eastAsia="Times New Roman" w:hAnsi="Times New Roman"/>
          <w:sz w:val="20"/>
          <w:szCs w:val="20"/>
          <w:color w:val="4C4C4E"/>
        </w:rPr>
        <w:t>The Company may enter into other derivative instruments and incur other exposures with the same or other counterparties in the future.</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F-37</w:t>
      </w:r>
    </w:p>
    <w:p>
      <w:pPr>
        <w:sectPr>
          <w:pgSz w:w="11880" w:h="15480" w:orient="portrait"/>
          <w:cols w:equalWidth="0" w:num="1">
            <w:col w:w="10800"/>
          </w:cols>
          <w:pgMar w:left="540" w:top="750" w:right="540" w:bottom="6" w:gutter="0" w:footer="0" w:header="0"/>
          <w:type w:val="continuous"/>
        </w:sectPr>
      </w:pPr>
    </w:p>
    <w:bookmarkStart w:id="126" w:name="page127"/>
    <w:bookmarkEnd w:id="126"/>
    <w:p>
      <w:pPr>
        <w:ind w:right="7520"/>
        <w:spacing w:after="0" w:line="367" w:lineRule="auto"/>
        <w:tabs>
          <w:tab w:leader="none" w:pos="200" w:val="left"/>
        </w:tabs>
        <w:numPr>
          <w:ilvl w:val="0"/>
          <w:numId w:val="90"/>
        </w:numPr>
        <w:rPr>
          <w:rFonts w:ascii="Times New Roman" w:cs="Times New Roman" w:eastAsia="Times New Roman" w:hAnsi="Times New Roman"/>
          <w:sz w:val="20"/>
          <w:szCs w:val="20"/>
          <w:b w:val="1"/>
          <w:bCs w:val="1"/>
          <w:color w:val="4C4C4E"/>
        </w:rPr>
      </w:pPr>
      <w:r>
        <w:rPr>
          <w:rFonts w:ascii="Times New Roman" w:cs="Times New Roman" w:eastAsia="Times New Roman" w:hAnsi="Times New Roman"/>
          <w:sz w:val="20"/>
          <w:szCs w:val="20"/>
          <w:b w:val="1"/>
          <w:bCs w:val="1"/>
          <w:color w:val="4C4C4E"/>
        </w:rPr>
        <w:t xml:space="preserve">Fair Value of Financial Instruments </w:t>
      </w:r>
      <w:r>
        <w:rPr>
          <w:rFonts w:ascii="Times New Roman" w:cs="Times New Roman" w:eastAsia="Times New Roman" w:hAnsi="Times New Roman"/>
          <w:sz w:val="20"/>
          <w:szCs w:val="20"/>
          <w:i w:val="1"/>
          <w:iCs w:val="1"/>
          <w:color w:val="4C4C4E"/>
        </w:rPr>
        <w:t>Investments</w:t>
      </w:r>
    </w:p>
    <w:p>
      <w:pPr>
        <w:ind w:left="240"/>
        <w:spacing w:after="0"/>
        <w:rPr>
          <w:rFonts w:ascii="Times New Roman" w:cs="Times New Roman" w:eastAsia="Times New Roman" w:hAnsi="Times New Roman"/>
          <w:sz w:val="20"/>
          <w:szCs w:val="20"/>
          <w:b w:val="1"/>
          <w:bCs w:val="1"/>
          <w:color w:val="4C4C4E"/>
        </w:rPr>
      </w:pPr>
      <w:r>
        <w:rPr>
          <w:rFonts w:ascii="Times New Roman" w:cs="Times New Roman" w:eastAsia="Times New Roman" w:hAnsi="Times New Roman"/>
          <w:sz w:val="20"/>
          <w:szCs w:val="20"/>
          <w:color w:val="4C4C4E"/>
        </w:rPr>
        <w:t>The following tables present fair value measurements of investments as of December 31, 2025 and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60" w:type="dxa"/>
            <w:vAlign w:val="bottom"/>
            <w:gridSpan w:val="12"/>
          </w:tcPr>
          <w:p>
            <w:pPr>
              <w:jc w:val="right"/>
              <w:ind w:right="20"/>
              <w:spacing w:after="0"/>
              <w:rPr>
                <w:sz w:val="20"/>
                <w:szCs w:val="20"/>
                <w:color w:val="auto"/>
              </w:rPr>
            </w:pPr>
            <w:r>
              <w:rPr>
                <w:rFonts w:ascii="Times New Roman" w:cs="Times New Roman" w:eastAsia="Times New Roman" w:hAnsi="Times New Roman"/>
                <w:sz w:val="16"/>
                <w:szCs w:val="16"/>
                <w:b w:val="1"/>
                <w:bCs w:val="1"/>
                <w:color w:val="4C4C4E"/>
              </w:rPr>
              <w:t>Fair Value Hierarchy at December 31, 2025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4C4C4E"/>
              </w:rPr>
              <w:t>Level 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4C4C4E"/>
              </w:rPr>
              <w:t>Level 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4C4C4E"/>
              </w:rPr>
              <w:t>Level 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4C4C4E"/>
              </w:rPr>
              <w:t>Total</w:t>
            </w:r>
          </w:p>
        </w:tc>
      </w:tr>
      <w:tr>
        <w:trPr>
          <w:trHeight w:val="225"/>
        </w:trPr>
        <w:tc>
          <w:tcPr>
            <w:tcW w:w="536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First-lien debt investments</w:t>
            </w:r>
          </w:p>
        </w:tc>
        <w:tc>
          <w:tcPr>
            <w:tcW w:w="20" w:type="dxa"/>
            <w:vAlign w:val="bottom"/>
            <w:tcBorders>
              <w:top w:val="single" w:sz="8" w:color="D8EEF4"/>
            </w:tcBorders>
            <w:shd w:val="clear" w:color="auto" w:fill="D8EEF4"/>
          </w:tcPr>
          <w:p>
            <w:pPr>
              <w:spacing w:after="0"/>
              <w:rPr>
                <w:sz w:val="19"/>
                <w:szCs w:val="19"/>
                <w:color w:val="auto"/>
              </w:rPr>
            </w:pPr>
          </w:p>
        </w:tc>
        <w:tc>
          <w:tcPr>
            <w:tcW w:w="20" w:type="dxa"/>
            <w:vAlign w:val="bottom"/>
            <w:tcBorders>
              <w:top w:val="single" w:sz="8" w:color="D8EEF4"/>
            </w:tcBorders>
            <w:shd w:val="clear" w:color="auto" w:fill="D8EEF4"/>
          </w:tcPr>
          <w:p>
            <w:pPr>
              <w:spacing w:after="0"/>
              <w:rPr>
                <w:sz w:val="19"/>
                <w:szCs w:val="19"/>
                <w:color w:val="auto"/>
              </w:rPr>
            </w:pPr>
          </w:p>
        </w:tc>
        <w:tc>
          <w:tcPr>
            <w:tcW w:w="180" w:type="dxa"/>
            <w:vAlign w:val="bottom"/>
            <w:tcBorders>
              <w:top w:val="single" w:sz="8" w:color="4C4C4E"/>
            </w:tcBorders>
            <w:shd w:val="clear" w:color="auto" w:fill="D8EEF4"/>
          </w:tcPr>
          <w:p>
            <w:pPr>
              <w:jc w:val="right"/>
              <w:ind w:right="15"/>
              <w:spacing w:after="0"/>
              <w:rPr>
                <w:sz w:val="20"/>
                <w:szCs w:val="20"/>
                <w:color w:val="auto"/>
              </w:rPr>
            </w:pPr>
            <w:r>
              <w:rPr>
                <w:rFonts w:ascii="Times New Roman" w:cs="Times New Roman" w:eastAsia="Times New Roman" w:hAnsi="Times New Roman"/>
                <w:sz w:val="17"/>
                <w:szCs w:val="17"/>
                <w:color w:val="4C4C4E"/>
                <w:w w:val="70"/>
              </w:rPr>
              <w:t>$</w:t>
            </w:r>
          </w:p>
        </w:tc>
        <w:tc>
          <w:tcPr>
            <w:tcW w:w="920" w:type="dxa"/>
            <w:vAlign w:val="bottom"/>
            <w:tcBorders>
              <w:top w:val="single" w:sz="8" w:color="4C4C4E"/>
            </w:tcBorders>
            <w:shd w:val="clear" w:color="auto" w:fill="D8EEF4"/>
          </w:tcPr>
          <w:p>
            <w:pPr>
              <w:ind w:left="720"/>
              <w:spacing w:after="0" w:line="225" w:lineRule="exact"/>
              <w:rPr>
                <w:sz w:val="20"/>
                <w:szCs w:val="20"/>
                <w:color w:val="auto"/>
              </w:rPr>
            </w:pPr>
            <w:r>
              <w:rPr>
                <w:rFonts w:ascii="Times New Roman" w:cs="Times New Roman" w:eastAsia="Times New Roman" w:hAnsi="Times New Roman"/>
                <w:sz w:val="20"/>
                <w:szCs w:val="20"/>
                <w:color w:val="4C4C4E"/>
                <w:w w:val="89"/>
              </w:rPr>
              <w:t>—</w:t>
            </w:r>
          </w:p>
        </w:tc>
        <w:tc>
          <w:tcPr>
            <w:tcW w:w="8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D8EEF4"/>
            </w:tcBorders>
            <w:shd w:val="clear" w:color="auto" w:fill="D8EEF4"/>
          </w:tcPr>
          <w:p>
            <w:pPr>
              <w:spacing w:after="0"/>
              <w:rPr>
                <w:sz w:val="19"/>
                <w:szCs w:val="19"/>
                <w:color w:val="auto"/>
              </w:rPr>
            </w:pPr>
          </w:p>
        </w:tc>
        <w:tc>
          <w:tcPr>
            <w:tcW w:w="260" w:type="dxa"/>
            <w:vAlign w:val="bottom"/>
            <w:tcBorders>
              <w:top w:val="single" w:sz="8" w:color="4C4C4E"/>
            </w:tcBorders>
            <w:gridSpan w:val="2"/>
            <w:shd w:val="clear" w:color="auto" w:fill="D8EE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28,204</w:t>
            </w:r>
          </w:p>
        </w:tc>
        <w:tc>
          <w:tcPr>
            <w:tcW w:w="100" w:type="dxa"/>
            <w:vAlign w:val="bottom"/>
            <w:tcBorders>
              <w:top w:val="single" w:sz="8" w:color="D8EEF4"/>
            </w:tcBorders>
            <w:shd w:val="clear" w:color="auto" w:fill="D8EEF4"/>
          </w:tcPr>
          <w:p>
            <w:pPr>
              <w:spacing w:after="0"/>
              <w:rPr>
                <w:sz w:val="19"/>
                <w:szCs w:val="19"/>
                <w:color w:val="auto"/>
              </w:rPr>
            </w:pPr>
          </w:p>
        </w:tc>
        <w:tc>
          <w:tcPr>
            <w:tcW w:w="140" w:type="dxa"/>
            <w:vAlign w:val="bottom"/>
            <w:tcBorders>
              <w:top w:val="single" w:sz="8" w:color="D8EEF4"/>
            </w:tcBorders>
            <w:shd w:val="clear" w:color="auto" w:fill="D8EEF4"/>
          </w:tcPr>
          <w:p>
            <w:pPr>
              <w:spacing w:after="0"/>
              <w:rPr>
                <w:sz w:val="19"/>
                <w:szCs w:val="19"/>
                <w:color w:val="auto"/>
              </w:rPr>
            </w:pPr>
          </w:p>
        </w:tc>
        <w:tc>
          <w:tcPr>
            <w:tcW w:w="280" w:type="dxa"/>
            <w:vAlign w:val="bottom"/>
            <w:tcBorders>
              <w:top w:val="single" w:sz="8" w:color="4C4C4E"/>
            </w:tcBorders>
            <w:gridSpan w:val="2"/>
            <w:shd w:val="clear" w:color="auto" w:fill="D8EE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9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2,956,297</w:t>
            </w:r>
          </w:p>
        </w:tc>
        <w:tc>
          <w:tcPr>
            <w:tcW w:w="40" w:type="dxa"/>
            <w:vAlign w:val="bottom"/>
            <w:tcBorders>
              <w:top w:val="single" w:sz="8" w:color="D8EEF4"/>
            </w:tcBorders>
            <w:shd w:val="clear" w:color="auto" w:fill="D8EEF4"/>
          </w:tcPr>
          <w:p>
            <w:pPr>
              <w:spacing w:after="0"/>
              <w:rPr>
                <w:sz w:val="19"/>
                <w:szCs w:val="19"/>
                <w:color w:val="auto"/>
              </w:rPr>
            </w:pPr>
          </w:p>
        </w:tc>
        <w:tc>
          <w:tcPr>
            <w:tcW w:w="220" w:type="dxa"/>
            <w:vAlign w:val="bottom"/>
            <w:tcBorders>
              <w:top w:val="single" w:sz="8" w:color="D8EEF4"/>
            </w:tcBorders>
            <w:shd w:val="clear" w:color="auto" w:fill="D8EEF4"/>
          </w:tcPr>
          <w:p>
            <w:pPr>
              <w:spacing w:after="0"/>
              <w:rPr>
                <w:sz w:val="19"/>
                <w:szCs w:val="19"/>
                <w:color w:val="auto"/>
              </w:rPr>
            </w:pPr>
          </w:p>
        </w:tc>
        <w:tc>
          <w:tcPr>
            <w:tcW w:w="240" w:type="dxa"/>
            <w:vAlign w:val="bottom"/>
            <w:tcBorders>
              <w:top w:val="single" w:sz="8" w:color="4C4C4E"/>
            </w:tcBorders>
            <w:gridSpan w:val="2"/>
            <w:shd w:val="clear" w:color="auto" w:fill="D8EE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940" w:type="dxa"/>
            <w:vAlign w:val="bottom"/>
            <w:tcBorders>
              <w:top w:val="single" w:sz="8" w:color="4C4C4E"/>
            </w:tcBorders>
            <w:gridSpan w:val="2"/>
            <w:shd w:val="clear" w:color="auto" w:fill="D8EE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2,984,501</w:t>
            </w:r>
          </w:p>
        </w:tc>
        <w:tc>
          <w:tcPr>
            <w:tcW w:w="60" w:type="dxa"/>
            <w:vAlign w:val="bottom"/>
            <w:tcBorders>
              <w:top w:val="single" w:sz="8" w:color="D8EEF4"/>
            </w:tcBorders>
            <w:shd w:val="clear" w:color="auto" w:fill="D8EEF4"/>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4C4C4E"/>
              </w:rPr>
              <w:t>Second-lien debt investments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20"/>
                <w:szCs w:val="20"/>
                <w:color w:val="4C4C4E"/>
                <w:w w:val="89"/>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30,456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30,678</w:t>
            </w:r>
          </w:p>
        </w:tc>
        <w:tc>
          <w:tcPr>
            <w:tcW w:w="60" w:type="dxa"/>
            <w:vAlign w:val="bottom"/>
          </w:tcPr>
          <w:p>
            <w:pPr>
              <w:spacing w:after="0"/>
              <w:rPr>
                <w:sz w:val="20"/>
                <w:szCs w:val="20"/>
                <w:color w:val="auto"/>
              </w:rPr>
            </w:pPr>
          </w:p>
        </w:tc>
      </w:tr>
      <w:tr>
        <w:trPr>
          <w:trHeight w:val="230"/>
        </w:trPr>
        <w:tc>
          <w:tcPr>
            <w:tcW w:w="53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Mezzanine debt investments</w:t>
            </w:r>
          </w:p>
        </w:tc>
        <w:tc>
          <w:tcPr>
            <w:tcW w:w="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1160" w:type="dxa"/>
            <w:vAlign w:val="bottom"/>
            <w:gridSpan w:val="3"/>
            <w:shd w:val="clear" w:color="auto" w:fill="D8EEF4"/>
          </w:tcPr>
          <w:p>
            <w:pPr>
              <w:ind w:left="72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1100" w:type="dxa"/>
            <w:vAlign w:val="bottom"/>
            <w:gridSpan w:val="3"/>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10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9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rPr>
              <w:t>61,684</w:t>
            </w:r>
          </w:p>
        </w:tc>
        <w:tc>
          <w:tcPr>
            <w:tcW w:w="2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94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61,684</w:t>
            </w:r>
          </w:p>
        </w:tc>
        <w:tc>
          <w:tcPr>
            <w:tcW w:w="60" w:type="dxa"/>
            <w:vAlign w:val="bottom"/>
            <w:shd w:val="clear" w:color="auto" w:fill="D8EEF4"/>
          </w:tcPr>
          <w:p>
            <w:pPr>
              <w:spacing w:after="0"/>
              <w:rPr>
                <w:sz w:val="20"/>
                <w:szCs w:val="20"/>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4C4C4E"/>
              </w:rPr>
              <w:t>Equity and other investments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4C4C4E"/>
              </w:rPr>
              <w:t>28,169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11,016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133,397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172,582</w:t>
            </w:r>
          </w:p>
        </w:tc>
        <w:tc>
          <w:tcPr>
            <w:tcW w:w="60" w:type="dxa"/>
            <w:vAlign w:val="bottom"/>
          </w:tcPr>
          <w:p>
            <w:pPr>
              <w:spacing w:after="0"/>
              <w:rPr>
                <w:sz w:val="20"/>
                <w:szCs w:val="20"/>
                <w:color w:val="auto"/>
              </w:rPr>
            </w:pPr>
          </w:p>
        </w:tc>
      </w:tr>
      <w:tr>
        <w:trPr>
          <w:trHeight w:val="230"/>
        </w:trPr>
        <w:tc>
          <w:tcPr>
            <w:tcW w:w="53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Structured credit investments</w:t>
            </w:r>
          </w:p>
        </w:tc>
        <w:tc>
          <w:tcPr>
            <w:tcW w:w="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1160" w:type="dxa"/>
            <w:vAlign w:val="bottom"/>
            <w:gridSpan w:val="3"/>
            <w:shd w:val="clear" w:color="auto" w:fill="D8EEF4"/>
          </w:tcPr>
          <w:p>
            <w:pPr>
              <w:ind w:left="72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9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97,872</w:t>
            </w:r>
          </w:p>
        </w:tc>
        <w:tc>
          <w:tcPr>
            <w:tcW w:w="14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1180" w:type="dxa"/>
            <w:vAlign w:val="bottom"/>
            <w:gridSpan w:val="3"/>
            <w:shd w:val="clear" w:color="auto" w:fill="D8EEF4"/>
          </w:tcPr>
          <w:p>
            <w:pPr>
              <w:jc w:val="right"/>
              <w:ind w:right="260"/>
              <w:spacing w:after="0"/>
              <w:rPr>
                <w:sz w:val="20"/>
                <w:szCs w:val="20"/>
                <w:color w:val="auto"/>
              </w:rPr>
            </w:pPr>
            <w:r>
              <w:rPr>
                <w:rFonts w:ascii="Times New Roman" w:cs="Times New Roman" w:eastAsia="Times New Roman" w:hAnsi="Times New Roman"/>
                <w:sz w:val="20"/>
                <w:szCs w:val="20"/>
                <w:color w:val="4C4C4E"/>
              </w:rPr>
              <w:t>—</w:t>
            </w: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94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97,872</w:t>
            </w:r>
          </w:p>
        </w:tc>
        <w:tc>
          <w:tcPr>
            <w:tcW w:w="60" w:type="dxa"/>
            <w:vAlign w:val="bottom"/>
            <w:shd w:val="clear" w:color="auto" w:fill="D8EEF4"/>
          </w:tcPr>
          <w:p>
            <w:pPr>
              <w:spacing w:after="0"/>
              <w:rPr>
                <w:sz w:val="20"/>
                <w:szCs w:val="20"/>
                <w:color w:val="auto"/>
              </w:rPr>
            </w:pPr>
          </w:p>
        </w:tc>
      </w:tr>
      <w:tr>
        <w:trPr>
          <w:trHeight w:val="225"/>
        </w:trPr>
        <w:tc>
          <w:tcPr>
            <w:tcW w:w="53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4C4C4E"/>
              </w:rPr>
              <w:t>Total investments at fair value</w:t>
            </w:r>
          </w:p>
        </w:tc>
        <w:tc>
          <w:tcPr>
            <w:tcW w:w="40" w:type="dxa"/>
            <w:vAlign w:val="bottom"/>
            <w:gridSpan w:val="2"/>
          </w:tcPr>
          <w:p>
            <w:pPr>
              <w:spacing w:after="0"/>
              <w:rPr>
                <w:sz w:val="19"/>
                <w:szCs w:val="19"/>
                <w:color w:val="auto"/>
              </w:rPr>
            </w:pPr>
          </w:p>
        </w:tc>
        <w:tc>
          <w:tcPr>
            <w:tcW w:w="180" w:type="dxa"/>
            <w:vAlign w:val="bottom"/>
            <w:tcBorders>
              <w:top w:val="single" w:sz="8" w:color="4C4C4E"/>
            </w:tcBorders>
          </w:tcPr>
          <w:p>
            <w:pPr>
              <w:jc w:val="right"/>
              <w:ind w:right="15"/>
              <w:spacing w:after="0"/>
              <w:rPr>
                <w:sz w:val="20"/>
                <w:szCs w:val="20"/>
                <w:color w:val="auto"/>
              </w:rPr>
            </w:pPr>
            <w:r>
              <w:rPr>
                <w:rFonts w:ascii="Times New Roman" w:cs="Times New Roman" w:eastAsia="Times New Roman" w:hAnsi="Times New Roman"/>
                <w:sz w:val="17"/>
                <w:szCs w:val="17"/>
                <w:color w:val="4C4C4E"/>
                <w:w w:val="70"/>
              </w:rPr>
              <w:t>$</w:t>
            </w:r>
          </w:p>
        </w:tc>
        <w:tc>
          <w:tcPr>
            <w:tcW w:w="920" w:type="dxa"/>
            <w:vAlign w:val="bottom"/>
            <w:tcBorders>
              <w:top w:val="single" w:sz="8" w:color="4C4C4E"/>
            </w:tcBorders>
          </w:tcPr>
          <w:p>
            <w:pPr>
              <w:ind w:left="380"/>
              <w:spacing w:after="0" w:line="225" w:lineRule="exact"/>
              <w:rPr>
                <w:sz w:val="20"/>
                <w:szCs w:val="20"/>
                <w:color w:val="auto"/>
              </w:rPr>
            </w:pPr>
            <w:r>
              <w:rPr>
                <w:rFonts w:ascii="Times New Roman" w:cs="Times New Roman" w:eastAsia="Times New Roman" w:hAnsi="Times New Roman"/>
                <w:sz w:val="20"/>
                <w:szCs w:val="20"/>
                <w:color w:val="4C4C4E"/>
                <w:w w:val="94"/>
              </w:rPr>
              <w:t>28,169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4C4C4E"/>
            </w:tcBorders>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top w:val="single" w:sz="8" w:color="4C4C4E"/>
            </w:tcBorders>
          </w:tcPr>
          <w:p>
            <w:pPr>
              <w:jc w:val="right"/>
              <w:spacing w:after="0" w:line="225" w:lineRule="exact"/>
              <w:rPr>
                <w:sz w:val="20"/>
                <w:szCs w:val="20"/>
                <w:color w:val="auto"/>
              </w:rPr>
            </w:pPr>
            <w:r>
              <w:rPr>
                <w:rFonts w:ascii="Times New Roman" w:cs="Times New Roman" w:eastAsia="Times New Roman" w:hAnsi="Times New Roman"/>
                <w:sz w:val="20"/>
                <w:szCs w:val="20"/>
                <w:color w:val="4C4C4E"/>
              </w:rPr>
              <w:t>137,314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4C4C4E"/>
            </w:tcBorders>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tcBorders>
              <w:top w:val="single" w:sz="8" w:color="4C4C4E"/>
            </w:tcBorders>
          </w:tcPr>
          <w:p>
            <w:pPr>
              <w:jc w:val="right"/>
              <w:spacing w:after="0" w:line="225" w:lineRule="exact"/>
              <w:rPr>
                <w:sz w:val="20"/>
                <w:szCs w:val="20"/>
                <w:color w:val="auto"/>
              </w:rPr>
            </w:pPr>
            <w:r>
              <w:rPr>
                <w:rFonts w:ascii="Times New Roman" w:cs="Times New Roman" w:eastAsia="Times New Roman" w:hAnsi="Times New Roman"/>
                <w:sz w:val="20"/>
                <w:szCs w:val="20"/>
                <w:color w:val="4C4C4E"/>
              </w:rPr>
              <w:t>3,181,834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4C4C4E"/>
            </w:tcBorders>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40" w:type="dxa"/>
            <w:vAlign w:val="bottom"/>
            <w:tcBorders>
              <w:top w:val="single" w:sz="8" w:color="4C4C4E"/>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rPr>
              <w:t>3,347,317</w:t>
            </w:r>
          </w:p>
        </w:tc>
        <w:tc>
          <w:tcPr>
            <w:tcW w:w="60" w:type="dxa"/>
            <w:vAlign w:val="bottom"/>
          </w:tcPr>
          <w:p>
            <w:pPr>
              <w:spacing w:after="0"/>
              <w:rPr>
                <w:sz w:val="19"/>
                <w:szCs w:val="19"/>
                <w:color w:val="auto"/>
              </w:rPr>
            </w:pPr>
          </w:p>
        </w:tc>
      </w:tr>
      <w:tr>
        <w:trPr>
          <w:trHeight w:val="230"/>
        </w:trPr>
        <w:tc>
          <w:tcPr>
            <w:tcW w:w="53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Interest rate swaps</w:t>
            </w:r>
          </w:p>
        </w:tc>
        <w:tc>
          <w:tcPr>
            <w:tcW w:w="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1160" w:type="dxa"/>
            <w:vAlign w:val="bottom"/>
            <w:gridSpan w:val="3"/>
            <w:shd w:val="clear" w:color="auto" w:fill="D8EEF4"/>
          </w:tcPr>
          <w:p>
            <w:pPr>
              <w:ind w:left="72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9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10,301</w:t>
            </w:r>
          </w:p>
        </w:tc>
        <w:tc>
          <w:tcPr>
            <w:tcW w:w="140" w:type="dxa"/>
            <w:vAlign w:val="bottom"/>
            <w:shd w:val="clear" w:color="auto" w:fill="D8EEF4"/>
          </w:tcPr>
          <w:p>
            <w:pPr>
              <w:spacing w:after="0"/>
              <w:rPr>
                <w:sz w:val="20"/>
                <w:szCs w:val="20"/>
                <w:color w:val="auto"/>
              </w:rPr>
            </w:pPr>
          </w:p>
        </w:tc>
        <w:tc>
          <w:tcPr>
            <w:tcW w:w="10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1180" w:type="dxa"/>
            <w:vAlign w:val="bottom"/>
            <w:gridSpan w:val="3"/>
            <w:shd w:val="clear" w:color="auto" w:fill="D8EEF4"/>
          </w:tcPr>
          <w:p>
            <w:pPr>
              <w:jc w:val="right"/>
              <w:ind w:right="260"/>
              <w:spacing w:after="0"/>
              <w:rPr>
                <w:sz w:val="20"/>
                <w:szCs w:val="20"/>
                <w:color w:val="auto"/>
              </w:rPr>
            </w:pPr>
            <w:r>
              <w:rPr>
                <w:rFonts w:ascii="Times New Roman" w:cs="Times New Roman" w:eastAsia="Times New Roman" w:hAnsi="Times New Roman"/>
                <w:sz w:val="20"/>
                <w:szCs w:val="20"/>
                <w:color w:val="4C4C4E"/>
              </w:rPr>
              <w:t>—</w:t>
            </w: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94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10,301</w:t>
            </w:r>
          </w:p>
        </w:tc>
        <w:tc>
          <w:tcPr>
            <w:tcW w:w="60" w:type="dxa"/>
            <w:vAlign w:val="bottom"/>
            <w:shd w:val="clear" w:color="auto" w:fill="D8EEF4"/>
          </w:tcPr>
          <w:p>
            <w:pPr>
              <w:spacing w:after="0"/>
              <w:rPr>
                <w:sz w:val="20"/>
                <w:szCs w:val="20"/>
                <w:color w:val="auto"/>
              </w:rPr>
            </w:pPr>
          </w:p>
        </w:tc>
      </w:tr>
      <w:tr>
        <w:trPr>
          <w:trHeight w:val="225"/>
        </w:trPr>
        <w:tc>
          <w:tcPr>
            <w:tcW w:w="53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4C4C4E"/>
              </w:rPr>
              <w:t>Total</w:t>
            </w:r>
          </w:p>
        </w:tc>
        <w:tc>
          <w:tcPr>
            <w:tcW w:w="40" w:type="dxa"/>
            <w:vAlign w:val="bottom"/>
            <w:gridSpan w:val="2"/>
          </w:tcPr>
          <w:p>
            <w:pPr>
              <w:spacing w:after="0"/>
              <w:rPr>
                <w:sz w:val="19"/>
                <w:szCs w:val="19"/>
                <w:color w:val="auto"/>
              </w:rPr>
            </w:pPr>
          </w:p>
        </w:tc>
        <w:tc>
          <w:tcPr>
            <w:tcW w:w="180" w:type="dxa"/>
            <w:vAlign w:val="bottom"/>
            <w:tcBorders>
              <w:top w:val="single" w:sz="8" w:color="4C4C4E"/>
              <w:bottom w:val="single" w:sz="8" w:color="4C4C4E"/>
            </w:tcBorders>
          </w:tcPr>
          <w:p>
            <w:pPr>
              <w:jc w:val="right"/>
              <w:ind w:right="15"/>
              <w:spacing w:after="0"/>
              <w:rPr>
                <w:sz w:val="20"/>
                <w:szCs w:val="20"/>
                <w:color w:val="auto"/>
              </w:rPr>
            </w:pPr>
            <w:r>
              <w:rPr>
                <w:rFonts w:ascii="Times New Roman" w:cs="Times New Roman" w:eastAsia="Times New Roman" w:hAnsi="Times New Roman"/>
                <w:sz w:val="17"/>
                <w:szCs w:val="17"/>
                <w:color w:val="4C4C4E"/>
                <w:w w:val="70"/>
              </w:rPr>
              <w:t>$</w:t>
            </w:r>
          </w:p>
        </w:tc>
        <w:tc>
          <w:tcPr>
            <w:tcW w:w="920" w:type="dxa"/>
            <w:vAlign w:val="bottom"/>
            <w:tcBorders>
              <w:top w:val="single" w:sz="8" w:color="4C4C4E"/>
              <w:bottom w:val="single" w:sz="8" w:color="4C4C4E"/>
            </w:tcBorders>
          </w:tcPr>
          <w:p>
            <w:pPr>
              <w:ind w:left="380"/>
              <w:spacing w:after="0" w:line="225" w:lineRule="exact"/>
              <w:rPr>
                <w:sz w:val="20"/>
                <w:szCs w:val="20"/>
                <w:color w:val="auto"/>
              </w:rPr>
            </w:pPr>
            <w:r>
              <w:rPr>
                <w:rFonts w:ascii="Times New Roman" w:cs="Times New Roman" w:eastAsia="Times New Roman" w:hAnsi="Times New Roman"/>
                <w:sz w:val="20"/>
                <w:szCs w:val="20"/>
                <w:color w:val="4C4C4E"/>
                <w:w w:val="94"/>
              </w:rPr>
              <w:t>28,169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4C4C4E"/>
              <w:bottom w:val="single" w:sz="8" w:color="4C4C4E"/>
            </w:tcBorders>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top w:val="single" w:sz="8" w:color="4C4C4E"/>
              <w:bottom w:val="single" w:sz="8" w:color="4C4C4E"/>
            </w:tcBorders>
          </w:tcPr>
          <w:p>
            <w:pPr>
              <w:jc w:val="right"/>
              <w:spacing w:after="0" w:line="225" w:lineRule="exact"/>
              <w:rPr>
                <w:sz w:val="20"/>
                <w:szCs w:val="20"/>
                <w:color w:val="auto"/>
              </w:rPr>
            </w:pPr>
            <w:r>
              <w:rPr>
                <w:rFonts w:ascii="Times New Roman" w:cs="Times New Roman" w:eastAsia="Times New Roman" w:hAnsi="Times New Roman"/>
                <w:sz w:val="20"/>
                <w:szCs w:val="20"/>
                <w:color w:val="4C4C4E"/>
              </w:rPr>
              <w:t>147,615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4C4C4E"/>
              <w:bottom w:val="single" w:sz="8" w:color="4C4C4E"/>
            </w:tcBorders>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tcBorders>
              <w:top w:val="single" w:sz="8" w:color="4C4C4E"/>
              <w:bottom w:val="single" w:sz="8" w:color="4C4C4E"/>
            </w:tcBorders>
          </w:tcPr>
          <w:p>
            <w:pPr>
              <w:jc w:val="right"/>
              <w:spacing w:after="0" w:line="225" w:lineRule="exact"/>
              <w:rPr>
                <w:sz w:val="20"/>
                <w:szCs w:val="20"/>
                <w:color w:val="auto"/>
              </w:rPr>
            </w:pPr>
            <w:r>
              <w:rPr>
                <w:rFonts w:ascii="Times New Roman" w:cs="Times New Roman" w:eastAsia="Times New Roman" w:hAnsi="Times New Roman"/>
                <w:sz w:val="20"/>
                <w:szCs w:val="20"/>
                <w:color w:val="4C4C4E"/>
              </w:rPr>
              <w:t>3,181,834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4C4C4E"/>
              <w:bottom w:val="single" w:sz="8" w:color="4C4C4E"/>
            </w:tcBorders>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40" w:type="dxa"/>
            <w:vAlign w:val="bottom"/>
            <w:tcBorders>
              <w:top w:val="single" w:sz="8" w:color="4C4C4E"/>
              <w:bottom w:val="single" w:sz="8" w:color="4C4C4E"/>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rPr>
              <w:t>3,357,618</w:t>
            </w:r>
          </w:p>
        </w:tc>
        <w:tc>
          <w:tcPr>
            <w:tcW w:w="6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92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86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920" w:type="dxa"/>
            <w:vAlign w:val="bottom"/>
            <w:tcBorders>
              <w:bottom w:val="single" w:sz="8" w:color="4C4C4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92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5"/>
        </w:trPr>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gridSpan w:val="12"/>
          </w:tcPr>
          <w:p>
            <w:pPr>
              <w:jc w:val="right"/>
              <w:ind w:right="40"/>
              <w:spacing w:after="0"/>
              <w:rPr>
                <w:sz w:val="20"/>
                <w:szCs w:val="20"/>
                <w:color w:val="auto"/>
              </w:rPr>
            </w:pPr>
            <w:r>
              <w:rPr>
                <w:rFonts w:ascii="Times New Roman" w:cs="Times New Roman" w:eastAsia="Times New Roman" w:hAnsi="Times New Roman"/>
                <w:sz w:val="16"/>
                <w:szCs w:val="16"/>
                <w:b w:val="1"/>
                <w:bCs w:val="1"/>
                <w:color w:val="4C4C4E"/>
              </w:rPr>
              <w:t>Fair Value Hierarchy at December 31, 2024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4C4C4E"/>
              </w:rPr>
              <w:t>Level 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4C4C4E"/>
              </w:rPr>
              <w:t>Level 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4C4C4E"/>
              </w:rPr>
              <w:t>Level 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4C4C4E"/>
              </w:rPr>
              <w:t>Total</w:t>
            </w:r>
          </w:p>
        </w:tc>
      </w:tr>
      <w:tr>
        <w:trPr>
          <w:trHeight w:val="225"/>
        </w:trPr>
        <w:tc>
          <w:tcPr>
            <w:tcW w:w="536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First-lien debt investments</w:t>
            </w:r>
          </w:p>
        </w:tc>
        <w:tc>
          <w:tcPr>
            <w:tcW w:w="20" w:type="dxa"/>
            <w:vAlign w:val="bottom"/>
          </w:tcPr>
          <w:p>
            <w:pPr>
              <w:spacing w:after="0"/>
              <w:rPr>
                <w:sz w:val="19"/>
                <w:szCs w:val="19"/>
                <w:color w:val="auto"/>
              </w:rPr>
            </w:pPr>
          </w:p>
        </w:tc>
        <w:tc>
          <w:tcPr>
            <w:tcW w:w="200" w:type="dxa"/>
            <w:vAlign w:val="bottom"/>
            <w:tcBorders>
              <w:top w:val="single" w:sz="8" w:color="4C4C4E"/>
            </w:tcBorders>
            <w:gridSpan w:val="2"/>
            <w:shd w:val="clear" w:color="auto" w:fill="D8EEF4"/>
          </w:tcPr>
          <w:p>
            <w:pPr>
              <w:jc w:val="right"/>
              <w:ind w:right="35"/>
              <w:spacing w:after="0"/>
              <w:rPr>
                <w:sz w:val="20"/>
                <w:szCs w:val="20"/>
                <w:color w:val="auto"/>
              </w:rPr>
            </w:pPr>
            <w:r>
              <w:rPr>
                <w:rFonts w:ascii="Times New Roman" w:cs="Times New Roman" w:eastAsia="Times New Roman" w:hAnsi="Times New Roman"/>
                <w:sz w:val="17"/>
                <w:szCs w:val="17"/>
                <w:color w:val="4C4C4E"/>
                <w:w w:val="70"/>
              </w:rPr>
              <w:t>$</w:t>
            </w:r>
          </w:p>
        </w:tc>
        <w:tc>
          <w:tcPr>
            <w:tcW w:w="1000" w:type="dxa"/>
            <w:vAlign w:val="bottom"/>
            <w:tcBorders>
              <w:top w:val="single" w:sz="8" w:color="4C4C4E"/>
            </w:tcBorders>
            <w:gridSpan w:val="2"/>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w:t>
            </w:r>
          </w:p>
        </w:tc>
        <w:tc>
          <w:tcPr>
            <w:tcW w:w="160" w:type="dxa"/>
            <w:vAlign w:val="bottom"/>
            <w:tcBorders>
              <w:top w:val="single" w:sz="8" w:color="D8EEF4"/>
            </w:tcBorders>
            <w:shd w:val="clear" w:color="auto" w:fill="D8EEF4"/>
          </w:tcPr>
          <w:p>
            <w:pPr>
              <w:spacing w:after="0"/>
              <w:rPr>
                <w:sz w:val="19"/>
                <w:szCs w:val="19"/>
                <w:color w:val="auto"/>
              </w:rPr>
            </w:pPr>
          </w:p>
        </w:tc>
        <w:tc>
          <w:tcPr>
            <w:tcW w:w="80" w:type="dxa"/>
            <w:vAlign w:val="bottom"/>
            <w:tcBorders>
              <w:top w:val="single" w:sz="8" w:color="D8EEF4"/>
            </w:tcBorders>
            <w:shd w:val="clear" w:color="auto" w:fill="D8EEF4"/>
          </w:tcPr>
          <w:p>
            <w:pPr>
              <w:spacing w:after="0"/>
              <w:rPr>
                <w:sz w:val="19"/>
                <w:szCs w:val="19"/>
                <w:color w:val="auto"/>
              </w:rPr>
            </w:pPr>
          </w:p>
        </w:tc>
        <w:tc>
          <w:tcPr>
            <w:tcW w:w="1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60" w:type="dxa"/>
            <w:vAlign w:val="bottom"/>
            <w:tcBorders>
              <w:top w:val="single" w:sz="8" w:color="4C4C4E"/>
            </w:tcBorders>
            <w:gridSpan w:val="2"/>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14,675</w:t>
            </w:r>
          </w:p>
        </w:tc>
        <w:tc>
          <w:tcPr>
            <w:tcW w:w="140" w:type="dxa"/>
            <w:vAlign w:val="bottom"/>
            <w:tcBorders>
              <w:top w:val="single" w:sz="8" w:color="D8EEF4"/>
            </w:tcBorders>
            <w:shd w:val="clear" w:color="auto" w:fill="D8EEF4"/>
          </w:tcPr>
          <w:p>
            <w:pPr>
              <w:spacing w:after="0"/>
              <w:rPr>
                <w:sz w:val="19"/>
                <w:szCs w:val="19"/>
                <w:color w:val="auto"/>
              </w:rPr>
            </w:pPr>
          </w:p>
        </w:tc>
        <w:tc>
          <w:tcPr>
            <w:tcW w:w="100" w:type="dxa"/>
            <w:vAlign w:val="bottom"/>
            <w:tcBorders>
              <w:top w:val="single" w:sz="8" w:color="D8EEF4"/>
            </w:tcBorders>
            <w:shd w:val="clear" w:color="auto" w:fill="D8EEF4"/>
          </w:tcPr>
          <w:p>
            <w:pPr>
              <w:spacing w:after="0"/>
              <w:rPr>
                <w:sz w:val="19"/>
                <w:szCs w:val="19"/>
                <w:color w:val="auto"/>
              </w:rPr>
            </w:pPr>
          </w:p>
        </w:tc>
        <w:tc>
          <w:tcPr>
            <w:tcW w:w="1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960" w:type="dxa"/>
            <w:vAlign w:val="bottom"/>
            <w:tcBorders>
              <w:top w:val="single" w:sz="8" w:color="4C4C4E"/>
            </w:tcBorders>
            <w:gridSpan w:val="2"/>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3,287,829</w:t>
            </w:r>
          </w:p>
        </w:tc>
        <w:tc>
          <w:tcPr>
            <w:tcW w:w="220" w:type="dxa"/>
            <w:vAlign w:val="bottom"/>
            <w:tcBorders>
              <w:top w:val="single" w:sz="8" w:color="D8EEF4"/>
            </w:tcBorders>
            <w:shd w:val="clear" w:color="auto" w:fill="D8EEF4"/>
          </w:tcPr>
          <w:p>
            <w:pPr>
              <w:spacing w:after="0"/>
              <w:rPr>
                <w:sz w:val="19"/>
                <w:szCs w:val="19"/>
                <w:color w:val="auto"/>
              </w:rPr>
            </w:pPr>
          </w:p>
        </w:tc>
        <w:tc>
          <w:tcPr>
            <w:tcW w:w="20" w:type="dxa"/>
            <w:vAlign w:val="bottom"/>
            <w:tcBorders>
              <w:top w:val="single" w:sz="8" w:color="D8EEF4"/>
            </w:tcBorders>
            <w:shd w:val="clear" w:color="auto" w:fill="D8EEF4"/>
          </w:tcPr>
          <w:p>
            <w:pPr>
              <w:spacing w:after="0"/>
              <w:rPr>
                <w:sz w:val="19"/>
                <w:szCs w:val="19"/>
                <w:color w:val="auto"/>
              </w:rPr>
            </w:pPr>
          </w:p>
        </w:tc>
        <w:tc>
          <w:tcPr>
            <w:tcW w:w="220" w:type="dxa"/>
            <w:vAlign w:val="bottom"/>
            <w:tcBorders>
              <w:top w:val="single" w:sz="8" w:color="4C4C4E"/>
            </w:tcBorders>
            <w:shd w:val="clear" w:color="auto" w:fill="D8EE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9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3,302,504</w:t>
            </w:r>
          </w:p>
        </w:tc>
        <w:tc>
          <w:tcPr>
            <w:tcW w:w="20" w:type="dxa"/>
            <w:vAlign w:val="bottom"/>
            <w:tcBorders>
              <w:top w:val="single" w:sz="8" w:color="D8EEF4"/>
            </w:tcBorders>
            <w:shd w:val="clear" w:color="auto" w:fill="D8EEF4"/>
          </w:tcPr>
          <w:p>
            <w:pPr>
              <w:spacing w:after="0"/>
              <w:rPr>
                <w:sz w:val="19"/>
                <w:szCs w:val="19"/>
                <w:color w:val="auto"/>
              </w:rPr>
            </w:pPr>
          </w:p>
        </w:tc>
        <w:tc>
          <w:tcPr>
            <w:tcW w:w="60" w:type="dxa"/>
            <w:vAlign w:val="bottom"/>
            <w:tcBorders>
              <w:top w:val="single" w:sz="8" w:color="D8EEF4"/>
            </w:tcBorders>
            <w:shd w:val="clear" w:color="auto" w:fill="D8EEF4"/>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4C4C4E"/>
              </w:rPr>
              <w:t>Second-lien debt investments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1,309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18,535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19,844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3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Mezzanine debt investments</w:t>
            </w:r>
          </w:p>
        </w:tc>
        <w:tc>
          <w:tcPr>
            <w:tcW w:w="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1160" w:type="dxa"/>
            <w:vAlign w:val="bottom"/>
            <w:gridSpan w:val="3"/>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1100" w:type="dxa"/>
            <w:vAlign w:val="bottom"/>
            <w:gridSpan w:val="3"/>
            <w:shd w:val="clear" w:color="auto" w:fill="D8EEF4"/>
          </w:tcPr>
          <w:p>
            <w:pPr>
              <w:jc w:val="right"/>
              <w:ind w:right="140"/>
              <w:spacing w:after="0"/>
              <w:rPr>
                <w:sz w:val="20"/>
                <w:szCs w:val="20"/>
                <w:color w:val="auto"/>
              </w:rPr>
            </w:pPr>
            <w:r>
              <w:rPr>
                <w:rFonts w:ascii="Times New Roman" w:cs="Times New Roman" w:eastAsia="Times New Roman" w:hAnsi="Times New Roman"/>
                <w:sz w:val="20"/>
                <w:szCs w:val="20"/>
                <w:color w:val="4C4C4E"/>
              </w:rPr>
              <w:t>—</w:t>
            </w:r>
          </w:p>
        </w:tc>
        <w:tc>
          <w:tcPr>
            <w:tcW w:w="100" w:type="dxa"/>
            <w:vAlign w:val="bottom"/>
            <w:shd w:val="clear" w:color="auto" w:fill="D8EEF4"/>
          </w:tcPr>
          <w:p>
            <w:pPr>
              <w:spacing w:after="0"/>
              <w:rPr>
                <w:sz w:val="20"/>
                <w:szCs w:val="20"/>
                <w:color w:val="auto"/>
              </w:rPr>
            </w:pPr>
          </w:p>
        </w:tc>
        <w:tc>
          <w:tcPr>
            <w:tcW w:w="180" w:type="dxa"/>
            <w:vAlign w:val="bottom"/>
            <w:shd w:val="clear" w:color="auto" w:fill="D8EEF4"/>
          </w:tcPr>
          <w:p>
            <w:pPr>
              <w:spacing w:after="0"/>
              <w:rPr>
                <w:sz w:val="20"/>
                <w:szCs w:val="20"/>
                <w:color w:val="auto"/>
              </w:rPr>
            </w:pPr>
          </w:p>
        </w:tc>
        <w:tc>
          <w:tcPr>
            <w:tcW w:w="96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39,091</w:t>
            </w:r>
          </w:p>
        </w:tc>
        <w:tc>
          <w:tcPr>
            <w:tcW w:w="2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220" w:type="dxa"/>
            <w:vAlign w:val="bottom"/>
            <w:shd w:val="clear" w:color="auto" w:fill="D8EEF4"/>
          </w:tcPr>
          <w:p>
            <w:pPr>
              <w:spacing w:after="0"/>
              <w:rPr>
                <w:sz w:val="20"/>
                <w:szCs w:val="20"/>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39,091</w:t>
            </w:r>
          </w:p>
        </w:tc>
        <w:tc>
          <w:tcPr>
            <w:tcW w:w="20" w:type="dxa"/>
            <w:vAlign w:val="bottom"/>
            <w:shd w:val="clear" w:color="auto" w:fill="D8EEF4"/>
          </w:tcPr>
          <w:p>
            <w:pPr>
              <w:spacing w:after="0"/>
              <w:rPr>
                <w:sz w:val="20"/>
                <w:szCs w:val="20"/>
                <w:color w:val="auto"/>
              </w:rPr>
            </w:pPr>
          </w:p>
        </w:tc>
        <w:tc>
          <w:tcPr>
            <w:tcW w:w="60" w:type="dxa"/>
            <w:vAlign w:val="bottom"/>
            <w:shd w:val="clear" w:color="auto" w:fill="D8EEF4"/>
          </w:tcPr>
          <w:p>
            <w:pPr>
              <w:spacing w:after="0"/>
              <w:rPr>
                <w:sz w:val="20"/>
                <w:szCs w:val="20"/>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4C4C4E"/>
              </w:rPr>
              <w:t>Equity and other investments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3,952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11,963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139,586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155,501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3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Structured credit investments</w:t>
            </w:r>
          </w:p>
        </w:tc>
        <w:tc>
          <w:tcPr>
            <w:tcW w:w="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60" w:type="dxa"/>
            <w:vAlign w:val="bottom"/>
            <w:gridSpan w:val="3"/>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96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1,472</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80" w:type="dxa"/>
            <w:vAlign w:val="bottom"/>
            <w:gridSpan w:val="3"/>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w:t>
            </w:r>
          </w:p>
        </w:tc>
        <w:tc>
          <w:tcPr>
            <w:tcW w:w="2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1,472</w:t>
            </w:r>
          </w:p>
        </w:tc>
        <w:tc>
          <w:tcPr>
            <w:tcW w:w="20" w:type="dxa"/>
            <w:vAlign w:val="bottom"/>
            <w:shd w:val="clear" w:color="auto" w:fill="D8EEF4"/>
          </w:tcPr>
          <w:p>
            <w:pPr>
              <w:spacing w:after="0"/>
              <w:rPr>
                <w:sz w:val="21"/>
                <w:szCs w:val="21"/>
                <w:color w:val="auto"/>
              </w:rPr>
            </w:pPr>
          </w:p>
        </w:tc>
        <w:tc>
          <w:tcPr>
            <w:tcW w:w="60" w:type="dxa"/>
            <w:vAlign w:val="bottom"/>
            <w:shd w:val="clear" w:color="auto" w:fill="D8EEF4"/>
          </w:tcPr>
          <w:p>
            <w:pPr>
              <w:spacing w:after="0"/>
              <w:rPr>
                <w:sz w:val="21"/>
                <w:szCs w:val="21"/>
                <w:color w:val="auto"/>
              </w:rPr>
            </w:pPr>
          </w:p>
        </w:tc>
      </w:tr>
      <w:tr>
        <w:trPr>
          <w:trHeight w:val="205"/>
        </w:trPr>
        <w:tc>
          <w:tcPr>
            <w:tcW w:w="5360" w:type="dxa"/>
            <w:vAlign w:val="bottom"/>
            <w:tcBorders>
              <w:top w:val="single" w:sz="8" w:color="D8EEF4"/>
            </w:tcBorders>
          </w:tcPr>
          <w:p>
            <w:pPr>
              <w:ind w:left="200"/>
              <w:spacing w:after="0" w:line="205" w:lineRule="exact"/>
              <w:rPr>
                <w:sz w:val="20"/>
                <w:szCs w:val="20"/>
                <w:color w:val="auto"/>
              </w:rPr>
            </w:pPr>
            <w:r>
              <w:rPr>
                <w:rFonts w:ascii="Times New Roman" w:cs="Times New Roman" w:eastAsia="Times New Roman" w:hAnsi="Times New Roman"/>
                <w:sz w:val="20"/>
                <w:szCs w:val="20"/>
                <w:color w:val="4C4C4E"/>
              </w:rPr>
              <w:t>Total investments at fair value</w:t>
            </w:r>
          </w:p>
        </w:tc>
        <w:tc>
          <w:tcPr>
            <w:tcW w:w="20" w:type="dxa"/>
            <w:vAlign w:val="bottom"/>
            <w:tcBorders>
              <w:top w:val="single" w:sz="8" w:color="D8EEF4"/>
            </w:tcBorders>
          </w:tcPr>
          <w:p>
            <w:pPr>
              <w:spacing w:after="0"/>
              <w:rPr>
                <w:sz w:val="17"/>
                <w:szCs w:val="17"/>
                <w:color w:val="auto"/>
              </w:rPr>
            </w:pPr>
          </w:p>
        </w:tc>
        <w:tc>
          <w:tcPr>
            <w:tcW w:w="200" w:type="dxa"/>
            <w:vAlign w:val="bottom"/>
            <w:tcBorders>
              <w:top w:val="single" w:sz="8" w:color="4C4C4E"/>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4C4C4E"/>
                <w:w w:val="70"/>
              </w:rPr>
              <w:t>$</w:t>
            </w:r>
          </w:p>
        </w:tc>
        <w:tc>
          <w:tcPr>
            <w:tcW w:w="1000" w:type="dxa"/>
            <w:vAlign w:val="bottom"/>
            <w:tcBorders>
              <w:top w:val="single" w:sz="8" w:color="4C4C4E"/>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4C4C4E"/>
              </w:rPr>
              <w:t>3,952</w:t>
            </w:r>
          </w:p>
        </w:tc>
        <w:tc>
          <w:tcPr>
            <w:tcW w:w="160" w:type="dxa"/>
            <w:vAlign w:val="bottom"/>
            <w:tcBorders>
              <w:top w:val="single" w:sz="8" w:color="D8EEF4"/>
            </w:tcBorders>
          </w:tcPr>
          <w:p>
            <w:pPr>
              <w:spacing w:after="0"/>
              <w:rPr>
                <w:sz w:val="17"/>
                <w:szCs w:val="17"/>
                <w:color w:val="auto"/>
              </w:rPr>
            </w:pPr>
          </w:p>
        </w:tc>
        <w:tc>
          <w:tcPr>
            <w:tcW w:w="80" w:type="dxa"/>
            <w:vAlign w:val="bottom"/>
            <w:tcBorders>
              <w:top w:val="single" w:sz="8" w:color="D8EEF4"/>
            </w:tcBorders>
          </w:tcPr>
          <w:p>
            <w:pPr>
              <w:spacing w:after="0"/>
              <w:rPr>
                <w:sz w:val="17"/>
                <w:szCs w:val="17"/>
                <w:color w:val="auto"/>
              </w:rPr>
            </w:pPr>
          </w:p>
        </w:tc>
        <w:tc>
          <w:tcPr>
            <w:tcW w:w="180" w:type="dxa"/>
            <w:vAlign w:val="bottom"/>
            <w:tcBorders>
              <w:top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960" w:type="dxa"/>
            <w:vAlign w:val="bottom"/>
            <w:tcBorders>
              <w:top w:val="single" w:sz="8" w:color="4C4C4E"/>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4C4C4E"/>
              </w:rPr>
              <w:t>29,419</w:t>
            </w:r>
          </w:p>
        </w:tc>
        <w:tc>
          <w:tcPr>
            <w:tcW w:w="140" w:type="dxa"/>
            <w:vAlign w:val="bottom"/>
            <w:tcBorders>
              <w:top w:val="single" w:sz="8" w:color="D8EEF4"/>
            </w:tcBorders>
          </w:tcPr>
          <w:p>
            <w:pPr>
              <w:spacing w:after="0"/>
              <w:rPr>
                <w:sz w:val="17"/>
                <w:szCs w:val="17"/>
                <w:color w:val="auto"/>
              </w:rPr>
            </w:pPr>
          </w:p>
        </w:tc>
        <w:tc>
          <w:tcPr>
            <w:tcW w:w="100" w:type="dxa"/>
            <w:vAlign w:val="bottom"/>
            <w:tcBorders>
              <w:top w:val="single" w:sz="8" w:color="D8EEF4"/>
            </w:tcBorders>
          </w:tcPr>
          <w:p>
            <w:pPr>
              <w:spacing w:after="0"/>
              <w:rPr>
                <w:sz w:val="17"/>
                <w:szCs w:val="17"/>
                <w:color w:val="auto"/>
              </w:rPr>
            </w:pPr>
          </w:p>
        </w:tc>
        <w:tc>
          <w:tcPr>
            <w:tcW w:w="180" w:type="dxa"/>
            <w:vAlign w:val="bottom"/>
            <w:tcBorders>
              <w:top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960" w:type="dxa"/>
            <w:vAlign w:val="bottom"/>
            <w:tcBorders>
              <w:top w:val="single" w:sz="8" w:color="4C4C4E"/>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4C4C4E"/>
              </w:rPr>
              <w:t>3,485,041</w:t>
            </w:r>
          </w:p>
        </w:tc>
        <w:tc>
          <w:tcPr>
            <w:tcW w:w="22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220" w:type="dxa"/>
            <w:vAlign w:val="bottom"/>
            <w:tcBorders>
              <w:top w:val="single" w:sz="8" w:color="4C4C4E"/>
            </w:tcBorders>
          </w:tcPr>
          <w:p>
            <w:pPr>
              <w:jc w:val="right"/>
              <w:ind w:right="20"/>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tcBorders>
              <w:top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rPr>
              <w:t>3,518,412</w:t>
            </w:r>
          </w:p>
        </w:tc>
        <w:tc>
          <w:tcPr>
            <w:tcW w:w="20" w:type="dxa"/>
            <w:vAlign w:val="bottom"/>
            <w:tcBorders>
              <w:top w:val="single" w:sz="8" w:color="D8EEF4"/>
            </w:tcBorders>
          </w:tcPr>
          <w:p>
            <w:pPr>
              <w:spacing w:after="0"/>
              <w:rPr>
                <w:sz w:val="17"/>
                <w:szCs w:val="17"/>
                <w:color w:val="auto"/>
              </w:rPr>
            </w:pPr>
          </w:p>
        </w:tc>
        <w:tc>
          <w:tcPr>
            <w:tcW w:w="60" w:type="dxa"/>
            <w:vAlign w:val="bottom"/>
            <w:tcBorders>
              <w:top w:val="single" w:sz="8" w:color="D8EEF4"/>
            </w:tcBorders>
          </w:tcPr>
          <w:p>
            <w:pPr>
              <w:spacing w:after="0"/>
              <w:rPr>
                <w:sz w:val="17"/>
                <w:szCs w:val="17"/>
                <w:color w:val="auto"/>
              </w:rPr>
            </w:pPr>
          </w:p>
        </w:tc>
      </w:tr>
      <w:tr>
        <w:trPr>
          <w:trHeight w:val="250"/>
        </w:trPr>
        <w:tc>
          <w:tcPr>
            <w:tcW w:w="53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Interest rate swaps</w:t>
            </w:r>
          </w:p>
        </w:tc>
        <w:tc>
          <w:tcPr>
            <w:tcW w:w="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60" w:type="dxa"/>
            <w:vAlign w:val="bottom"/>
            <w:gridSpan w:val="3"/>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00" w:type="dxa"/>
            <w:vAlign w:val="bottom"/>
            <w:gridSpan w:val="3"/>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(24,238)</w:t>
            </w:r>
          </w:p>
        </w:tc>
        <w:tc>
          <w:tcPr>
            <w:tcW w:w="10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80" w:type="dxa"/>
            <w:vAlign w:val="bottom"/>
            <w:gridSpan w:val="3"/>
            <w:shd w:val="clear" w:color="auto" w:fill="D8EEF4"/>
          </w:tcPr>
          <w:p>
            <w:pPr>
              <w:jc w:val="right"/>
              <w:ind w:right="220"/>
              <w:spacing w:after="0"/>
              <w:rPr>
                <w:sz w:val="20"/>
                <w:szCs w:val="20"/>
                <w:color w:val="auto"/>
              </w:rPr>
            </w:pPr>
            <w:r>
              <w:rPr>
                <w:rFonts w:ascii="Times New Roman" w:cs="Times New Roman" w:eastAsia="Times New Roman" w:hAnsi="Times New Roman"/>
                <w:sz w:val="20"/>
                <w:szCs w:val="20"/>
                <w:color w:val="4C4C4E"/>
              </w:rPr>
              <w:t>—</w:t>
            </w:r>
          </w:p>
        </w:tc>
        <w:tc>
          <w:tcPr>
            <w:tcW w:w="2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1000" w:type="dxa"/>
            <w:vAlign w:val="bottom"/>
            <w:gridSpan w:val="3"/>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(24,238)</w:t>
            </w:r>
          </w:p>
        </w:tc>
      </w:tr>
      <w:tr>
        <w:trPr>
          <w:trHeight w:val="205"/>
        </w:trPr>
        <w:tc>
          <w:tcPr>
            <w:tcW w:w="5360" w:type="dxa"/>
            <w:vAlign w:val="bottom"/>
            <w:tcBorders>
              <w:top w:val="single" w:sz="8" w:color="D8EEF4"/>
            </w:tcBorders>
          </w:tcPr>
          <w:p>
            <w:pPr>
              <w:ind w:left="200"/>
              <w:spacing w:after="0" w:line="205" w:lineRule="exact"/>
              <w:rPr>
                <w:sz w:val="20"/>
                <w:szCs w:val="20"/>
                <w:color w:val="auto"/>
              </w:rPr>
            </w:pPr>
            <w:r>
              <w:rPr>
                <w:rFonts w:ascii="Times New Roman" w:cs="Times New Roman" w:eastAsia="Times New Roman" w:hAnsi="Times New Roman"/>
                <w:sz w:val="20"/>
                <w:szCs w:val="20"/>
                <w:b w:val="1"/>
                <w:bCs w:val="1"/>
                <w:color w:val="4C4C4E"/>
              </w:rPr>
              <w:t>Total</w:t>
            </w:r>
          </w:p>
        </w:tc>
        <w:tc>
          <w:tcPr>
            <w:tcW w:w="20" w:type="dxa"/>
            <w:vAlign w:val="bottom"/>
            <w:tcBorders>
              <w:top w:val="single" w:sz="8" w:color="D8EEF4"/>
            </w:tcBorders>
          </w:tcPr>
          <w:p>
            <w:pPr>
              <w:spacing w:after="0"/>
              <w:rPr>
                <w:sz w:val="17"/>
                <w:szCs w:val="17"/>
                <w:color w:val="auto"/>
              </w:rPr>
            </w:pPr>
          </w:p>
        </w:tc>
        <w:tc>
          <w:tcPr>
            <w:tcW w:w="200" w:type="dxa"/>
            <w:vAlign w:val="bottom"/>
            <w:tcBorders>
              <w:top w:val="single" w:sz="8" w:color="4C4C4E"/>
              <w:bottom w:val="single" w:sz="8" w:color="4C4C4E"/>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4C4C4E"/>
                <w:w w:val="70"/>
              </w:rPr>
              <w:t>$</w:t>
            </w:r>
          </w:p>
        </w:tc>
        <w:tc>
          <w:tcPr>
            <w:tcW w:w="1000" w:type="dxa"/>
            <w:vAlign w:val="bottom"/>
            <w:tcBorders>
              <w:top w:val="single" w:sz="8" w:color="4C4C4E"/>
              <w:bottom w:val="single" w:sz="8" w:color="4C4C4E"/>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4C4C4E"/>
              </w:rPr>
              <w:t>3,952</w:t>
            </w:r>
          </w:p>
        </w:tc>
        <w:tc>
          <w:tcPr>
            <w:tcW w:w="160" w:type="dxa"/>
            <w:vAlign w:val="bottom"/>
            <w:tcBorders>
              <w:top w:val="single" w:sz="8" w:color="D8EEF4"/>
            </w:tcBorders>
          </w:tcPr>
          <w:p>
            <w:pPr>
              <w:spacing w:after="0"/>
              <w:rPr>
                <w:sz w:val="17"/>
                <w:szCs w:val="17"/>
                <w:color w:val="auto"/>
              </w:rPr>
            </w:pPr>
          </w:p>
        </w:tc>
        <w:tc>
          <w:tcPr>
            <w:tcW w:w="80" w:type="dxa"/>
            <w:vAlign w:val="bottom"/>
            <w:tcBorders>
              <w:top w:val="single" w:sz="8" w:color="D8EEF4"/>
            </w:tcBorders>
          </w:tcPr>
          <w:p>
            <w:pPr>
              <w:spacing w:after="0"/>
              <w:rPr>
                <w:sz w:val="17"/>
                <w:szCs w:val="17"/>
                <w:color w:val="auto"/>
              </w:rPr>
            </w:pPr>
          </w:p>
        </w:tc>
        <w:tc>
          <w:tcPr>
            <w:tcW w:w="180" w:type="dxa"/>
            <w:vAlign w:val="bottom"/>
            <w:tcBorders>
              <w:top w:val="single" w:sz="8" w:color="4C4C4E"/>
              <w:bottom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960" w:type="dxa"/>
            <w:vAlign w:val="bottom"/>
            <w:tcBorders>
              <w:top w:val="single" w:sz="8" w:color="4C4C4E"/>
              <w:bottom w:val="single" w:sz="8" w:color="4C4C4E"/>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4C4C4E"/>
              </w:rPr>
              <w:t>5,181</w:t>
            </w:r>
          </w:p>
        </w:tc>
        <w:tc>
          <w:tcPr>
            <w:tcW w:w="140" w:type="dxa"/>
            <w:vAlign w:val="bottom"/>
            <w:tcBorders>
              <w:top w:val="single" w:sz="8" w:color="D8EEF4"/>
            </w:tcBorders>
          </w:tcPr>
          <w:p>
            <w:pPr>
              <w:spacing w:after="0"/>
              <w:rPr>
                <w:sz w:val="17"/>
                <w:szCs w:val="17"/>
                <w:color w:val="auto"/>
              </w:rPr>
            </w:pPr>
          </w:p>
        </w:tc>
        <w:tc>
          <w:tcPr>
            <w:tcW w:w="100" w:type="dxa"/>
            <w:vAlign w:val="bottom"/>
            <w:tcBorders>
              <w:top w:val="single" w:sz="8" w:color="D8EEF4"/>
            </w:tcBorders>
          </w:tcPr>
          <w:p>
            <w:pPr>
              <w:spacing w:after="0"/>
              <w:rPr>
                <w:sz w:val="17"/>
                <w:szCs w:val="17"/>
                <w:color w:val="auto"/>
              </w:rPr>
            </w:pPr>
          </w:p>
        </w:tc>
        <w:tc>
          <w:tcPr>
            <w:tcW w:w="180" w:type="dxa"/>
            <w:vAlign w:val="bottom"/>
            <w:tcBorders>
              <w:top w:val="single" w:sz="8" w:color="4C4C4E"/>
              <w:bottom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960" w:type="dxa"/>
            <w:vAlign w:val="bottom"/>
            <w:tcBorders>
              <w:top w:val="single" w:sz="8" w:color="4C4C4E"/>
              <w:bottom w:val="single" w:sz="8" w:color="4C4C4E"/>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4C4C4E"/>
              </w:rPr>
              <w:t>3,485,041</w:t>
            </w:r>
          </w:p>
        </w:tc>
        <w:tc>
          <w:tcPr>
            <w:tcW w:w="22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220" w:type="dxa"/>
            <w:vAlign w:val="bottom"/>
            <w:tcBorders>
              <w:top w:val="single" w:sz="8" w:color="4C4C4E"/>
              <w:bottom w:val="single" w:sz="8" w:color="4C4C4E"/>
            </w:tcBorders>
          </w:tcPr>
          <w:p>
            <w:pPr>
              <w:jc w:val="right"/>
              <w:ind w:right="20"/>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tcBorders>
              <w:top w:val="single" w:sz="8" w:color="4C4C4E"/>
              <w:bottom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rPr>
              <w:t>3,494,174</w:t>
            </w:r>
          </w:p>
        </w:tc>
        <w:tc>
          <w:tcPr>
            <w:tcW w:w="20" w:type="dxa"/>
            <w:vAlign w:val="bottom"/>
            <w:tcBorders>
              <w:top w:val="single" w:sz="8" w:color="D8EEF4"/>
            </w:tcBorders>
          </w:tcPr>
          <w:p>
            <w:pPr>
              <w:spacing w:after="0"/>
              <w:rPr>
                <w:sz w:val="17"/>
                <w:szCs w:val="17"/>
                <w:color w:val="auto"/>
              </w:rPr>
            </w:pPr>
          </w:p>
        </w:tc>
        <w:tc>
          <w:tcPr>
            <w:tcW w:w="60" w:type="dxa"/>
            <w:vAlign w:val="bottom"/>
            <w:tcBorders>
              <w:top w:val="single" w:sz="8" w:color="D8EEF4"/>
            </w:tcBorders>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920" w:type="dxa"/>
            <w:vAlign w:val="bottom"/>
            <w:tcBorders>
              <w:bottom w:val="single" w:sz="8" w:color="4C4C4E"/>
            </w:tcBorders>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86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920" w:type="dxa"/>
            <w:vAlign w:val="bottom"/>
            <w:tcBorders>
              <w:bottom w:val="single" w:sz="8" w:color="4C4C4E"/>
            </w:tcBorders>
          </w:tcPr>
          <w:p>
            <w:pPr>
              <w:spacing w:after="0" w:line="20" w:lineRule="exact"/>
              <w:rPr>
                <w:sz w:val="1"/>
                <w:szCs w:val="1"/>
                <w:color w:val="auto"/>
              </w:rPr>
            </w:pPr>
          </w:p>
        </w:tc>
        <w:tc>
          <w:tcPr>
            <w:tcW w:w="4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92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-2980055</wp:posOffset>
            </wp:positionV>
            <wp:extent cx="343408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8">
                      <a:extLst>
                        <a:ext uri="{28A0092B-C50C-407E-A947-70E740481C1C}"/>
                      </a:extLst>
                    </a:blip>
                    <a:srcRect/>
                    <a:stretch>
                      <a:fillRect/>
                    </a:stretch>
                  </pic:blipFill>
                  <pic:spPr bwMode="auto">
                    <a:xfrm>
                      <a:off x="0" y="0"/>
                      <a:ext cx="3434080" cy="381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-1365250</wp:posOffset>
            </wp:positionV>
            <wp:extent cx="344043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9">
                      <a:extLst>
                        <a:ext uri="{28A0092B-C50C-407E-A947-70E740481C1C}"/>
                      </a:extLst>
                    </a:blip>
                    <a:srcRect/>
                    <a:stretch>
                      <a:fillRect/>
                    </a:stretch>
                  </pic:blipFill>
                  <pic:spPr bwMode="auto">
                    <a:xfrm>
                      <a:off x="0" y="0"/>
                      <a:ext cx="3440430" cy="38100"/>
                    </a:xfrm>
                    <a:prstGeom prst="rect">
                      <a:avLst/>
                    </a:prstGeom>
                    <a:noFill/>
                  </pic:spPr>
                </pic:pic>
              </a:graphicData>
            </a:graphic>
          </wp:anchor>
        </w:drawing>
      </w: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Transfers between levels, if any, are recognized at the beginning of the quarter in which the transfers occur.</w:t>
      </w:r>
    </w:p>
    <w:p>
      <w:pPr>
        <w:spacing w:after="0" w:line="240" w:lineRule="exact"/>
        <w:rPr>
          <w:sz w:val="20"/>
          <w:szCs w:val="20"/>
          <w:color w:val="auto"/>
        </w:rPr>
      </w:pPr>
    </w:p>
    <w:p>
      <w:pPr>
        <w:ind w:right="200" w:firstLine="245"/>
        <w:spacing w:after="0" w:line="277" w:lineRule="auto"/>
        <w:rPr>
          <w:sz w:val="20"/>
          <w:szCs w:val="20"/>
          <w:color w:val="auto"/>
        </w:rPr>
      </w:pPr>
      <w:r>
        <w:rPr>
          <w:rFonts w:ascii="Times New Roman" w:cs="Times New Roman" w:eastAsia="Times New Roman" w:hAnsi="Times New Roman"/>
          <w:sz w:val="20"/>
          <w:szCs w:val="20"/>
          <w:color w:val="4C4C4E"/>
        </w:rPr>
        <w:t>The following tables present the changes in the fair value of investments for which Level 3 inputs were used to determine the fair value as of and for the year ended December 31, 2025 and December 31, 2024:</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gridSpan w:val="10"/>
          </w:tcPr>
          <w:p>
            <w:pPr>
              <w:jc w:val="right"/>
              <w:ind w:right="860"/>
              <w:spacing w:after="0"/>
              <w:rPr>
                <w:sz w:val="20"/>
                <w:szCs w:val="20"/>
                <w:color w:val="auto"/>
              </w:rPr>
            </w:pPr>
            <w:r>
              <w:rPr>
                <w:rFonts w:ascii="Times New Roman" w:cs="Times New Roman" w:eastAsia="Times New Roman" w:hAnsi="Times New Roman"/>
                <w:sz w:val="16"/>
                <w:szCs w:val="16"/>
                <w:b w:val="1"/>
                <w:bCs w:val="1"/>
                <w:color w:val="4C4C4E"/>
              </w:rPr>
              <w:t>As of and for the 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4C4C4E"/>
              </w:rPr>
              <w:t>First-lien</w:t>
            </w:r>
          </w:p>
        </w:tc>
        <w:tc>
          <w:tcPr>
            <w:tcW w:w="80" w:type="dxa"/>
            <w:vAlign w:val="bottom"/>
          </w:tcPr>
          <w:p>
            <w:pPr>
              <w:spacing w:after="0"/>
              <w:rPr>
                <w:sz w:val="16"/>
                <w:szCs w:val="16"/>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4C4C4E"/>
              </w:rPr>
              <w:t>Second-lien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4C4C4E"/>
              </w:rPr>
              <w:t>Mezzanine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4C4C4E"/>
              </w:rPr>
              <w:t>Equity</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4C4C4E"/>
                <w:w w:val="99"/>
              </w:rPr>
              <w:t>debt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4C4C4E"/>
                <w:w w:val="99"/>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C4C4E"/>
                <w:w w:val="99"/>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4C4C4E"/>
                <w:w w:val="96"/>
              </w:rPr>
              <w:t>and other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4C4C4E"/>
                <w:w w:val="98"/>
              </w:rPr>
              <w:t>investments</w:t>
            </w:r>
          </w:p>
        </w:tc>
        <w:tc>
          <w:tcPr>
            <w:tcW w:w="8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4C4C4E"/>
                <w:w w:val="98"/>
              </w:rPr>
              <w:t>investments</w:t>
            </w:r>
          </w:p>
        </w:tc>
        <w:tc>
          <w:tcPr>
            <w:tcW w:w="8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4C4C4E"/>
                <w:w w:val="98"/>
              </w:rPr>
              <w:t>investments</w:t>
            </w:r>
          </w:p>
        </w:tc>
        <w:tc>
          <w:tcPr>
            <w:tcW w:w="8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4C4C4E"/>
              </w:rPr>
              <w:t>investments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4C4C4E"/>
              </w:rPr>
              <w:t>Total</w:t>
            </w:r>
          </w:p>
        </w:tc>
      </w:tr>
      <w:tr>
        <w:trPr>
          <w:trHeight w:val="239"/>
        </w:trPr>
        <w:tc>
          <w:tcPr>
            <w:tcW w:w="460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Balance, beginning of period</w:t>
            </w:r>
          </w:p>
        </w:tc>
        <w:tc>
          <w:tcPr>
            <w:tcW w:w="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10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3,287,829</w:t>
            </w:r>
          </w:p>
        </w:tc>
        <w:tc>
          <w:tcPr>
            <w:tcW w:w="160" w:type="dxa"/>
            <w:vAlign w:val="bottom"/>
            <w:tcBorders>
              <w:top w:val="single" w:sz="8" w:color="D8EEF4"/>
            </w:tcBorders>
            <w:shd w:val="clear" w:color="auto" w:fill="D8EEF4"/>
          </w:tcPr>
          <w:p>
            <w:pPr>
              <w:spacing w:after="0"/>
              <w:rPr>
                <w:sz w:val="20"/>
                <w:szCs w:val="20"/>
                <w:color w:val="auto"/>
              </w:rPr>
            </w:pPr>
          </w:p>
        </w:tc>
        <w:tc>
          <w:tcPr>
            <w:tcW w:w="80" w:type="dxa"/>
            <w:vAlign w:val="bottom"/>
            <w:tcBorders>
              <w:top w:val="single" w:sz="8" w:color="D8EEF4"/>
            </w:tcBorders>
            <w:shd w:val="clear" w:color="auto" w:fill="D8EEF4"/>
          </w:tcPr>
          <w:p>
            <w:pPr>
              <w:spacing w:after="0"/>
              <w:rPr>
                <w:sz w:val="20"/>
                <w:szCs w:val="20"/>
                <w:color w:val="auto"/>
              </w:rPr>
            </w:pPr>
          </w:p>
        </w:tc>
        <w:tc>
          <w:tcPr>
            <w:tcW w:w="220" w:type="dxa"/>
            <w:vAlign w:val="bottom"/>
            <w:tcBorders>
              <w:top w:val="single" w:sz="8" w:color="4C4C4E"/>
            </w:tcBorders>
            <w:shd w:val="clear" w:color="auto" w:fill="D8EEF4"/>
          </w:tcPr>
          <w:p>
            <w:pPr>
              <w:jc w:val="right"/>
              <w:ind w:right="30"/>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18,535</w:t>
            </w:r>
          </w:p>
        </w:tc>
        <w:tc>
          <w:tcPr>
            <w:tcW w:w="160" w:type="dxa"/>
            <w:vAlign w:val="bottom"/>
            <w:tcBorders>
              <w:top w:val="single" w:sz="8" w:color="D8EEF4"/>
            </w:tcBorders>
            <w:shd w:val="clear" w:color="auto" w:fill="D8EEF4"/>
          </w:tcPr>
          <w:p>
            <w:pPr>
              <w:spacing w:after="0"/>
              <w:rPr>
                <w:sz w:val="20"/>
                <w:szCs w:val="20"/>
                <w:color w:val="auto"/>
              </w:rPr>
            </w:pPr>
          </w:p>
        </w:tc>
        <w:tc>
          <w:tcPr>
            <w:tcW w:w="80" w:type="dxa"/>
            <w:vAlign w:val="bottom"/>
            <w:tcBorders>
              <w:top w:val="single" w:sz="8" w:color="D8EEF4"/>
            </w:tcBorders>
            <w:shd w:val="clear" w:color="auto" w:fill="D8EEF4"/>
          </w:tcPr>
          <w:p>
            <w:pPr>
              <w:spacing w:after="0"/>
              <w:rPr>
                <w:sz w:val="20"/>
                <w:szCs w:val="20"/>
                <w:color w:val="auto"/>
              </w:rPr>
            </w:pPr>
          </w:p>
        </w:tc>
        <w:tc>
          <w:tcPr>
            <w:tcW w:w="1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8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39,091</w:t>
            </w:r>
          </w:p>
        </w:tc>
        <w:tc>
          <w:tcPr>
            <w:tcW w:w="160" w:type="dxa"/>
            <w:vAlign w:val="bottom"/>
            <w:tcBorders>
              <w:top w:val="single" w:sz="8" w:color="D8EEF4"/>
            </w:tcBorders>
            <w:shd w:val="clear" w:color="auto" w:fill="D8EEF4"/>
          </w:tcPr>
          <w:p>
            <w:pPr>
              <w:spacing w:after="0"/>
              <w:rPr>
                <w:sz w:val="20"/>
                <w:szCs w:val="20"/>
                <w:color w:val="auto"/>
              </w:rPr>
            </w:pPr>
          </w:p>
        </w:tc>
        <w:tc>
          <w:tcPr>
            <w:tcW w:w="80" w:type="dxa"/>
            <w:vAlign w:val="bottom"/>
            <w:tcBorders>
              <w:top w:val="single" w:sz="8" w:color="D8EEF4"/>
            </w:tcBorders>
            <w:shd w:val="clear" w:color="auto" w:fill="D8EEF4"/>
          </w:tcPr>
          <w:p>
            <w:pPr>
              <w:spacing w:after="0"/>
              <w:rPr>
                <w:sz w:val="20"/>
                <w:szCs w:val="20"/>
                <w:color w:val="auto"/>
              </w:rPr>
            </w:pPr>
          </w:p>
        </w:tc>
        <w:tc>
          <w:tcPr>
            <w:tcW w:w="10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139,586</w:t>
            </w:r>
          </w:p>
        </w:tc>
        <w:tc>
          <w:tcPr>
            <w:tcW w:w="140" w:type="dxa"/>
            <w:vAlign w:val="bottom"/>
            <w:tcBorders>
              <w:top w:val="single" w:sz="8" w:color="D8EEF4"/>
            </w:tcBorders>
            <w:shd w:val="clear" w:color="auto" w:fill="D8EEF4"/>
          </w:tcPr>
          <w:p>
            <w:pPr>
              <w:spacing w:after="0"/>
              <w:rPr>
                <w:sz w:val="20"/>
                <w:szCs w:val="20"/>
                <w:color w:val="auto"/>
              </w:rPr>
            </w:pPr>
          </w:p>
        </w:tc>
        <w:tc>
          <w:tcPr>
            <w:tcW w:w="60" w:type="dxa"/>
            <w:vAlign w:val="bottom"/>
            <w:tcBorders>
              <w:top w:val="single" w:sz="8" w:color="D8EEF4"/>
            </w:tcBorders>
            <w:shd w:val="clear" w:color="auto" w:fill="D8EEF4"/>
          </w:tcPr>
          <w:p>
            <w:pPr>
              <w:spacing w:after="0"/>
              <w:rPr>
                <w:sz w:val="20"/>
                <w:szCs w:val="20"/>
                <w:color w:val="auto"/>
              </w:rPr>
            </w:pPr>
          </w:p>
        </w:tc>
        <w:tc>
          <w:tcPr>
            <w:tcW w:w="1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9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3,485,041</w:t>
            </w:r>
          </w:p>
        </w:tc>
        <w:tc>
          <w:tcPr>
            <w:tcW w:w="80" w:type="dxa"/>
            <w:vAlign w:val="bottom"/>
            <w:tcBorders>
              <w:top w:val="single" w:sz="8" w:color="D8EEF4"/>
            </w:tcBorders>
            <w:shd w:val="clear" w:color="auto" w:fill="D8EEF4"/>
          </w:tcPr>
          <w:p>
            <w:pPr>
              <w:spacing w:after="0"/>
              <w:rPr>
                <w:sz w:val="20"/>
                <w:szCs w:val="20"/>
                <w:color w:val="auto"/>
              </w:rPr>
            </w:pPr>
          </w:p>
        </w:tc>
      </w:tr>
      <w:tr>
        <w:trPr>
          <w:trHeight w:val="244"/>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4C4C4E"/>
              </w:rPr>
              <w:t>Purchases or originations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942,810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15,358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18,740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11,451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988,359</w:t>
            </w:r>
          </w:p>
        </w:tc>
        <w:tc>
          <w:tcPr>
            <w:tcW w:w="80" w:type="dxa"/>
            <w:vAlign w:val="bottom"/>
          </w:tcPr>
          <w:p>
            <w:pPr>
              <w:spacing w:after="0"/>
              <w:rPr>
                <w:sz w:val="21"/>
                <w:szCs w:val="21"/>
                <w:color w:val="auto"/>
              </w:rPr>
            </w:pPr>
          </w:p>
        </w:tc>
      </w:tr>
      <w:tr>
        <w:trPr>
          <w:trHeight w:val="244"/>
        </w:trPr>
        <w:tc>
          <w:tcPr>
            <w:tcW w:w="46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Repayments / redemptions</w:t>
            </w:r>
          </w:p>
        </w:tc>
        <w:tc>
          <w:tcPr>
            <w:tcW w:w="140" w:type="dxa"/>
            <w:vAlign w:val="bottom"/>
            <w:shd w:val="clear" w:color="auto" w:fill="D8EEF4"/>
          </w:tcPr>
          <w:p>
            <w:pPr>
              <w:spacing w:after="0"/>
              <w:rPr>
                <w:sz w:val="21"/>
                <w:szCs w:val="21"/>
                <w:color w:val="auto"/>
              </w:rPr>
            </w:pPr>
          </w:p>
        </w:tc>
        <w:tc>
          <w:tcPr>
            <w:tcW w:w="124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(1,221,990)</w:t>
            </w:r>
          </w:p>
        </w:tc>
        <w:tc>
          <w:tcPr>
            <w:tcW w:w="8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92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(3,574)</w:t>
            </w: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04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92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04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(1,225,564)</w:t>
            </w:r>
          </w:p>
        </w:tc>
      </w:tr>
      <w:tr>
        <w:trPr>
          <w:trHeight w:val="244"/>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4C4C4E"/>
              </w:rPr>
              <w:t>Sales Proceeds</w:t>
            </w:r>
          </w:p>
        </w:tc>
        <w:tc>
          <w:tcPr>
            <w:tcW w:w="1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(75,529)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(9,786)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(85,315)</w:t>
            </w:r>
          </w:p>
        </w:tc>
      </w:tr>
      <w:tr>
        <w:trPr>
          <w:trHeight w:val="244"/>
        </w:trPr>
        <w:tc>
          <w:tcPr>
            <w:tcW w:w="46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Paid-in-kind interest</w:t>
            </w:r>
          </w:p>
        </w:tc>
        <w:tc>
          <w:tcPr>
            <w:tcW w:w="140" w:type="dxa"/>
            <w:vAlign w:val="bottom"/>
            <w:shd w:val="clear" w:color="auto" w:fill="D8EEF4"/>
          </w:tcPr>
          <w:p>
            <w:pPr>
              <w:spacing w:after="0"/>
              <w:rPr>
                <w:sz w:val="21"/>
                <w:szCs w:val="21"/>
                <w:color w:val="auto"/>
              </w:rPr>
            </w:pP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15,432</w:t>
            </w:r>
          </w:p>
        </w:tc>
        <w:tc>
          <w:tcPr>
            <w:tcW w:w="16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7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4,022</w:t>
            </w:r>
          </w:p>
        </w:tc>
        <w:tc>
          <w:tcPr>
            <w:tcW w:w="16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5,204</w:t>
            </w:r>
          </w:p>
        </w:tc>
        <w:tc>
          <w:tcPr>
            <w:tcW w:w="160" w:type="dxa"/>
            <w:vAlign w:val="bottom"/>
            <w:shd w:val="clear" w:color="auto" w:fill="D8EEF4"/>
          </w:tcPr>
          <w:p>
            <w:pPr>
              <w:spacing w:after="0"/>
              <w:rPr>
                <w:sz w:val="21"/>
                <w:szCs w:val="21"/>
                <w:color w:val="auto"/>
              </w:rPr>
            </w:pP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228</w:t>
            </w:r>
          </w:p>
        </w:tc>
        <w:tc>
          <w:tcPr>
            <w:tcW w:w="140" w:type="dxa"/>
            <w:vAlign w:val="bottom"/>
            <w:shd w:val="clear" w:color="auto" w:fill="D8EEF4"/>
          </w:tcPr>
          <w:p>
            <w:pPr>
              <w:spacing w:after="0"/>
              <w:rPr>
                <w:sz w:val="21"/>
                <w:szCs w:val="21"/>
                <w:color w:val="auto"/>
              </w:rPr>
            </w:pPr>
          </w:p>
        </w:tc>
        <w:tc>
          <w:tcPr>
            <w:tcW w:w="6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24,886</w:t>
            </w:r>
          </w:p>
        </w:tc>
        <w:tc>
          <w:tcPr>
            <w:tcW w:w="80" w:type="dxa"/>
            <w:vAlign w:val="bottom"/>
            <w:shd w:val="clear" w:color="auto" w:fill="D8EEF4"/>
          </w:tcPr>
          <w:p>
            <w:pPr>
              <w:spacing w:after="0"/>
              <w:rPr>
                <w:sz w:val="21"/>
                <w:szCs w:val="21"/>
                <w:color w:val="auto"/>
              </w:rPr>
            </w:pPr>
          </w:p>
        </w:tc>
      </w:tr>
      <w:tr>
        <w:trPr>
          <w:trHeight w:val="244"/>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4C4C4E"/>
              </w:rPr>
              <w:t>Net change in unrealized gains (losses)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46,929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(4,512)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(1,470)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1,265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42,212</w:t>
            </w:r>
          </w:p>
        </w:tc>
        <w:tc>
          <w:tcPr>
            <w:tcW w:w="80" w:type="dxa"/>
            <w:vAlign w:val="bottom"/>
          </w:tcPr>
          <w:p>
            <w:pPr>
              <w:spacing w:after="0"/>
              <w:rPr>
                <w:sz w:val="21"/>
                <w:szCs w:val="21"/>
                <w:color w:val="auto"/>
              </w:rPr>
            </w:pPr>
          </w:p>
        </w:tc>
      </w:tr>
      <w:tr>
        <w:trPr>
          <w:trHeight w:val="244"/>
        </w:trPr>
        <w:tc>
          <w:tcPr>
            <w:tcW w:w="46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Net realized gains (losses)</w:t>
            </w:r>
          </w:p>
        </w:tc>
        <w:tc>
          <w:tcPr>
            <w:tcW w:w="140" w:type="dxa"/>
            <w:vAlign w:val="bottom"/>
            <w:shd w:val="clear" w:color="auto" w:fill="D8EEF4"/>
          </w:tcPr>
          <w:p>
            <w:pPr>
              <w:spacing w:after="0"/>
              <w:rPr>
                <w:sz w:val="21"/>
                <w:szCs w:val="21"/>
                <w:color w:val="auto"/>
              </w:rPr>
            </w:pPr>
          </w:p>
        </w:tc>
        <w:tc>
          <w:tcPr>
            <w:tcW w:w="124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(57,472)</w:t>
            </w:r>
          </w:p>
        </w:tc>
        <w:tc>
          <w:tcPr>
            <w:tcW w:w="8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92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04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4,422</w:t>
            </w:r>
          </w:p>
        </w:tc>
        <w:tc>
          <w:tcPr>
            <w:tcW w:w="140" w:type="dxa"/>
            <w:vAlign w:val="bottom"/>
            <w:shd w:val="clear" w:color="auto" w:fill="D8EEF4"/>
          </w:tcPr>
          <w:p>
            <w:pPr>
              <w:spacing w:after="0"/>
              <w:rPr>
                <w:sz w:val="21"/>
                <w:szCs w:val="21"/>
                <w:color w:val="auto"/>
              </w:rPr>
            </w:pPr>
          </w:p>
        </w:tc>
        <w:tc>
          <w:tcPr>
            <w:tcW w:w="6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04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(53,050)</w:t>
            </w:r>
          </w:p>
        </w:tc>
      </w:tr>
      <w:tr>
        <w:trPr>
          <w:trHeight w:val="244"/>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4C4C4E"/>
              </w:rPr>
              <w:t>Net amortization of discount on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25,862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627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26,608</w:t>
            </w:r>
          </w:p>
        </w:tc>
        <w:tc>
          <w:tcPr>
            <w:tcW w:w="80" w:type="dxa"/>
            <w:vAlign w:val="bottom"/>
          </w:tcPr>
          <w:p>
            <w:pPr>
              <w:spacing w:after="0"/>
              <w:rPr>
                <w:sz w:val="21"/>
                <w:szCs w:val="21"/>
                <w:color w:val="auto"/>
              </w:rPr>
            </w:pPr>
          </w:p>
        </w:tc>
      </w:tr>
      <w:tr>
        <w:trPr>
          <w:trHeight w:val="244"/>
        </w:trPr>
        <w:tc>
          <w:tcPr>
            <w:tcW w:w="46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Transfers within Level 3</w:t>
            </w:r>
          </w:p>
        </w:tc>
        <w:tc>
          <w:tcPr>
            <w:tcW w:w="140" w:type="dxa"/>
            <w:vAlign w:val="bottom"/>
            <w:shd w:val="clear" w:color="auto" w:fill="D8EEF4"/>
          </w:tcPr>
          <w:p>
            <w:pPr>
              <w:spacing w:after="0"/>
              <w:rPr>
                <w:sz w:val="21"/>
                <w:szCs w:val="21"/>
                <w:color w:val="auto"/>
              </w:rPr>
            </w:pPr>
          </w:p>
        </w:tc>
        <w:tc>
          <w:tcPr>
            <w:tcW w:w="124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(7,574)</w:t>
            </w:r>
          </w:p>
        </w:tc>
        <w:tc>
          <w:tcPr>
            <w:tcW w:w="8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92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04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7,574</w:t>
            </w:r>
          </w:p>
        </w:tc>
        <w:tc>
          <w:tcPr>
            <w:tcW w:w="140" w:type="dxa"/>
            <w:vAlign w:val="bottom"/>
            <w:shd w:val="clear" w:color="auto" w:fill="D8EEF4"/>
          </w:tcPr>
          <w:p>
            <w:pPr>
              <w:spacing w:after="0"/>
              <w:rPr>
                <w:sz w:val="21"/>
                <w:szCs w:val="21"/>
                <w:color w:val="auto"/>
              </w:rPr>
            </w:pPr>
          </w:p>
        </w:tc>
        <w:tc>
          <w:tcPr>
            <w:tcW w:w="6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04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4C4C4E"/>
              </w:rPr>
              <w:t>Transfers into (out of) Level 3</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(21,343)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(21,343)</w:t>
            </w:r>
          </w:p>
        </w:tc>
      </w:tr>
      <w:tr>
        <w:trPr>
          <w:trHeight w:val="259"/>
        </w:trPr>
        <w:tc>
          <w:tcPr>
            <w:tcW w:w="4600" w:type="dxa"/>
            <w:vAlign w:val="bottom"/>
            <w:tcBorders>
              <w:top w:val="single" w:sz="8" w:color="D8EEF4"/>
              <w:bottom w:val="single" w:sz="8" w:color="D8EEF4"/>
            </w:tcBorders>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Balance, End of Period</w:t>
            </w:r>
          </w:p>
        </w:tc>
        <w:tc>
          <w:tcPr>
            <w:tcW w:w="1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10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2,956,297</w:t>
            </w:r>
          </w:p>
        </w:tc>
        <w:tc>
          <w:tcPr>
            <w:tcW w:w="160" w:type="dxa"/>
            <w:vAlign w:val="bottom"/>
            <w:tcBorders>
              <w:top w:val="single" w:sz="8" w:color="D8EEF4"/>
              <w:bottom w:val="single" w:sz="8" w:color="D8EEF4"/>
            </w:tcBorders>
            <w:shd w:val="clear" w:color="auto" w:fill="D8EEF4"/>
          </w:tcPr>
          <w:p>
            <w:pPr>
              <w:spacing w:after="0"/>
              <w:rPr>
                <w:sz w:val="22"/>
                <w:szCs w:val="22"/>
                <w:color w:val="auto"/>
              </w:rPr>
            </w:pP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c>
          <w:tcPr>
            <w:tcW w:w="220" w:type="dxa"/>
            <w:vAlign w:val="bottom"/>
            <w:tcBorders>
              <w:top w:val="single" w:sz="8" w:color="4C4C4E"/>
              <w:bottom w:val="single" w:sz="8" w:color="4C4C4E"/>
            </w:tcBorders>
            <w:shd w:val="clear" w:color="auto" w:fill="D8EEF4"/>
          </w:tcPr>
          <w:p>
            <w:pPr>
              <w:jc w:val="right"/>
              <w:ind w:right="30"/>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30,456</w:t>
            </w:r>
          </w:p>
        </w:tc>
        <w:tc>
          <w:tcPr>
            <w:tcW w:w="160" w:type="dxa"/>
            <w:vAlign w:val="bottom"/>
            <w:tcBorders>
              <w:top w:val="single" w:sz="8" w:color="D8EEF4"/>
              <w:bottom w:val="single" w:sz="8" w:color="D8EEF4"/>
            </w:tcBorders>
            <w:shd w:val="clear" w:color="auto" w:fill="D8EEF4"/>
          </w:tcPr>
          <w:p>
            <w:pPr>
              <w:spacing w:after="0"/>
              <w:rPr>
                <w:sz w:val="22"/>
                <w:szCs w:val="22"/>
                <w:color w:val="auto"/>
              </w:rPr>
            </w:pP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c>
          <w:tcPr>
            <w:tcW w:w="1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8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61,684</w:t>
            </w:r>
          </w:p>
        </w:tc>
        <w:tc>
          <w:tcPr>
            <w:tcW w:w="160" w:type="dxa"/>
            <w:vAlign w:val="bottom"/>
            <w:tcBorders>
              <w:top w:val="single" w:sz="8" w:color="D8EEF4"/>
              <w:bottom w:val="single" w:sz="8" w:color="D8EEF4"/>
            </w:tcBorders>
            <w:shd w:val="clear" w:color="auto" w:fill="D8EEF4"/>
          </w:tcPr>
          <w:p>
            <w:pPr>
              <w:spacing w:after="0"/>
              <w:rPr>
                <w:sz w:val="22"/>
                <w:szCs w:val="22"/>
                <w:color w:val="auto"/>
              </w:rPr>
            </w:pP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c>
          <w:tcPr>
            <w:tcW w:w="100" w:type="dxa"/>
            <w:vAlign w:val="bottom"/>
            <w:tcBorders>
              <w:top w:val="single" w:sz="8" w:color="4C4C4E"/>
              <w:bottom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133,397</w:t>
            </w:r>
          </w:p>
        </w:tc>
        <w:tc>
          <w:tcPr>
            <w:tcW w:w="140" w:type="dxa"/>
            <w:vAlign w:val="bottom"/>
            <w:tcBorders>
              <w:top w:val="single" w:sz="8" w:color="D8EEF4"/>
              <w:bottom w:val="single" w:sz="8" w:color="D8EEF4"/>
            </w:tcBorders>
            <w:shd w:val="clear" w:color="auto" w:fill="D8EEF4"/>
          </w:tcPr>
          <w:p>
            <w:pPr>
              <w:spacing w:after="0"/>
              <w:rPr>
                <w:sz w:val="22"/>
                <w:szCs w:val="22"/>
                <w:color w:val="auto"/>
              </w:rPr>
            </w:pPr>
          </w:p>
        </w:tc>
        <w:tc>
          <w:tcPr>
            <w:tcW w:w="60" w:type="dxa"/>
            <w:vAlign w:val="bottom"/>
            <w:tcBorders>
              <w:top w:val="single" w:sz="8" w:color="D8EEF4"/>
              <w:bottom w:val="single" w:sz="8" w:color="D8EEF4"/>
            </w:tcBorders>
            <w:shd w:val="clear" w:color="auto" w:fill="D8EEF4"/>
          </w:tcPr>
          <w:p>
            <w:pPr>
              <w:spacing w:after="0"/>
              <w:rPr>
                <w:sz w:val="22"/>
                <w:szCs w:val="22"/>
                <w:color w:val="auto"/>
              </w:rPr>
            </w:pPr>
          </w:p>
        </w:tc>
        <w:tc>
          <w:tcPr>
            <w:tcW w:w="1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9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3,181,834</w:t>
            </w: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1080" w:type="dxa"/>
            <w:vAlign w:val="bottom"/>
            <w:tcBorders>
              <w:bottom w:val="single" w:sz="8" w:color="4C4C4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760" w:type="dxa"/>
            <w:vAlign w:val="bottom"/>
            <w:tcBorders>
              <w:bottom w:val="single" w:sz="8" w:color="4C4C4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880" w:type="dxa"/>
            <w:vAlign w:val="bottom"/>
            <w:tcBorders>
              <w:bottom w:val="single" w:sz="8" w:color="4C4C4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780" w:type="dxa"/>
            <w:vAlign w:val="bottom"/>
            <w:tcBorders>
              <w:bottom w:val="single" w:sz="8" w:color="4C4C4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96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-2134870</wp:posOffset>
            </wp:positionV>
            <wp:extent cx="392239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0">
                      <a:extLst>
                        <a:ext uri="{28A0092B-C50C-407E-A947-70E740481C1C}"/>
                      </a:extLst>
                    </a:blip>
                    <a:srcRect/>
                    <a:stretch>
                      <a:fillRect/>
                    </a:stretch>
                  </pic:blipFill>
                  <pic:spPr bwMode="auto">
                    <a:xfrm>
                      <a:off x="0" y="0"/>
                      <a:ext cx="3922395" cy="38100"/>
                    </a:xfrm>
                    <a:prstGeom prst="rect">
                      <a:avLst/>
                    </a:prstGeom>
                    <a:noFill/>
                  </pic:spPr>
                </pic:pic>
              </a:graphicData>
            </a:graphic>
          </wp:anchor>
        </w:drawing>
      </w:r>
    </w:p>
    <w:p>
      <w:pPr>
        <w:sectPr>
          <w:pgSz w:w="11880" w:h="15480" w:orient="portrait"/>
          <w:cols w:equalWidth="0" w:num="1">
            <w:col w:w="10800"/>
          </w:cols>
          <w:pgMar w:left="540" w:top="74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F-38</w:t>
      </w:r>
    </w:p>
    <w:p>
      <w:pPr>
        <w:sectPr>
          <w:pgSz w:w="11880" w:h="15480" w:orient="portrait"/>
          <w:cols w:equalWidth="0" w:num="1">
            <w:col w:w="10800"/>
          </w:cols>
          <w:pgMar w:left="540" w:top="746" w:right="540" w:bottom="6" w:gutter="0" w:footer="0" w:header="0"/>
          <w:type w:val="continuous"/>
        </w:sectPr>
      </w:pPr>
    </w:p>
    <w:bookmarkStart w:id="127" w:name="page128"/>
    <w:bookmarkEnd w:id="127"/>
    <w:p>
      <w:pPr>
        <w:jc w:val="both"/>
        <w:ind w:right="200" w:firstLine="245"/>
        <w:spacing w:after="0" w:line="258" w:lineRule="auto"/>
        <w:rPr>
          <w:sz w:val="20"/>
          <w:szCs w:val="20"/>
          <w:color w:val="auto"/>
        </w:rPr>
      </w:pPr>
      <w:r>
        <w:rPr>
          <w:rFonts w:ascii="Times New Roman" w:cs="Times New Roman" w:eastAsia="Times New Roman" w:hAnsi="Times New Roman"/>
          <w:sz w:val="20"/>
          <w:szCs w:val="20"/>
          <w:color w:val="4C4C4E"/>
        </w:rPr>
        <w:t>Caris Life Sciences, Inc. was transferred out of Level 3 into Level 1 and Dye &amp; Durham, Ltd. was transferred out of Level 1 into Level 3 for fair value measurement purposes during the year ended December 31, 2025, as a result of changes in the observability of inputs into the security valuation for these portfolio companies.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gridSpan w:val="11"/>
          </w:tcPr>
          <w:p>
            <w:pPr>
              <w:jc w:val="center"/>
              <w:ind w:right="460"/>
              <w:spacing w:after="0"/>
              <w:rPr>
                <w:sz w:val="20"/>
                <w:szCs w:val="20"/>
                <w:color w:val="auto"/>
              </w:rPr>
            </w:pPr>
            <w:r>
              <w:rPr>
                <w:rFonts w:ascii="Times New Roman" w:cs="Times New Roman" w:eastAsia="Times New Roman" w:hAnsi="Times New Roman"/>
                <w:sz w:val="16"/>
                <w:szCs w:val="16"/>
                <w:b w:val="1"/>
                <w:bCs w:val="1"/>
                <w:color w:val="4C4C4E"/>
                <w:w w:val="99"/>
              </w:rPr>
              <w:t>As of and for the Year Ended</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4C4C4E"/>
              </w:rPr>
              <w:t>First-lien</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4C4C4E"/>
              </w:rPr>
              <w:t>Second-lien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4C4C4E"/>
              </w:rPr>
              <w:t>Mezzanine</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4C4C4E"/>
                <w:w w:val="99"/>
              </w:rPr>
              <w:t>Equity</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4C4C4E"/>
                <w:w w:val="99"/>
              </w:rPr>
              <w:t>debt</w:t>
            </w:r>
          </w:p>
        </w:tc>
        <w:tc>
          <w:tcPr>
            <w:tcW w:w="22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4C4C4E"/>
                <w:w w:val="99"/>
              </w:rPr>
              <w:t>debt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4C4C4E"/>
                <w:w w:val="99"/>
              </w:rPr>
              <w:t>debt</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4C4C4E"/>
                <w:w w:val="99"/>
              </w:rPr>
              <w:t>and other</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4C4C4E"/>
                <w:w w:val="98"/>
              </w:rPr>
              <w:t>investments</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4C4C4E"/>
                <w:w w:val="98"/>
              </w:rPr>
              <w:t>investments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4C4C4E"/>
                <w:w w:val="98"/>
              </w:rPr>
              <w:t>investments</w:t>
            </w: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4C4C4E"/>
                <w:w w:val="98"/>
              </w:rPr>
              <w:t>investments</w:t>
            </w:r>
          </w:p>
        </w:tc>
        <w:tc>
          <w:tcPr>
            <w:tcW w:w="2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4C4C4E"/>
              </w:rPr>
              <w:t>Total</w:t>
            </w:r>
          </w:p>
        </w:tc>
      </w:tr>
      <w:tr>
        <w:trPr>
          <w:trHeight w:val="239"/>
        </w:trPr>
        <w:tc>
          <w:tcPr>
            <w:tcW w:w="48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Balance, beginning of period</w:t>
            </w:r>
          </w:p>
        </w:tc>
        <w:tc>
          <w:tcPr>
            <w:tcW w:w="20" w:type="dxa"/>
            <w:vAlign w:val="bottom"/>
          </w:tcPr>
          <w:p>
            <w:pPr>
              <w:spacing w:after="0"/>
              <w:rPr>
                <w:sz w:val="20"/>
                <w:szCs w:val="20"/>
                <w:color w:val="auto"/>
              </w:rPr>
            </w:pPr>
          </w:p>
        </w:tc>
        <w:tc>
          <w:tcPr>
            <w:tcW w:w="9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98"/>
                <w:shd w:val="clear" w:color="auto" w:fill="D8EEF4"/>
              </w:rPr>
              <w:t>$ 2,993,786</w:t>
            </w:r>
          </w:p>
        </w:tc>
        <w:tc>
          <w:tcPr>
            <w:tcW w:w="220" w:type="dxa"/>
            <w:vAlign w:val="bottom"/>
            <w:tcBorders>
              <w:top w:val="single" w:sz="8" w:color="D8EEF4"/>
            </w:tcBorders>
            <w:shd w:val="clear" w:color="auto" w:fill="D8EEF4"/>
          </w:tcPr>
          <w:p>
            <w:pPr>
              <w:spacing w:after="0"/>
              <w:rPr>
                <w:sz w:val="20"/>
                <w:szCs w:val="20"/>
                <w:color w:val="auto"/>
              </w:rPr>
            </w:pPr>
          </w:p>
        </w:tc>
        <w:tc>
          <w:tcPr>
            <w:tcW w:w="220" w:type="dxa"/>
            <w:vAlign w:val="bottom"/>
            <w:tcBorders>
              <w:top w:val="single" w:sz="8" w:color="4C4C4E"/>
            </w:tcBorders>
            <w:shd w:val="clear" w:color="auto" w:fill="D8EEF4"/>
          </w:tcPr>
          <w:p>
            <w:pPr>
              <w:jc w:val="right"/>
              <w:ind w:right="30"/>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35,975</w:t>
            </w:r>
          </w:p>
        </w:tc>
        <w:tc>
          <w:tcPr>
            <w:tcW w:w="80" w:type="dxa"/>
            <w:vAlign w:val="bottom"/>
            <w:tcBorders>
              <w:top w:val="single" w:sz="8" w:color="D8EEF4"/>
            </w:tcBorders>
            <w:shd w:val="clear" w:color="auto" w:fill="D8EEF4"/>
          </w:tcPr>
          <w:p>
            <w:pPr>
              <w:spacing w:after="0"/>
              <w:rPr>
                <w:sz w:val="20"/>
                <w:szCs w:val="20"/>
                <w:color w:val="auto"/>
              </w:rPr>
            </w:pPr>
          </w:p>
        </w:tc>
        <w:tc>
          <w:tcPr>
            <w:tcW w:w="14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1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shd w:val="clear" w:color="auto" w:fill="D8EEF4"/>
              </w:rPr>
              <w:t>$</w:t>
            </w:r>
          </w:p>
        </w:tc>
        <w:tc>
          <w:tcPr>
            <w:tcW w:w="8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38,865</w:t>
            </w:r>
          </w:p>
        </w:tc>
        <w:tc>
          <w:tcPr>
            <w:tcW w:w="2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1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shd w:val="clear" w:color="auto" w:fill="D8EEF4"/>
              </w:rPr>
              <w:t>$</w:t>
            </w:r>
          </w:p>
        </w:tc>
        <w:tc>
          <w:tcPr>
            <w:tcW w:w="8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140,331</w:t>
            </w:r>
          </w:p>
        </w:tc>
        <w:tc>
          <w:tcPr>
            <w:tcW w:w="220" w:type="dxa"/>
            <w:vAlign w:val="bottom"/>
            <w:tcBorders>
              <w:top w:val="single" w:sz="8" w:color="D8EEF4"/>
            </w:tcBorders>
            <w:shd w:val="clear" w:color="auto" w:fill="D8EEF4"/>
          </w:tcPr>
          <w:p>
            <w:pPr>
              <w:spacing w:after="0"/>
              <w:rPr>
                <w:sz w:val="20"/>
                <w:szCs w:val="20"/>
                <w:color w:val="auto"/>
              </w:rPr>
            </w:pPr>
          </w:p>
        </w:tc>
        <w:tc>
          <w:tcPr>
            <w:tcW w:w="20" w:type="dxa"/>
            <w:vAlign w:val="bottom"/>
            <w:tcBorders>
              <w:top w:val="single" w:sz="8" w:color="D8EEF4"/>
            </w:tcBorders>
            <w:shd w:val="clear" w:color="auto" w:fill="D8EEF4"/>
          </w:tcPr>
          <w:p>
            <w:pPr>
              <w:spacing w:after="0"/>
              <w:rPr>
                <w:sz w:val="20"/>
                <w:szCs w:val="20"/>
                <w:color w:val="auto"/>
              </w:rPr>
            </w:pPr>
          </w:p>
        </w:tc>
        <w:tc>
          <w:tcPr>
            <w:tcW w:w="9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98"/>
                <w:shd w:val="clear" w:color="auto" w:fill="D8EEF4"/>
              </w:rPr>
              <w:t>$ 3,208,957</w:t>
            </w:r>
          </w:p>
        </w:tc>
        <w:tc>
          <w:tcPr>
            <w:tcW w:w="80" w:type="dxa"/>
            <w:vAlign w:val="bottom"/>
            <w:tcBorders>
              <w:top w:val="single" w:sz="8" w:color="D8EEF4"/>
            </w:tcBorders>
            <w:shd w:val="clear" w:color="auto" w:fill="D8EEF4"/>
          </w:tcPr>
          <w:p>
            <w:pPr>
              <w:spacing w:after="0"/>
              <w:rPr>
                <w:sz w:val="20"/>
                <w:szCs w:val="20"/>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4C4C4E"/>
              </w:rPr>
              <w:t>Purchases or originations</w:t>
            </w: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1,064,366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2,004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10,935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1,077,305</w:t>
            </w:r>
          </w:p>
        </w:tc>
        <w:tc>
          <w:tcPr>
            <w:tcW w:w="80" w:type="dxa"/>
            <w:vAlign w:val="bottom"/>
          </w:tcPr>
          <w:p>
            <w:pPr>
              <w:spacing w:after="0"/>
              <w:rPr>
                <w:sz w:val="21"/>
                <w:szCs w:val="21"/>
                <w:color w:val="auto"/>
              </w:rPr>
            </w:pPr>
          </w:p>
        </w:tc>
      </w:tr>
      <w:tr>
        <w:trPr>
          <w:trHeight w:val="244"/>
        </w:trPr>
        <w:tc>
          <w:tcPr>
            <w:tcW w:w="4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Repayments / redemptions</w:t>
            </w:r>
          </w:p>
        </w:tc>
        <w:tc>
          <w:tcPr>
            <w:tcW w:w="1220" w:type="dxa"/>
            <w:vAlign w:val="bottom"/>
            <w:gridSpan w:val="3"/>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(764,592)</w:t>
            </w:r>
          </w:p>
        </w:tc>
        <w:tc>
          <w:tcPr>
            <w:tcW w:w="220" w:type="dxa"/>
            <w:vAlign w:val="bottom"/>
            <w:shd w:val="clear" w:color="auto" w:fill="D8EEF4"/>
          </w:tcPr>
          <w:p>
            <w:pPr>
              <w:spacing w:after="0"/>
              <w:rPr>
                <w:sz w:val="21"/>
                <w:szCs w:val="21"/>
                <w:color w:val="auto"/>
              </w:rPr>
            </w:pPr>
          </w:p>
        </w:tc>
        <w:tc>
          <w:tcPr>
            <w:tcW w:w="86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(3,177)</w:t>
            </w:r>
          </w:p>
        </w:tc>
        <w:tc>
          <w:tcPr>
            <w:tcW w:w="14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10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(4,880)</w:t>
            </w:r>
          </w:p>
        </w:tc>
        <w:tc>
          <w:tcPr>
            <w:tcW w:w="20" w:type="dxa"/>
            <w:vAlign w:val="bottom"/>
            <w:shd w:val="clear" w:color="auto" w:fill="D8EEF4"/>
          </w:tcPr>
          <w:p>
            <w:pPr>
              <w:spacing w:after="0"/>
              <w:rPr>
                <w:sz w:val="21"/>
                <w:szCs w:val="21"/>
                <w:color w:val="auto"/>
              </w:rPr>
            </w:pPr>
          </w:p>
        </w:tc>
        <w:tc>
          <w:tcPr>
            <w:tcW w:w="120" w:type="dxa"/>
            <w:vAlign w:val="bottom"/>
            <w:shd w:val="clear" w:color="auto" w:fill="D8EEF4"/>
          </w:tcPr>
          <w:p>
            <w:pPr>
              <w:spacing w:after="0"/>
              <w:rPr>
                <w:sz w:val="21"/>
                <w:szCs w:val="21"/>
                <w:color w:val="auto"/>
              </w:rPr>
            </w:pPr>
          </w:p>
        </w:tc>
        <w:tc>
          <w:tcPr>
            <w:tcW w:w="1100" w:type="dxa"/>
            <w:vAlign w:val="bottom"/>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1080" w:type="dxa"/>
            <w:vAlign w:val="bottom"/>
            <w:gridSpan w:val="3"/>
            <w:shd w:val="clear" w:color="auto" w:fill="D8EEF4"/>
          </w:tcPr>
          <w:p>
            <w:pPr>
              <w:jc w:val="right"/>
              <w:ind w:right="20"/>
              <w:spacing w:after="0"/>
              <w:rPr>
                <w:sz w:val="20"/>
                <w:szCs w:val="20"/>
                <w:color w:val="auto"/>
              </w:rPr>
            </w:pPr>
            <w:r>
              <w:rPr>
                <w:rFonts w:ascii="Times New Roman" w:cs="Times New Roman" w:eastAsia="Times New Roman" w:hAnsi="Times New Roman"/>
                <w:sz w:val="20"/>
                <w:szCs w:val="20"/>
                <w:color w:val="4C4C4E"/>
              </w:rPr>
              <w:t>(772,649)</w:t>
            </w: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4C4C4E"/>
              </w:rPr>
              <w:t>Sales Proceeds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4C4C4E"/>
              </w:rPr>
              <w:t>(9,110)</w:t>
            </w:r>
          </w:p>
        </w:tc>
        <w:tc>
          <w:tcPr>
            <w:tcW w:w="2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4C4C4E"/>
              </w:rPr>
              <w:t>—</w:t>
            </w: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(18,089)</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4C4C4E"/>
              </w:rPr>
              <w:t>(27,199)</w:t>
            </w:r>
          </w:p>
        </w:tc>
      </w:tr>
      <w:tr>
        <w:trPr>
          <w:trHeight w:val="244"/>
        </w:trPr>
        <w:tc>
          <w:tcPr>
            <w:tcW w:w="4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Paid-in-kind interest</w:t>
            </w:r>
          </w:p>
        </w:tc>
        <w:tc>
          <w:tcPr>
            <w:tcW w:w="10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23,519</w:t>
            </w:r>
          </w:p>
        </w:tc>
        <w:tc>
          <w:tcPr>
            <w:tcW w:w="22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7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1,255</w:t>
            </w:r>
          </w:p>
        </w:tc>
        <w:tc>
          <w:tcPr>
            <w:tcW w:w="8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4,476</w:t>
            </w:r>
          </w:p>
        </w:tc>
        <w:tc>
          <w:tcPr>
            <w:tcW w:w="2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20" w:type="dxa"/>
            <w:vAlign w:val="bottom"/>
            <w:shd w:val="clear" w:color="auto" w:fill="D8EEF4"/>
          </w:tcPr>
          <w:p>
            <w:pPr>
              <w:spacing w:after="0"/>
              <w:rPr>
                <w:sz w:val="21"/>
                <w:szCs w:val="21"/>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315</w:t>
            </w:r>
          </w:p>
        </w:tc>
        <w:tc>
          <w:tcPr>
            <w:tcW w:w="220" w:type="dxa"/>
            <w:vAlign w:val="bottom"/>
            <w:shd w:val="clear" w:color="auto" w:fill="D8EEF4"/>
          </w:tcPr>
          <w:p>
            <w:pPr>
              <w:spacing w:after="0"/>
              <w:rPr>
                <w:sz w:val="21"/>
                <w:szCs w:val="21"/>
                <w:color w:val="auto"/>
              </w:rPr>
            </w:pPr>
          </w:p>
        </w:tc>
        <w:tc>
          <w:tcPr>
            <w:tcW w:w="10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29,565</w:t>
            </w:r>
          </w:p>
        </w:tc>
        <w:tc>
          <w:tcPr>
            <w:tcW w:w="80" w:type="dxa"/>
            <w:vAlign w:val="bottom"/>
            <w:shd w:val="clear" w:color="auto" w:fill="D8EEF4"/>
          </w:tcPr>
          <w:p>
            <w:pPr>
              <w:spacing w:after="0"/>
              <w:rPr>
                <w:sz w:val="21"/>
                <w:szCs w:val="21"/>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4C4C4E"/>
              </w:rPr>
              <w:t>Net change in unrealized gains (losses)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4C4C4E"/>
              </w:rPr>
              <w:t>(35,815)</w:t>
            </w:r>
          </w:p>
        </w:tc>
        <w:tc>
          <w:tcPr>
            <w:tcW w:w="2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(17,656)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528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1,360</w:t>
            </w:r>
          </w:p>
        </w:tc>
        <w:tc>
          <w:tcPr>
            <w:tcW w:w="22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4C4C4E"/>
              </w:rPr>
              <w:t>(51,583)</w:t>
            </w:r>
          </w:p>
        </w:tc>
      </w:tr>
      <w:tr>
        <w:trPr>
          <w:trHeight w:val="244"/>
        </w:trPr>
        <w:tc>
          <w:tcPr>
            <w:tcW w:w="4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Net realized gains (losses)</w:t>
            </w:r>
          </w:p>
        </w:tc>
        <w:tc>
          <w:tcPr>
            <w:tcW w:w="1220" w:type="dxa"/>
            <w:vAlign w:val="bottom"/>
            <w:gridSpan w:val="3"/>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(4,371)</w:t>
            </w:r>
          </w:p>
        </w:tc>
        <w:tc>
          <w:tcPr>
            <w:tcW w:w="220" w:type="dxa"/>
            <w:vAlign w:val="bottom"/>
            <w:shd w:val="clear" w:color="auto" w:fill="D8EEF4"/>
          </w:tcPr>
          <w:p>
            <w:pPr>
              <w:spacing w:after="0"/>
              <w:rPr>
                <w:sz w:val="21"/>
                <w:szCs w:val="21"/>
                <w:color w:val="auto"/>
              </w:rPr>
            </w:pPr>
          </w:p>
        </w:tc>
        <w:tc>
          <w:tcPr>
            <w:tcW w:w="8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c>
          <w:tcPr>
            <w:tcW w:w="14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120" w:type="dxa"/>
            <w:vAlign w:val="bottom"/>
            <w:gridSpan w:val="3"/>
            <w:shd w:val="clear" w:color="auto" w:fill="D8EEF4"/>
          </w:tcPr>
          <w:p>
            <w:pPr>
              <w:jc w:val="right"/>
              <w:ind w:right="260"/>
              <w:spacing w:after="0"/>
              <w:rPr>
                <w:sz w:val="20"/>
                <w:szCs w:val="20"/>
                <w:color w:val="auto"/>
              </w:rPr>
            </w:pPr>
            <w:r>
              <w:rPr>
                <w:rFonts w:ascii="Times New Roman" w:cs="Times New Roman" w:eastAsia="Times New Roman" w:hAnsi="Times New Roman"/>
                <w:sz w:val="20"/>
                <w:szCs w:val="20"/>
                <w:color w:val="4C4C4E"/>
              </w:rPr>
              <w:t>—</w:t>
            </w:r>
          </w:p>
        </w:tc>
        <w:tc>
          <w:tcPr>
            <w:tcW w:w="120" w:type="dxa"/>
            <w:vAlign w:val="bottom"/>
            <w:shd w:val="clear" w:color="auto" w:fill="D8EEF4"/>
          </w:tcPr>
          <w:p>
            <w:pPr>
              <w:spacing w:after="0"/>
              <w:rPr>
                <w:sz w:val="21"/>
                <w:szCs w:val="21"/>
                <w:color w:val="auto"/>
              </w:rPr>
            </w:pP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4,734</w:t>
            </w:r>
          </w:p>
        </w:tc>
        <w:tc>
          <w:tcPr>
            <w:tcW w:w="220" w:type="dxa"/>
            <w:vAlign w:val="bottom"/>
            <w:shd w:val="clear" w:color="auto" w:fill="D8EEF4"/>
          </w:tcPr>
          <w:p>
            <w:pPr>
              <w:spacing w:after="0"/>
              <w:rPr>
                <w:sz w:val="21"/>
                <w:szCs w:val="21"/>
                <w:color w:val="auto"/>
              </w:rPr>
            </w:pPr>
          </w:p>
        </w:tc>
        <w:tc>
          <w:tcPr>
            <w:tcW w:w="1000" w:type="dxa"/>
            <w:vAlign w:val="bottom"/>
            <w:gridSpan w:val="2"/>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363</w:t>
            </w:r>
          </w:p>
        </w:tc>
        <w:tc>
          <w:tcPr>
            <w:tcW w:w="80" w:type="dxa"/>
            <w:vAlign w:val="bottom"/>
            <w:shd w:val="clear" w:color="auto" w:fill="D8EEF4"/>
          </w:tcPr>
          <w:p>
            <w:pPr>
              <w:spacing w:after="0"/>
              <w:rPr>
                <w:sz w:val="21"/>
                <w:szCs w:val="21"/>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4C4C4E"/>
              </w:rPr>
              <w:t>Net amortization of discount on securities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20,046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20,282</w:t>
            </w:r>
          </w:p>
        </w:tc>
        <w:tc>
          <w:tcPr>
            <w:tcW w:w="80" w:type="dxa"/>
            <w:vAlign w:val="bottom"/>
          </w:tcPr>
          <w:p>
            <w:pPr>
              <w:spacing w:after="0"/>
              <w:rPr>
                <w:sz w:val="21"/>
                <w:szCs w:val="21"/>
                <w:color w:val="auto"/>
              </w:rPr>
            </w:pPr>
          </w:p>
        </w:tc>
      </w:tr>
      <w:tr>
        <w:trPr>
          <w:trHeight w:val="244"/>
        </w:trPr>
        <w:tc>
          <w:tcPr>
            <w:tcW w:w="4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Transfers within Level 3</w:t>
            </w:r>
          </w:p>
        </w:tc>
        <w:tc>
          <w:tcPr>
            <w:tcW w:w="20" w:type="dxa"/>
            <w:vAlign w:val="bottom"/>
            <w:shd w:val="clear" w:color="auto" w:fill="D8EEF4"/>
          </w:tcPr>
          <w:p>
            <w:pPr>
              <w:spacing w:after="0"/>
              <w:rPr>
                <w:sz w:val="21"/>
                <w:szCs w:val="21"/>
                <w:color w:val="auto"/>
              </w:rPr>
            </w:pPr>
          </w:p>
        </w:tc>
        <w:tc>
          <w:tcPr>
            <w:tcW w:w="1200" w:type="dxa"/>
            <w:vAlign w:val="bottom"/>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shd w:val="clear" w:color="auto" w:fill="D8EEF4"/>
          </w:tcPr>
          <w:p>
            <w:pPr>
              <w:spacing w:after="0"/>
              <w:rPr>
                <w:sz w:val="21"/>
                <w:szCs w:val="21"/>
                <w:color w:val="auto"/>
              </w:rPr>
            </w:pPr>
          </w:p>
        </w:tc>
        <w:tc>
          <w:tcPr>
            <w:tcW w:w="8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c>
          <w:tcPr>
            <w:tcW w:w="14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120" w:type="dxa"/>
            <w:vAlign w:val="bottom"/>
            <w:gridSpan w:val="3"/>
            <w:shd w:val="clear" w:color="auto" w:fill="D8EEF4"/>
          </w:tcPr>
          <w:p>
            <w:pPr>
              <w:jc w:val="right"/>
              <w:ind w:right="260"/>
              <w:spacing w:after="0"/>
              <w:rPr>
                <w:sz w:val="20"/>
                <w:szCs w:val="20"/>
                <w:color w:val="auto"/>
              </w:rPr>
            </w:pPr>
            <w:r>
              <w:rPr>
                <w:rFonts w:ascii="Times New Roman" w:cs="Times New Roman" w:eastAsia="Times New Roman" w:hAnsi="Times New Roman"/>
                <w:sz w:val="20"/>
                <w:szCs w:val="20"/>
                <w:color w:val="4C4C4E"/>
              </w:rPr>
              <w:t>—</w:t>
            </w:r>
          </w:p>
        </w:tc>
        <w:tc>
          <w:tcPr>
            <w:tcW w:w="120" w:type="dxa"/>
            <w:vAlign w:val="bottom"/>
            <w:shd w:val="clear" w:color="auto" w:fill="D8EEF4"/>
          </w:tcPr>
          <w:p>
            <w:pPr>
              <w:spacing w:after="0"/>
              <w:rPr>
                <w:sz w:val="21"/>
                <w:szCs w:val="21"/>
                <w:color w:val="auto"/>
              </w:rPr>
            </w:pPr>
          </w:p>
        </w:tc>
        <w:tc>
          <w:tcPr>
            <w:tcW w:w="1100" w:type="dxa"/>
            <w:vAlign w:val="bottom"/>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20" w:type="dxa"/>
            <w:vAlign w:val="bottom"/>
            <w:shd w:val="clear" w:color="auto" w:fill="D8EEF4"/>
          </w:tcPr>
          <w:p>
            <w:pPr>
              <w:spacing w:after="0"/>
              <w:rPr>
                <w:sz w:val="21"/>
                <w:szCs w:val="21"/>
                <w:color w:val="auto"/>
              </w:rPr>
            </w:pPr>
          </w:p>
        </w:tc>
        <w:tc>
          <w:tcPr>
            <w:tcW w:w="10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4C4C4E"/>
              </w:rPr>
              <w:t>Transfers into (out of) Level 3</w:t>
            </w:r>
          </w:p>
        </w:tc>
        <w:tc>
          <w:tcPr>
            <w:tcW w:w="2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2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4C4C4E"/>
              </w:rPr>
              <w:t>—</w:t>
            </w: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r>
      <w:tr>
        <w:trPr>
          <w:trHeight w:val="259"/>
        </w:trPr>
        <w:tc>
          <w:tcPr>
            <w:tcW w:w="4820" w:type="dxa"/>
            <w:vAlign w:val="bottom"/>
            <w:tcBorders>
              <w:top w:val="single" w:sz="8" w:color="D8EEF4"/>
              <w:bottom w:val="single" w:sz="8" w:color="D8EEF4"/>
            </w:tcBorders>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Balance, End of Period</w:t>
            </w:r>
          </w:p>
        </w:tc>
        <w:tc>
          <w:tcPr>
            <w:tcW w:w="20" w:type="dxa"/>
            <w:vAlign w:val="bottom"/>
            <w:tcBorders>
              <w:top w:val="single" w:sz="8" w:color="4C4C4E"/>
              <w:bottom w:val="single" w:sz="8" w:color="4C4C4E"/>
            </w:tcBorders>
          </w:tcPr>
          <w:p>
            <w:pPr>
              <w:spacing w:after="0"/>
              <w:rPr>
                <w:sz w:val="22"/>
                <w:szCs w:val="22"/>
                <w:color w:val="auto"/>
              </w:rPr>
            </w:pPr>
          </w:p>
        </w:tc>
        <w:tc>
          <w:tcPr>
            <w:tcW w:w="9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98"/>
                <w:shd w:val="clear" w:color="auto" w:fill="D8EEF4"/>
              </w:rPr>
              <w:t>$ 3,287,829</w:t>
            </w:r>
          </w:p>
        </w:tc>
        <w:tc>
          <w:tcPr>
            <w:tcW w:w="220" w:type="dxa"/>
            <w:vAlign w:val="bottom"/>
            <w:tcBorders>
              <w:top w:val="single" w:sz="8" w:color="D8EEF4"/>
              <w:bottom w:val="single" w:sz="8" w:color="D8EEF4"/>
            </w:tcBorders>
            <w:shd w:val="clear" w:color="auto" w:fill="D8EEF4"/>
          </w:tcPr>
          <w:p>
            <w:pPr>
              <w:spacing w:after="0"/>
              <w:rPr>
                <w:sz w:val="22"/>
                <w:szCs w:val="22"/>
                <w:color w:val="auto"/>
              </w:rPr>
            </w:pPr>
          </w:p>
        </w:tc>
        <w:tc>
          <w:tcPr>
            <w:tcW w:w="220" w:type="dxa"/>
            <w:vAlign w:val="bottom"/>
            <w:tcBorders>
              <w:top w:val="single" w:sz="8" w:color="4C4C4E"/>
              <w:bottom w:val="single" w:sz="8" w:color="4C4C4E"/>
            </w:tcBorders>
            <w:shd w:val="clear" w:color="auto" w:fill="D8EEF4"/>
          </w:tcPr>
          <w:p>
            <w:pPr>
              <w:jc w:val="right"/>
              <w:ind w:right="30"/>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18,535</w:t>
            </w: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c>
          <w:tcPr>
            <w:tcW w:w="14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4C4C4E"/>
              <w:bottom w:val="single" w:sz="8" w:color="4C4C4E"/>
            </w:tcBorders>
            <w:shd w:val="clear" w:color="auto" w:fill="D8EEF4"/>
          </w:tcPr>
          <w:p>
            <w:pPr>
              <w:spacing w:after="0"/>
              <w:rPr>
                <w:sz w:val="22"/>
                <w:szCs w:val="22"/>
                <w:color w:val="auto"/>
              </w:rPr>
            </w:pPr>
          </w:p>
        </w:tc>
        <w:tc>
          <w:tcPr>
            <w:tcW w:w="1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shd w:val="clear" w:color="auto" w:fill="D8EEF4"/>
              </w:rPr>
              <w:t>$</w:t>
            </w:r>
          </w:p>
        </w:tc>
        <w:tc>
          <w:tcPr>
            <w:tcW w:w="8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39,091</w:t>
            </w:r>
          </w:p>
        </w:tc>
        <w:tc>
          <w:tcPr>
            <w:tcW w:w="22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4C4C4E"/>
              <w:bottom w:val="single" w:sz="8" w:color="4C4C4E"/>
            </w:tcBorders>
            <w:shd w:val="clear" w:color="auto" w:fill="D8EEF4"/>
          </w:tcPr>
          <w:p>
            <w:pPr>
              <w:spacing w:after="0"/>
              <w:rPr>
                <w:sz w:val="22"/>
                <w:szCs w:val="22"/>
                <w:color w:val="auto"/>
              </w:rPr>
            </w:pPr>
          </w:p>
        </w:tc>
        <w:tc>
          <w:tcPr>
            <w:tcW w:w="1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shd w:val="clear" w:color="auto" w:fill="D8EEF4"/>
              </w:rPr>
              <w:t>$</w:t>
            </w:r>
          </w:p>
        </w:tc>
        <w:tc>
          <w:tcPr>
            <w:tcW w:w="8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139,586</w:t>
            </w:r>
          </w:p>
        </w:tc>
        <w:tc>
          <w:tcPr>
            <w:tcW w:w="22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4C4C4E"/>
              <w:bottom w:val="single" w:sz="8" w:color="4C4C4E"/>
            </w:tcBorders>
            <w:shd w:val="clear" w:color="auto" w:fill="D8EEF4"/>
          </w:tcPr>
          <w:p>
            <w:pPr>
              <w:spacing w:after="0"/>
              <w:rPr>
                <w:sz w:val="22"/>
                <w:szCs w:val="22"/>
                <w:color w:val="auto"/>
              </w:rPr>
            </w:pPr>
          </w:p>
        </w:tc>
        <w:tc>
          <w:tcPr>
            <w:tcW w:w="9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98"/>
                <w:shd w:val="clear" w:color="auto" w:fill="D8EEF4"/>
              </w:rPr>
              <w:t>$ 3,485,041</w:t>
            </w: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98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78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88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88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98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-2134235</wp:posOffset>
            </wp:positionV>
            <wp:extent cx="377761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1">
                      <a:extLst>
                        <a:ext uri="{28A0092B-C50C-407E-A947-70E740481C1C}"/>
                      </a:extLst>
                    </a:blip>
                    <a:srcRect/>
                    <a:stretch>
                      <a:fillRect/>
                    </a:stretch>
                  </pic:blipFill>
                  <pic:spPr bwMode="auto">
                    <a:xfrm>
                      <a:off x="0" y="0"/>
                      <a:ext cx="3777615" cy="38100"/>
                    </a:xfrm>
                    <a:prstGeom prst="rect">
                      <a:avLst/>
                    </a:prstGeom>
                    <a:noFill/>
                  </pic:spPr>
                </pic:pic>
              </a:graphicData>
            </a:graphic>
          </wp:anchor>
        </w:drawing>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following table presents information with respect to the net change in unrealized gains or losses on investments for which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Level 3 inputs were used in determining fair value that are still held by the Company at December 31, 2025 and December 31, 2024:</w:t>
      </w:r>
    </w:p>
    <w:p>
      <w:pPr>
        <w:sectPr>
          <w:pgSz w:w="11880" w:h="15480" w:orient="portrait"/>
          <w:cols w:equalWidth="0" w:num="1">
            <w:col w:w="10800"/>
          </w:cols>
          <w:pgMar w:left="540" w:top="750" w:right="540" w:bottom="6" w:gutter="0" w:footer="0" w:header="0"/>
        </w:sectPr>
      </w:pPr>
    </w:p>
    <w:p>
      <w:pPr>
        <w:spacing w:after="0" w:line="20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5"/>
          <w:szCs w:val="15"/>
          <w:b w:val="1"/>
          <w:bCs w:val="1"/>
          <w:color w:val="4C4C4E"/>
        </w:rPr>
        <w:t>Net Change in 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-96520</wp:posOffset>
            </wp:positionV>
            <wp:extent cx="5486400" cy="7010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2">
                      <a:extLst>
                        <a:ext uri="{28A0092B-C50C-407E-A947-70E740481C1C}"/>
                      </a:extLst>
                    </a:blip>
                    <a:srcRect/>
                    <a:stretch>
                      <a:fillRect/>
                    </a:stretch>
                  </pic:blipFill>
                  <pic:spPr bwMode="auto">
                    <a:xfrm>
                      <a:off x="0" y="0"/>
                      <a:ext cx="5486400" cy="701040"/>
                    </a:xfrm>
                    <a:prstGeom prst="rect">
                      <a:avLst/>
                    </a:prstGeom>
                    <a:noFill/>
                  </pic:spPr>
                </pic:pic>
              </a:graphicData>
            </a:graphic>
          </wp:anchor>
        </w:drawing>
      </w:r>
    </w:p>
    <w:p>
      <w:pPr>
        <w:spacing w:after="0" w:line="18"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b w:val="1"/>
          <w:bCs w:val="1"/>
          <w:color w:val="4C4C4E"/>
        </w:rPr>
        <w:t>Gains or (Losses)</w:t>
      </w:r>
    </w:p>
    <w:p>
      <w:pPr>
        <w:jc w:val="center"/>
        <w:ind w:left="5680"/>
        <w:spacing w:after="0"/>
        <w:rPr>
          <w:sz w:val="20"/>
          <w:szCs w:val="20"/>
          <w:color w:val="auto"/>
        </w:rPr>
      </w:pPr>
      <w:r>
        <w:rPr>
          <w:rFonts w:ascii="Times New Roman" w:cs="Times New Roman" w:eastAsia="Times New Roman" w:hAnsi="Times New Roman"/>
          <w:sz w:val="16"/>
          <w:szCs w:val="16"/>
          <w:b w:val="1"/>
          <w:bCs w:val="1"/>
          <w:color w:val="4C4C4E"/>
        </w:rPr>
        <w:t>for the Year Ended</w:t>
      </w:r>
    </w:p>
    <w:p>
      <w:pPr>
        <w:jc w:val="center"/>
        <w:ind w:left="5680"/>
        <w:spacing w:after="0"/>
        <w:rPr>
          <w:sz w:val="20"/>
          <w:szCs w:val="20"/>
          <w:color w:val="auto"/>
        </w:rPr>
      </w:pPr>
      <w:r>
        <w:rPr>
          <w:rFonts w:ascii="Times New Roman" w:cs="Times New Roman" w:eastAsia="Times New Roman" w:hAnsi="Times New Roman"/>
          <w:sz w:val="16"/>
          <w:szCs w:val="16"/>
          <w:b w:val="1"/>
          <w:bCs w:val="1"/>
          <w:color w:val="4C4C4E"/>
        </w:rPr>
        <w:t>December 31, 2025 on</w:t>
      </w:r>
    </w:p>
    <w:p>
      <w:pPr>
        <w:jc w:val="center"/>
        <w:ind w:left="5680"/>
        <w:spacing w:after="0"/>
        <w:rPr>
          <w:sz w:val="20"/>
          <w:szCs w:val="20"/>
          <w:color w:val="auto"/>
        </w:rPr>
      </w:pPr>
      <w:r>
        <w:rPr>
          <w:rFonts w:ascii="Times New Roman" w:cs="Times New Roman" w:eastAsia="Times New Roman" w:hAnsi="Times New Roman"/>
          <w:sz w:val="16"/>
          <w:szCs w:val="16"/>
          <w:b w:val="1"/>
          <w:bCs w:val="1"/>
          <w:color w:val="4C4C4E"/>
        </w:rPr>
        <w:t>Investments Held at</w:t>
      </w:r>
    </w:p>
    <w:p>
      <w:pPr>
        <w:jc w:val="center"/>
        <w:ind w:left="5680"/>
        <w:spacing w:after="0" w:line="231" w:lineRule="auto"/>
        <w:rPr>
          <w:sz w:val="20"/>
          <w:szCs w:val="20"/>
          <w:color w:val="auto"/>
        </w:rPr>
      </w:pPr>
      <w:r>
        <w:rPr>
          <w:rFonts w:ascii="Times New Roman" w:cs="Times New Roman" w:eastAsia="Times New Roman" w:hAnsi="Times New Roman"/>
          <w:sz w:val="16"/>
          <w:szCs w:val="16"/>
          <w:b w:val="1"/>
          <w:bCs w:val="1"/>
          <w:color w:val="4C4C4E"/>
        </w:rPr>
        <w:t>December 31, 2025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240"/>
        <w:spacing w:after="0" w:line="265" w:lineRule="auto"/>
        <w:rPr>
          <w:sz w:val="20"/>
          <w:szCs w:val="20"/>
          <w:color w:val="auto"/>
        </w:rPr>
      </w:pPr>
      <w:r>
        <w:rPr>
          <w:rFonts w:ascii="Times New Roman" w:cs="Times New Roman" w:eastAsia="Times New Roman" w:hAnsi="Times New Roman"/>
          <w:sz w:val="15"/>
          <w:szCs w:val="15"/>
          <w:b w:val="1"/>
          <w:bCs w:val="1"/>
          <w:color w:val="4C4C4E"/>
        </w:rPr>
        <w:t>Net Change in Unrealized Gains or (Losses) for the Year Ended December 31, 2024 on Investments Held at December 31, 2024</w:t>
      </w:r>
    </w:p>
    <w:p>
      <w:pPr>
        <w:spacing w:after="0" w:line="171" w:lineRule="exact"/>
        <w:rPr>
          <w:sz w:val="20"/>
          <w:szCs w:val="20"/>
          <w:color w:val="auto"/>
        </w:rPr>
      </w:pPr>
    </w:p>
    <w:p>
      <w:pPr>
        <w:sectPr>
          <w:pgSz w:w="11880" w:h="15480" w:orient="portrait"/>
          <w:cols w:equalWidth="0" w:num="2">
            <w:col w:w="7440" w:space="360"/>
            <w:col w:w="3000"/>
          </w:cols>
          <w:pgMar w:left="540" w:top="750" w:right="540" w:bottom="6" w:gutter="0" w:footer="0" w:header="0"/>
          <w:type w:val="continuous"/>
        </w:sectPr>
      </w:pPr>
    </w:p>
    <w:tbl>
      <w:tblPr>
        <w:tblLayout w:type="fixed"/>
        <w:tblInd w:w="1080" w:type="dxa"/>
        <w:tblCellMar>
          <w:top w:w="0" w:type="dxa"/>
          <w:left w:w="0" w:type="dxa"/>
          <w:bottom w:w="0" w:type="dxa"/>
          <w:right w:w="0" w:type="dxa"/>
        </w:tblCellMar>
      </w:tblPr>
      <w:tr>
        <w:trPr>
          <w:trHeight w:val="225"/>
        </w:trPr>
        <w:tc>
          <w:tcPr>
            <w:tcW w:w="452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First-lien debt investments</w:t>
            </w:r>
          </w:p>
        </w:tc>
        <w:tc>
          <w:tcPr>
            <w:tcW w:w="740" w:type="dxa"/>
            <w:vAlign w:val="bottom"/>
            <w:tcBorders>
              <w:top w:val="single" w:sz="8" w:color="4C4C4E"/>
            </w:tcBorders>
            <w:shd w:val="clear" w:color="auto" w:fill="D8EEF4"/>
          </w:tcPr>
          <w:p>
            <w:pPr>
              <w:jc w:val="right"/>
              <w:ind w:right="54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1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19,996</w:t>
            </w:r>
          </w:p>
        </w:tc>
        <w:tc>
          <w:tcPr>
            <w:tcW w:w="200" w:type="dxa"/>
            <w:vAlign w:val="bottom"/>
            <w:tcBorders>
              <w:top w:val="single" w:sz="8" w:color="D8EEF4"/>
            </w:tcBorders>
            <w:shd w:val="clear" w:color="auto" w:fill="D8EEF4"/>
          </w:tcPr>
          <w:p>
            <w:pPr>
              <w:spacing w:after="0"/>
              <w:rPr>
                <w:sz w:val="19"/>
                <w:szCs w:val="19"/>
                <w:color w:val="auto"/>
              </w:rPr>
            </w:pPr>
          </w:p>
        </w:tc>
        <w:tc>
          <w:tcPr>
            <w:tcW w:w="700" w:type="dxa"/>
            <w:vAlign w:val="bottom"/>
            <w:tcBorders>
              <w:top w:val="single" w:sz="8" w:color="4C4C4E"/>
            </w:tcBorders>
            <w:shd w:val="clear" w:color="auto" w:fill="D8EEF4"/>
          </w:tcPr>
          <w:p>
            <w:pPr>
              <w:jc w:val="right"/>
              <w:ind w:right="50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2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(29,217)</w:t>
            </w:r>
          </w:p>
        </w:tc>
        <w:tc>
          <w:tcPr>
            <w:tcW w:w="80" w:type="dxa"/>
            <w:vAlign w:val="bottom"/>
            <w:tcBorders>
              <w:top w:val="single" w:sz="8" w:color="D8EEF4"/>
            </w:tcBorders>
            <w:shd w:val="clear" w:color="auto" w:fill="D8EEF4"/>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4C4C4E"/>
              </w:rPr>
              <w:t>Second-lien debt investments</w:t>
            </w:r>
          </w:p>
        </w:tc>
        <w:tc>
          <w:tcPr>
            <w:tcW w:w="7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(4,306)</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(17,656)</w:t>
            </w:r>
          </w:p>
        </w:tc>
        <w:tc>
          <w:tcPr>
            <w:tcW w:w="80" w:type="dxa"/>
            <w:vAlign w:val="bottom"/>
          </w:tcPr>
          <w:p>
            <w:pPr>
              <w:spacing w:after="0"/>
              <w:rPr>
                <w:sz w:val="20"/>
                <w:szCs w:val="20"/>
                <w:color w:val="auto"/>
              </w:rPr>
            </w:pPr>
          </w:p>
        </w:tc>
      </w:tr>
      <w:tr>
        <w:trPr>
          <w:trHeight w:val="230"/>
        </w:trPr>
        <w:tc>
          <w:tcPr>
            <w:tcW w:w="45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Mezzanine debt investments</w:t>
            </w:r>
          </w:p>
        </w:tc>
        <w:tc>
          <w:tcPr>
            <w:tcW w:w="740" w:type="dxa"/>
            <w:vAlign w:val="bottom"/>
            <w:shd w:val="clear" w:color="auto" w:fill="D8EEF4"/>
          </w:tcPr>
          <w:p>
            <w:pPr>
              <w:spacing w:after="0"/>
              <w:rPr>
                <w:sz w:val="20"/>
                <w:szCs w:val="20"/>
                <w:color w:val="auto"/>
              </w:rPr>
            </w:pPr>
          </w:p>
        </w:tc>
        <w:tc>
          <w:tcPr>
            <w:tcW w:w="1380" w:type="dxa"/>
            <w:vAlign w:val="bottom"/>
            <w:gridSpan w:val="2"/>
            <w:shd w:val="clear" w:color="auto" w:fill="D8EEF4"/>
          </w:tcPr>
          <w:p>
            <w:pPr>
              <w:jc w:val="right"/>
              <w:ind w:right="140"/>
              <w:spacing w:after="0"/>
              <w:rPr>
                <w:sz w:val="20"/>
                <w:szCs w:val="20"/>
                <w:color w:val="auto"/>
              </w:rPr>
            </w:pPr>
            <w:r>
              <w:rPr>
                <w:rFonts w:ascii="Times New Roman" w:cs="Times New Roman" w:eastAsia="Times New Roman" w:hAnsi="Times New Roman"/>
                <w:sz w:val="20"/>
                <w:szCs w:val="20"/>
                <w:color w:val="4C4C4E"/>
              </w:rPr>
              <w:t>(1,470)</w:t>
            </w:r>
          </w:p>
        </w:tc>
        <w:tc>
          <w:tcPr>
            <w:tcW w:w="700" w:type="dxa"/>
            <w:vAlign w:val="bottom"/>
            <w:shd w:val="clear" w:color="auto" w:fill="D8EEF4"/>
          </w:tcPr>
          <w:p>
            <w:pPr>
              <w:spacing w:after="0"/>
              <w:rPr>
                <w:sz w:val="20"/>
                <w:szCs w:val="20"/>
                <w:color w:val="auto"/>
              </w:rPr>
            </w:pPr>
          </w:p>
        </w:tc>
        <w:tc>
          <w:tcPr>
            <w:tcW w:w="12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528</w:t>
            </w:r>
          </w:p>
        </w:tc>
        <w:tc>
          <w:tcPr>
            <w:tcW w:w="80" w:type="dxa"/>
            <w:vAlign w:val="bottom"/>
            <w:shd w:val="clear" w:color="auto" w:fill="D8EEF4"/>
          </w:tcPr>
          <w:p>
            <w:pPr>
              <w:spacing w:after="0"/>
              <w:rPr>
                <w:sz w:val="20"/>
                <w:szCs w:val="20"/>
                <w:color w:val="auto"/>
              </w:rPr>
            </w:pPr>
          </w:p>
        </w:tc>
      </w:tr>
      <w:tr>
        <w:trPr>
          <w:trHeight w:val="230"/>
        </w:trPr>
        <w:tc>
          <w:tcPr>
            <w:tcW w:w="452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20"/>
                <w:szCs w:val="20"/>
                <w:color w:val="4C4C4E"/>
              </w:rPr>
              <w:t>Equity and other investments</w:t>
            </w:r>
          </w:p>
        </w:tc>
        <w:tc>
          <w:tcPr>
            <w:tcW w:w="740" w:type="dxa"/>
            <w:vAlign w:val="bottom"/>
            <w:tcBorders>
              <w:bottom w:val="single" w:sz="8" w:color="4C4C4E"/>
            </w:tcBorders>
          </w:tcPr>
          <w:p>
            <w:pPr>
              <w:spacing w:after="0"/>
              <w:rPr>
                <w:sz w:val="19"/>
                <w:szCs w:val="19"/>
                <w:color w:val="auto"/>
              </w:rPr>
            </w:pPr>
          </w:p>
        </w:tc>
        <w:tc>
          <w:tcPr>
            <w:tcW w:w="118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3,790</w:t>
            </w:r>
          </w:p>
        </w:tc>
        <w:tc>
          <w:tcPr>
            <w:tcW w:w="200" w:type="dxa"/>
            <w:vAlign w:val="bottom"/>
            <w:tcBorders>
              <w:bottom w:val="single" w:sz="8" w:color="D8EEF4"/>
            </w:tcBorders>
          </w:tcPr>
          <w:p>
            <w:pPr>
              <w:spacing w:after="0"/>
              <w:rPr>
                <w:sz w:val="19"/>
                <w:szCs w:val="19"/>
                <w:color w:val="auto"/>
              </w:rPr>
            </w:pPr>
          </w:p>
        </w:tc>
        <w:tc>
          <w:tcPr>
            <w:tcW w:w="700" w:type="dxa"/>
            <w:vAlign w:val="bottom"/>
            <w:tcBorders>
              <w:bottom w:val="single" w:sz="8" w:color="4C4C4E"/>
            </w:tcBorders>
          </w:tcPr>
          <w:p>
            <w:pPr>
              <w:spacing w:after="0"/>
              <w:rPr>
                <w:sz w:val="19"/>
                <w:szCs w:val="19"/>
                <w:color w:val="auto"/>
              </w:rPr>
            </w:pPr>
          </w:p>
        </w:tc>
        <w:tc>
          <w:tcPr>
            <w:tcW w:w="122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1,360</w:t>
            </w:r>
          </w:p>
        </w:tc>
        <w:tc>
          <w:tcPr>
            <w:tcW w:w="80" w:type="dxa"/>
            <w:vAlign w:val="bottom"/>
            <w:tcBorders>
              <w:bottom w:val="single" w:sz="8" w:color="D8EEF4"/>
            </w:tcBorders>
          </w:tcPr>
          <w:p>
            <w:pPr>
              <w:spacing w:after="0"/>
              <w:rPr>
                <w:sz w:val="19"/>
                <w:szCs w:val="19"/>
                <w:color w:val="auto"/>
              </w:rPr>
            </w:pPr>
          </w:p>
        </w:tc>
      </w:tr>
      <w:tr>
        <w:trPr>
          <w:trHeight w:val="245"/>
        </w:trPr>
        <w:tc>
          <w:tcPr>
            <w:tcW w:w="4520" w:type="dxa"/>
            <w:vAlign w:val="bottom"/>
            <w:tcBorders>
              <w:bottom w:val="single" w:sz="8" w:color="D8EEF4"/>
            </w:tcBorders>
            <w:shd w:val="clear" w:color="auto" w:fill="D8EEF4"/>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4C4C4E"/>
              </w:rPr>
              <w:t>Total</w:t>
            </w:r>
          </w:p>
        </w:tc>
        <w:tc>
          <w:tcPr>
            <w:tcW w:w="740" w:type="dxa"/>
            <w:vAlign w:val="bottom"/>
            <w:tcBorders>
              <w:bottom w:val="single" w:sz="8" w:color="4C4C4E"/>
            </w:tcBorders>
            <w:shd w:val="clear" w:color="auto" w:fill="D8EEF4"/>
          </w:tcPr>
          <w:p>
            <w:pPr>
              <w:jc w:val="right"/>
              <w:ind w:right="54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180" w:type="dxa"/>
            <w:vAlign w:val="bottom"/>
            <w:tcBorders>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18,010</w:t>
            </w:r>
          </w:p>
        </w:tc>
        <w:tc>
          <w:tcPr>
            <w:tcW w:w="200" w:type="dxa"/>
            <w:vAlign w:val="bottom"/>
            <w:tcBorders>
              <w:bottom w:val="single" w:sz="8" w:color="D8EEF4"/>
            </w:tcBorders>
            <w:shd w:val="clear" w:color="auto" w:fill="D8EEF4"/>
          </w:tcPr>
          <w:p>
            <w:pPr>
              <w:spacing w:after="0"/>
              <w:rPr>
                <w:sz w:val="21"/>
                <w:szCs w:val="21"/>
                <w:color w:val="auto"/>
              </w:rPr>
            </w:pPr>
          </w:p>
        </w:tc>
        <w:tc>
          <w:tcPr>
            <w:tcW w:w="700" w:type="dxa"/>
            <w:vAlign w:val="bottom"/>
            <w:tcBorders>
              <w:bottom w:val="single" w:sz="8" w:color="4C4C4E"/>
            </w:tcBorders>
            <w:shd w:val="clear" w:color="auto" w:fill="D8EEF4"/>
          </w:tcPr>
          <w:p>
            <w:pPr>
              <w:jc w:val="right"/>
              <w:ind w:right="50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220" w:type="dxa"/>
            <w:vAlign w:val="bottom"/>
            <w:tcBorders>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(44,985)</w:t>
            </w:r>
          </w:p>
        </w:tc>
        <w:tc>
          <w:tcPr>
            <w:tcW w:w="80" w:type="dxa"/>
            <w:vAlign w:val="bottom"/>
            <w:tcBorders>
              <w:bottom w:val="single" w:sz="8" w:color="D8EEF4"/>
            </w:tcBorders>
            <w:shd w:val="clear" w:color="auto" w:fill="D8EEF4"/>
          </w:tcPr>
          <w:p>
            <w:pPr>
              <w:spacing w:after="0"/>
              <w:rPr>
                <w:sz w:val="21"/>
                <w:szCs w:val="21"/>
                <w:color w:val="auto"/>
              </w:rPr>
            </w:pPr>
          </w:p>
        </w:tc>
      </w:tr>
      <w:tr>
        <w:trPr>
          <w:trHeight w:val="20"/>
        </w:trPr>
        <w:tc>
          <w:tcPr>
            <w:tcW w:w="4520" w:type="dxa"/>
            <w:vAlign w:val="bottom"/>
          </w:tcPr>
          <w:p>
            <w:pPr>
              <w:spacing w:after="0" w:line="20" w:lineRule="exact"/>
              <w:rPr>
                <w:sz w:val="1"/>
                <w:szCs w:val="1"/>
                <w:color w:val="auto"/>
              </w:rPr>
            </w:pPr>
          </w:p>
        </w:tc>
        <w:tc>
          <w:tcPr>
            <w:tcW w:w="740" w:type="dxa"/>
            <w:vAlign w:val="bottom"/>
            <w:tcBorders>
              <w:bottom w:val="single" w:sz="8" w:color="4C4C4E"/>
            </w:tcBorders>
          </w:tcPr>
          <w:p>
            <w:pPr>
              <w:spacing w:after="0" w:line="20" w:lineRule="exact"/>
              <w:rPr>
                <w:sz w:val="1"/>
                <w:szCs w:val="1"/>
                <w:color w:val="auto"/>
              </w:rPr>
            </w:pPr>
          </w:p>
        </w:tc>
        <w:tc>
          <w:tcPr>
            <w:tcW w:w="118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4C4C4E"/>
            </w:tcBorders>
          </w:tcPr>
          <w:p>
            <w:pPr>
              <w:spacing w:after="0" w:line="20" w:lineRule="exact"/>
              <w:rPr>
                <w:sz w:val="1"/>
                <w:szCs w:val="1"/>
                <w:color w:val="auto"/>
              </w:rPr>
            </w:pPr>
          </w:p>
        </w:tc>
        <w:tc>
          <w:tcPr>
            <w:tcW w:w="122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4C4C4E"/>
        </w:rPr>
        <w:t>The following tables present the fair value of Level 3 Investments and the significant unobservable inputs used in the valuations as of December 31, 2025 and December 31, 2024. The tables are not intended to be all-inclusive, but instead capture the significant unobservable inputs relevant to the Company’s determination of fair values.</w:t>
      </w:r>
    </w:p>
    <w:p>
      <w:pPr>
        <w:sectPr>
          <w:pgSz w:w="11880" w:h="15480" w:orient="portrait"/>
          <w:cols w:equalWidth="0" w:num="1">
            <w:col w:w="10800"/>
          </w:cols>
          <w:pgMar w:left="540" w:top="750" w:right="540" w:bottom="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C4E"/>
        </w:rPr>
        <w:t>First-lien debt 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1502410" cy="14033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2410" cy="140335"/>
                        </a:xfrm>
                        <a:prstGeom prst="rect">
                          <a:avLst/>
                        </a:prstGeom>
                        <a:solidFill>
                          <a:srgbClr val="D8EEF4"/>
                        </a:solidFill>
                      </wps:spPr>
                      <wps:bodyPr/>
                    </wps:wsp>
                  </a:graphicData>
                </a:graphic>
              </wp:anchor>
            </w:drawing>
          </mc:Choice>
          <mc:Fallback>
            <w:pict>
              <v:rect id="Shape 93" o:spid="_x0000_s1118" style="position:absolute;margin-left:0pt;margin-top:-10.1499pt;width:118.3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4C4C4E"/>
        </w:rPr>
        <w:t>Second-lien debt investments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C4E"/>
        </w:rPr>
        <w:t>Mezzanine debt investments</w:t>
      </w:r>
    </w:p>
    <w:p>
      <w:pPr>
        <w:spacing w:after="0"/>
        <w:rPr>
          <w:sz w:val="20"/>
          <w:szCs w:val="20"/>
          <w:color w:val="auto"/>
        </w:rPr>
      </w:pPr>
      <w:r>
        <w:rPr>
          <w:rFonts w:ascii="Times New Roman" w:cs="Times New Roman" w:eastAsia="Times New Roman" w:hAnsi="Times New Roman"/>
          <w:sz w:val="18"/>
          <w:szCs w:val="18"/>
          <w:color w:val="4C4C4E"/>
        </w:rPr>
        <w:t>Equity and other 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1502410" cy="14033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2410" cy="140335"/>
                        </a:xfrm>
                        <a:prstGeom prst="rect">
                          <a:avLst/>
                        </a:prstGeom>
                        <a:solidFill>
                          <a:srgbClr val="D8EEF4"/>
                        </a:solidFill>
                      </wps:spPr>
                      <wps:bodyPr/>
                    </wps:wsp>
                  </a:graphicData>
                </a:graphic>
              </wp:anchor>
            </w:drawing>
          </mc:Choice>
          <mc:Fallback>
            <w:pict>
              <v:rect id="Shape 94" o:spid="_x0000_s1119" style="position:absolute;margin-left:0pt;margin-top:-0.3499pt;width:118.3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ind w:left="200"/>
        <w:spacing w:after="0"/>
        <w:rPr>
          <w:sz w:val="20"/>
          <w:szCs w:val="20"/>
          <w:color w:val="auto"/>
        </w:rPr>
      </w:pPr>
      <w:r>
        <w:rPr>
          <w:rFonts w:ascii="Times New Roman" w:cs="Times New Roman" w:eastAsia="Times New Roman" w:hAnsi="Times New Roman"/>
          <w:sz w:val="18"/>
          <w:szCs w:val="18"/>
          <w:b w:val="1"/>
          <w:bCs w:val="1"/>
          <w:color w:val="4C4C4E"/>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100" w:type="dxa"/>
            <w:vAlign w:val="bottom"/>
          </w:tcPr>
          <w:p>
            <w:pPr>
              <w:spacing w:after="0"/>
              <w:rPr>
                <w:sz w:val="17"/>
                <w:szCs w:val="17"/>
                <w:color w:val="auto"/>
              </w:rPr>
            </w:pPr>
          </w:p>
        </w:tc>
        <w:tc>
          <w:tcPr>
            <w:tcW w:w="1720" w:type="dxa"/>
            <w:vAlign w:val="bottom"/>
            <w:tcBorders>
              <w:bottom w:val="single" w:sz="8" w:color="4C4C4E"/>
            </w:tcBorders>
          </w:tcPr>
          <w:p>
            <w:pPr>
              <w:spacing w:after="0"/>
              <w:rPr>
                <w:sz w:val="17"/>
                <w:szCs w:val="17"/>
                <w:color w:val="auto"/>
              </w:rPr>
            </w:pPr>
          </w:p>
        </w:tc>
        <w:tc>
          <w:tcPr>
            <w:tcW w:w="20" w:type="dxa"/>
            <w:vAlign w:val="bottom"/>
          </w:tcPr>
          <w:p>
            <w:pPr>
              <w:spacing w:after="0"/>
              <w:rPr>
                <w:sz w:val="17"/>
                <w:szCs w:val="17"/>
                <w:color w:val="auto"/>
              </w:rPr>
            </w:pPr>
          </w:p>
        </w:tc>
      </w:tr>
      <w:tr>
        <w:trPr>
          <w:trHeight w:val="160"/>
        </w:trPr>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C4C4E"/>
              </w:rPr>
              <w:t>Impact to Valuation</w:t>
            </w:r>
          </w:p>
        </w:tc>
        <w:tc>
          <w:tcPr>
            <w:tcW w:w="20" w:type="dxa"/>
            <w:vAlign w:val="bottom"/>
          </w:tcPr>
          <w:p>
            <w:pPr>
              <w:spacing w:after="0"/>
              <w:rPr>
                <w:sz w:val="13"/>
                <w:szCs w:val="13"/>
                <w:color w:val="auto"/>
              </w:rPr>
            </w:pPr>
          </w:p>
        </w:tc>
      </w:tr>
      <w:tr>
        <w:trPr>
          <w:trHeight w:val="184"/>
        </w:trPr>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4C4C4E"/>
              </w:rPr>
              <w:t>Valuation</w:t>
            </w:r>
          </w:p>
        </w:tc>
        <w:tc>
          <w:tcPr>
            <w:tcW w:w="100" w:type="dxa"/>
            <w:vAlign w:val="bottom"/>
          </w:tcPr>
          <w:p>
            <w:pPr>
              <w:spacing w:after="0"/>
              <w:rPr>
                <w:sz w:val="16"/>
                <w:szCs w:val="16"/>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4C4C4E"/>
              </w:rPr>
              <w:t>Unobservable</w:t>
            </w:r>
          </w:p>
        </w:tc>
        <w:tc>
          <w:tcPr>
            <w:tcW w:w="1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w w:val="99"/>
              </w:rPr>
              <w:t>Range (Weighted</w:t>
            </w:r>
          </w:p>
        </w:tc>
        <w:tc>
          <w:tcPr>
            <w:tcW w:w="100" w:type="dxa"/>
            <w:vAlign w:val="bottom"/>
          </w:tcPr>
          <w:p>
            <w:pPr>
              <w:spacing w:after="0"/>
              <w:rPr>
                <w:sz w:val="16"/>
                <w:szCs w:val="16"/>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4C4C4E"/>
              </w:rPr>
              <w:t>from an</w:t>
            </w:r>
          </w:p>
        </w:tc>
      </w:tr>
      <w:tr>
        <w:trPr>
          <w:trHeight w:val="203"/>
        </w:trPr>
        <w:tc>
          <w:tcPr>
            <w:tcW w:w="120" w:type="dxa"/>
            <w:vAlign w:val="bottom"/>
            <w:tcBorders>
              <w:bottom w:val="single" w:sz="8" w:color="4C4C4E"/>
            </w:tcBorders>
          </w:tcPr>
          <w:p>
            <w:pPr>
              <w:spacing w:after="0"/>
              <w:rPr>
                <w:sz w:val="17"/>
                <w:szCs w:val="17"/>
                <w:color w:val="auto"/>
              </w:rPr>
            </w:pPr>
          </w:p>
        </w:tc>
        <w:tc>
          <w:tcPr>
            <w:tcW w:w="880" w:type="dxa"/>
            <w:vAlign w:val="bottom"/>
            <w:tcBorders>
              <w:bottom w:val="single" w:sz="8" w:color="4C4C4E"/>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4C4C4E"/>
                <w:w w:val="98"/>
              </w:rPr>
              <w:t>Fair Value</w:t>
            </w:r>
          </w:p>
        </w:tc>
        <w:tc>
          <w:tcPr>
            <w:tcW w:w="220" w:type="dxa"/>
            <w:vAlign w:val="bottom"/>
            <w:tcBorders>
              <w:bottom w:val="single" w:sz="8" w:color="D8EEF4"/>
            </w:tcBorders>
          </w:tcPr>
          <w:p>
            <w:pPr>
              <w:spacing w:after="0"/>
              <w:rPr>
                <w:sz w:val="17"/>
                <w:szCs w:val="17"/>
                <w:color w:val="auto"/>
              </w:rPr>
            </w:pPr>
          </w:p>
        </w:tc>
        <w:tc>
          <w:tcPr>
            <w:tcW w:w="1620" w:type="dxa"/>
            <w:vAlign w:val="bottom"/>
            <w:tcBorders>
              <w:bottom w:val="single" w:sz="8" w:color="4C4C4E"/>
            </w:tcBorders>
          </w:tcPr>
          <w:p>
            <w:pPr>
              <w:ind w:left="440"/>
              <w:spacing w:after="0"/>
              <w:rPr>
                <w:sz w:val="20"/>
                <w:szCs w:val="20"/>
                <w:color w:val="auto"/>
              </w:rPr>
            </w:pPr>
            <w:r>
              <w:rPr>
                <w:rFonts w:ascii="Times New Roman" w:cs="Times New Roman" w:eastAsia="Times New Roman" w:hAnsi="Times New Roman"/>
                <w:sz w:val="16"/>
                <w:szCs w:val="16"/>
                <w:b w:val="1"/>
                <w:bCs w:val="1"/>
                <w:color w:val="4C4C4E"/>
              </w:rPr>
              <w:t>Technique</w:t>
            </w:r>
          </w:p>
        </w:tc>
        <w:tc>
          <w:tcPr>
            <w:tcW w:w="100" w:type="dxa"/>
            <w:vAlign w:val="bottom"/>
            <w:tcBorders>
              <w:bottom w:val="single" w:sz="8" w:color="D8EEF4"/>
            </w:tcBorders>
          </w:tcPr>
          <w:p>
            <w:pPr>
              <w:spacing w:after="0"/>
              <w:rPr>
                <w:sz w:val="17"/>
                <w:szCs w:val="17"/>
                <w:color w:val="auto"/>
              </w:rPr>
            </w:pPr>
          </w:p>
        </w:tc>
        <w:tc>
          <w:tcPr>
            <w:tcW w:w="1620" w:type="dxa"/>
            <w:vAlign w:val="bottom"/>
            <w:tcBorders>
              <w:bottom w:val="single" w:sz="8" w:color="4C4C4E"/>
            </w:tcBorders>
          </w:tcPr>
          <w:p>
            <w:pPr>
              <w:ind w:left="620"/>
              <w:spacing w:after="0"/>
              <w:rPr>
                <w:sz w:val="20"/>
                <w:szCs w:val="20"/>
                <w:color w:val="auto"/>
              </w:rPr>
            </w:pPr>
            <w:r>
              <w:rPr>
                <w:rFonts w:ascii="Times New Roman" w:cs="Times New Roman" w:eastAsia="Times New Roman" w:hAnsi="Times New Roman"/>
                <w:sz w:val="16"/>
                <w:szCs w:val="16"/>
                <w:b w:val="1"/>
                <w:bCs w:val="1"/>
                <w:color w:val="4C4C4E"/>
              </w:rPr>
              <w:t>Input</w:t>
            </w:r>
          </w:p>
        </w:tc>
        <w:tc>
          <w:tcPr>
            <w:tcW w:w="120" w:type="dxa"/>
            <w:vAlign w:val="bottom"/>
            <w:tcBorders>
              <w:bottom w:val="single" w:sz="8" w:color="D8EEF4"/>
            </w:tcBorders>
          </w:tcPr>
          <w:p>
            <w:pPr>
              <w:spacing w:after="0"/>
              <w:rPr>
                <w:sz w:val="17"/>
                <w:szCs w:val="17"/>
                <w:color w:val="auto"/>
              </w:rPr>
            </w:pPr>
          </w:p>
        </w:tc>
        <w:tc>
          <w:tcPr>
            <w:tcW w:w="194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6"/>
                <w:szCs w:val="16"/>
                <w:b w:val="1"/>
                <w:bCs w:val="1"/>
                <w:color w:val="4C4C4E"/>
                <w:w w:val="99"/>
              </w:rPr>
              <w:t>Average)</w:t>
            </w:r>
          </w:p>
        </w:tc>
        <w:tc>
          <w:tcPr>
            <w:tcW w:w="100" w:type="dxa"/>
            <w:vAlign w:val="bottom"/>
            <w:tcBorders>
              <w:bottom w:val="single" w:sz="8" w:color="D8EEF4"/>
            </w:tcBorders>
          </w:tcPr>
          <w:p>
            <w:pPr>
              <w:spacing w:after="0"/>
              <w:rPr>
                <w:sz w:val="17"/>
                <w:szCs w:val="17"/>
                <w:color w:val="auto"/>
              </w:rPr>
            </w:pPr>
          </w:p>
        </w:tc>
        <w:tc>
          <w:tcPr>
            <w:tcW w:w="172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6"/>
                <w:szCs w:val="16"/>
                <w:b w:val="1"/>
                <w:bCs w:val="1"/>
                <w:color w:val="4C4C4E"/>
                <w:w w:val="98"/>
              </w:rPr>
              <w:t>Increase to Input</w:t>
            </w:r>
          </w:p>
        </w:tc>
        <w:tc>
          <w:tcPr>
            <w:tcW w:w="20" w:type="dxa"/>
            <w:vAlign w:val="bottom"/>
          </w:tcPr>
          <w:p>
            <w:pPr>
              <w:spacing w:after="0"/>
              <w:rPr>
                <w:sz w:val="17"/>
                <w:szCs w:val="17"/>
                <w:color w:val="auto"/>
              </w:rPr>
            </w:pPr>
          </w:p>
        </w:tc>
      </w:tr>
      <w:tr>
        <w:trPr>
          <w:trHeight w:val="202"/>
        </w:trPr>
        <w:tc>
          <w:tcPr>
            <w:tcW w:w="120" w:type="dxa"/>
            <w:vAlign w:val="bottom"/>
            <w:shd w:val="clear" w:color="auto" w:fill="D8EEF4"/>
          </w:tcPr>
          <w:p>
            <w:pPr>
              <w:jc w:val="right"/>
              <w:spacing w:after="0" w:line="202" w:lineRule="exact"/>
              <w:rPr>
                <w:sz w:val="20"/>
                <w:szCs w:val="20"/>
                <w:color w:val="auto"/>
              </w:rPr>
            </w:pPr>
            <w:r>
              <w:rPr>
                <w:rFonts w:ascii="Times New Roman" w:cs="Times New Roman" w:eastAsia="Times New Roman" w:hAnsi="Times New Roman"/>
                <w:sz w:val="18"/>
                <w:szCs w:val="18"/>
                <w:color w:val="4C4C4E"/>
                <w:w w:val="88"/>
                <w:shd w:val="clear" w:color="auto" w:fill="D8EEF4"/>
              </w:rPr>
              <w:t>$</w:t>
            </w:r>
          </w:p>
        </w:tc>
        <w:tc>
          <w:tcPr>
            <w:tcW w:w="880" w:type="dxa"/>
            <w:vAlign w:val="bottom"/>
            <w:shd w:val="clear" w:color="auto" w:fill="D8EEF4"/>
          </w:tcPr>
          <w:p>
            <w:pPr>
              <w:jc w:val="right"/>
              <w:spacing w:after="0" w:line="202" w:lineRule="exact"/>
              <w:rPr>
                <w:sz w:val="20"/>
                <w:szCs w:val="20"/>
                <w:color w:val="auto"/>
              </w:rPr>
            </w:pPr>
            <w:r>
              <w:rPr>
                <w:rFonts w:ascii="Times New Roman" w:cs="Times New Roman" w:eastAsia="Times New Roman" w:hAnsi="Times New Roman"/>
                <w:sz w:val="18"/>
                <w:szCs w:val="18"/>
                <w:color w:val="4C4C4E"/>
                <w:shd w:val="clear" w:color="auto" w:fill="D8EEF4"/>
              </w:rPr>
              <w:t>2,956,297</w:t>
            </w:r>
          </w:p>
        </w:tc>
        <w:tc>
          <w:tcPr>
            <w:tcW w:w="220" w:type="dxa"/>
            <w:vAlign w:val="bottom"/>
            <w:shd w:val="clear" w:color="auto" w:fill="D8EEF4"/>
          </w:tcPr>
          <w:p>
            <w:pPr>
              <w:spacing w:after="0"/>
              <w:rPr>
                <w:sz w:val="17"/>
                <w:szCs w:val="17"/>
                <w:color w:val="auto"/>
              </w:rPr>
            </w:pPr>
          </w:p>
        </w:tc>
        <w:tc>
          <w:tcPr>
            <w:tcW w:w="1620" w:type="dxa"/>
            <w:vAlign w:val="bottom"/>
            <w:shd w:val="clear" w:color="auto" w:fill="D8EEF4"/>
          </w:tcPr>
          <w:p>
            <w:pPr>
              <w:spacing w:after="0" w:line="202" w:lineRule="exact"/>
              <w:rPr>
                <w:sz w:val="20"/>
                <w:szCs w:val="20"/>
                <w:color w:val="auto"/>
              </w:rPr>
            </w:pPr>
            <w:r>
              <w:rPr>
                <w:rFonts w:ascii="Times New Roman" w:cs="Times New Roman" w:eastAsia="Times New Roman" w:hAnsi="Times New Roman"/>
                <w:sz w:val="17"/>
                <w:szCs w:val="17"/>
                <w:color w:val="4C4C4E"/>
              </w:rPr>
              <w:t xml:space="preserve">Income approach </w:t>
            </w:r>
            <w:r>
              <w:rPr>
                <w:rFonts w:ascii="Times New Roman" w:cs="Times New Roman" w:eastAsia="Times New Roman" w:hAnsi="Times New Roman"/>
                <w:sz w:val="23"/>
                <w:szCs w:val="23"/>
                <w:color w:val="4C4C4E"/>
                <w:vertAlign w:val="superscript"/>
              </w:rPr>
              <w:t>(1)</w:t>
            </w:r>
          </w:p>
        </w:tc>
        <w:tc>
          <w:tcPr>
            <w:tcW w:w="100" w:type="dxa"/>
            <w:vAlign w:val="bottom"/>
            <w:shd w:val="clear" w:color="auto" w:fill="D8EEF4"/>
          </w:tcPr>
          <w:p>
            <w:pPr>
              <w:spacing w:after="0"/>
              <w:rPr>
                <w:sz w:val="17"/>
                <w:szCs w:val="17"/>
                <w:color w:val="auto"/>
              </w:rPr>
            </w:pPr>
          </w:p>
        </w:tc>
        <w:tc>
          <w:tcPr>
            <w:tcW w:w="1620" w:type="dxa"/>
            <w:vAlign w:val="bottom"/>
            <w:shd w:val="clear" w:color="auto" w:fill="D8EEF4"/>
          </w:tcPr>
          <w:p>
            <w:pPr>
              <w:spacing w:after="0" w:line="202" w:lineRule="exact"/>
              <w:rPr>
                <w:sz w:val="20"/>
                <w:szCs w:val="20"/>
                <w:color w:val="auto"/>
              </w:rPr>
            </w:pPr>
            <w:r>
              <w:rPr>
                <w:rFonts w:ascii="Times New Roman" w:cs="Times New Roman" w:eastAsia="Times New Roman" w:hAnsi="Times New Roman"/>
                <w:sz w:val="18"/>
                <w:szCs w:val="18"/>
                <w:color w:val="4C4C4E"/>
              </w:rPr>
              <w:t>Discount rate</w:t>
            </w:r>
          </w:p>
        </w:tc>
        <w:tc>
          <w:tcPr>
            <w:tcW w:w="120" w:type="dxa"/>
            <w:vAlign w:val="bottom"/>
            <w:shd w:val="clear" w:color="auto" w:fill="D8EEF4"/>
          </w:tcPr>
          <w:p>
            <w:pPr>
              <w:spacing w:after="0"/>
              <w:rPr>
                <w:sz w:val="17"/>
                <w:szCs w:val="17"/>
                <w:color w:val="auto"/>
              </w:rPr>
            </w:pPr>
          </w:p>
        </w:tc>
        <w:tc>
          <w:tcPr>
            <w:tcW w:w="1940" w:type="dxa"/>
            <w:vAlign w:val="bottom"/>
            <w:shd w:val="clear" w:color="auto" w:fill="D8EEF4"/>
          </w:tcPr>
          <w:p>
            <w:pPr>
              <w:jc w:val="center"/>
              <w:spacing w:after="0" w:line="202" w:lineRule="exact"/>
              <w:rPr>
                <w:sz w:val="20"/>
                <w:szCs w:val="20"/>
                <w:color w:val="auto"/>
              </w:rPr>
            </w:pPr>
            <w:r>
              <w:rPr>
                <w:rFonts w:ascii="Times New Roman" w:cs="Times New Roman" w:eastAsia="Times New Roman" w:hAnsi="Times New Roman"/>
                <w:sz w:val="18"/>
                <w:szCs w:val="18"/>
                <w:color w:val="4C4C4E"/>
                <w:w w:val="99"/>
              </w:rPr>
              <w:t>6.6% — 17.5% (11.0%)</w:t>
            </w:r>
          </w:p>
        </w:tc>
        <w:tc>
          <w:tcPr>
            <w:tcW w:w="100" w:type="dxa"/>
            <w:vAlign w:val="bottom"/>
            <w:shd w:val="clear" w:color="auto" w:fill="D8EEF4"/>
          </w:tcPr>
          <w:p>
            <w:pPr>
              <w:spacing w:after="0"/>
              <w:rPr>
                <w:sz w:val="17"/>
                <w:szCs w:val="17"/>
                <w:color w:val="auto"/>
              </w:rPr>
            </w:pPr>
          </w:p>
        </w:tc>
        <w:tc>
          <w:tcPr>
            <w:tcW w:w="1740" w:type="dxa"/>
            <w:vAlign w:val="bottom"/>
            <w:gridSpan w:val="2"/>
            <w:shd w:val="clear" w:color="auto" w:fill="D8EEF4"/>
          </w:tcPr>
          <w:p>
            <w:pPr>
              <w:spacing w:after="0" w:line="202" w:lineRule="exact"/>
              <w:rPr>
                <w:sz w:val="20"/>
                <w:szCs w:val="20"/>
                <w:color w:val="auto"/>
              </w:rPr>
            </w:pPr>
            <w:r>
              <w:rPr>
                <w:rFonts w:ascii="Times New Roman" w:cs="Times New Roman" w:eastAsia="Times New Roman" w:hAnsi="Times New Roman"/>
                <w:sz w:val="18"/>
                <w:szCs w:val="18"/>
                <w:color w:val="4C4C4E"/>
              </w:rPr>
              <w:t>Decrease</w:t>
            </w:r>
          </w:p>
        </w:tc>
      </w:tr>
      <w:tr>
        <w:trPr>
          <w:trHeight w:val="189"/>
        </w:trPr>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4C4C4E"/>
              </w:rPr>
              <w:t>30,456</w:t>
            </w:r>
          </w:p>
        </w:tc>
        <w:tc>
          <w:tcPr>
            <w:tcW w:w="220" w:type="dxa"/>
            <w:vAlign w:val="bottom"/>
          </w:tcPr>
          <w:p>
            <w:pPr>
              <w:spacing w:after="0"/>
              <w:rPr>
                <w:sz w:val="16"/>
                <w:szCs w:val="16"/>
                <w:color w:val="auto"/>
              </w:rPr>
            </w:pP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4C4C4E"/>
              </w:rPr>
              <w:t>Income approach</w:t>
            </w:r>
          </w:p>
        </w:tc>
        <w:tc>
          <w:tcPr>
            <w:tcW w:w="100" w:type="dxa"/>
            <w:vAlign w:val="bottom"/>
          </w:tcPr>
          <w:p>
            <w:pPr>
              <w:spacing w:after="0"/>
              <w:rPr>
                <w:sz w:val="16"/>
                <w:szCs w:val="16"/>
                <w:color w:val="auto"/>
              </w:rPr>
            </w:pP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4C4C4E"/>
              </w:rPr>
              <w:t>Discount rate</w:t>
            </w:r>
          </w:p>
        </w:tc>
        <w:tc>
          <w:tcPr>
            <w:tcW w:w="120" w:type="dxa"/>
            <w:vAlign w:val="bottom"/>
          </w:tcPr>
          <w:p>
            <w:pPr>
              <w:spacing w:after="0"/>
              <w:rPr>
                <w:sz w:val="16"/>
                <w:szCs w:val="16"/>
                <w:color w:val="auto"/>
              </w:rPr>
            </w:pP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4C4C4E"/>
              </w:rPr>
              <w:t>12.5% — 15.3% (14.2%)</w:t>
            </w:r>
          </w:p>
        </w:tc>
        <w:tc>
          <w:tcPr>
            <w:tcW w:w="100" w:type="dxa"/>
            <w:vAlign w:val="bottom"/>
          </w:tcPr>
          <w:p>
            <w:pPr>
              <w:spacing w:after="0"/>
              <w:rPr>
                <w:sz w:val="16"/>
                <w:szCs w:val="16"/>
                <w:color w:val="auto"/>
              </w:rPr>
            </w:pPr>
          </w:p>
        </w:tc>
        <w:tc>
          <w:tcPr>
            <w:tcW w:w="17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4C4C4E"/>
              </w:rPr>
              <w:t>Decrease</w:t>
            </w:r>
          </w:p>
        </w:tc>
      </w:tr>
      <w:tr>
        <w:trPr>
          <w:trHeight w:val="207"/>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61,684</w:t>
            </w:r>
          </w:p>
        </w:tc>
        <w:tc>
          <w:tcPr>
            <w:tcW w:w="220" w:type="dxa"/>
            <w:vAlign w:val="bottom"/>
          </w:tcPr>
          <w:p>
            <w:pPr>
              <w:spacing w:after="0"/>
              <w:rPr>
                <w:sz w:val="17"/>
                <w:szCs w:val="17"/>
                <w:color w:val="auto"/>
              </w:rPr>
            </w:pPr>
          </w:p>
        </w:tc>
        <w:tc>
          <w:tcPr>
            <w:tcW w:w="1620" w:type="dxa"/>
            <w:vAlign w:val="bottom"/>
          </w:tcPr>
          <w:p>
            <w:pPr>
              <w:spacing w:after="0" w:line="207" w:lineRule="exact"/>
              <w:rPr>
                <w:sz w:val="20"/>
                <w:szCs w:val="20"/>
                <w:color w:val="auto"/>
              </w:rPr>
            </w:pPr>
            <w:r>
              <w:rPr>
                <w:rFonts w:ascii="Times New Roman" w:cs="Times New Roman" w:eastAsia="Times New Roman" w:hAnsi="Times New Roman"/>
                <w:sz w:val="17"/>
                <w:szCs w:val="17"/>
                <w:color w:val="4C4C4E"/>
              </w:rPr>
              <w:t xml:space="preserve">Income approach </w:t>
            </w:r>
            <w:r>
              <w:rPr>
                <w:rFonts w:ascii="Times New Roman" w:cs="Times New Roman" w:eastAsia="Times New Roman" w:hAnsi="Times New Roman"/>
                <w:sz w:val="23"/>
                <w:szCs w:val="23"/>
                <w:color w:val="4C4C4E"/>
                <w:vertAlign w:val="superscript"/>
              </w:rPr>
              <w:t>(2)</w:t>
            </w:r>
          </w:p>
        </w:tc>
        <w:tc>
          <w:tcPr>
            <w:tcW w:w="100" w:type="dxa"/>
            <w:vAlign w:val="bottom"/>
          </w:tcPr>
          <w:p>
            <w:pPr>
              <w:spacing w:after="0"/>
              <w:rPr>
                <w:sz w:val="17"/>
                <w:szCs w:val="17"/>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4C4C4E"/>
              </w:rPr>
              <w:t>Discount rate</w:t>
            </w: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4C4C4E"/>
              </w:rPr>
              <w:t>10.8% — 20.0% (11.1%)</w:t>
            </w:r>
          </w:p>
        </w:tc>
        <w:tc>
          <w:tcPr>
            <w:tcW w:w="1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4C4C4E"/>
              </w:rPr>
              <w:t>Decrease</w:t>
            </w:r>
          </w:p>
        </w:tc>
      </w:tr>
      <w:tr>
        <w:trPr>
          <w:trHeight w:val="225"/>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133,397</w:t>
            </w:r>
          </w:p>
        </w:tc>
        <w:tc>
          <w:tcPr>
            <w:tcW w:w="220" w:type="dxa"/>
            <w:vAlign w:val="bottom"/>
          </w:tcPr>
          <w:p>
            <w:pPr>
              <w:spacing w:after="0"/>
              <w:rPr>
                <w:sz w:val="19"/>
                <w:szCs w:val="19"/>
                <w:color w:val="auto"/>
              </w:rPr>
            </w:pPr>
          </w:p>
        </w:tc>
        <w:tc>
          <w:tcPr>
            <w:tcW w:w="1620" w:type="dxa"/>
            <w:vAlign w:val="bottom"/>
          </w:tcPr>
          <w:p>
            <w:pPr>
              <w:spacing w:after="0" w:line="225" w:lineRule="exact"/>
              <w:rPr>
                <w:sz w:val="20"/>
                <w:szCs w:val="20"/>
                <w:color w:val="auto"/>
              </w:rPr>
            </w:pPr>
            <w:r>
              <w:rPr>
                <w:rFonts w:ascii="Times New Roman" w:cs="Times New Roman" w:eastAsia="Times New Roman" w:hAnsi="Times New Roman"/>
                <w:sz w:val="18"/>
                <w:szCs w:val="18"/>
                <w:color w:val="4C4C4E"/>
              </w:rPr>
              <w:t xml:space="preserve">Market Multiple </w:t>
            </w:r>
            <w:r>
              <w:rPr>
                <w:rFonts w:ascii="Times New Roman" w:cs="Times New Roman" w:eastAsia="Times New Roman" w:hAnsi="Times New Roman"/>
                <w:sz w:val="24"/>
                <w:szCs w:val="24"/>
                <w:color w:val="4C4C4E"/>
                <w:vertAlign w:val="superscript"/>
              </w:rPr>
              <w:t>(3)</w:t>
            </w:r>
          </w:p>
        </w:tc>
        <w:tc>
          <w:tcPr>
            <w:tcW w:w="10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4C4C4E"/>
              </w:rPr>
              <w:t>Comparable multiple</w:t>
            </w:r>
          </w:p>
        </w:tc>
        <w:tc>
          <w:tcPr>
            <w:tcW w:w="1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4C4C4E"/>
                <w:w w:val="99"/>
              </w:rPr>
              <w:t>1.8x — 25.0x (10.4x)</w:t>
            </w:r>
          </w:p>
        </w:tc>
        <w:tc>
          <w:tcPr>
            <w:tcW w:w="10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4C4C4E"/>
              </w:rPr>
              <w:t>Increase</w:t>
            </w:r>
          </w:p>
        </w:tc>
      </w:tr>
      <w:tr>
        <w:trPr>
          <w:trHeight w:val="222"/>
        </w:trPr>
        <w:tc>
          <w:tcPr>
            <w:tcW w:w="120" w:type="dxa"/>
            <w:vAlign w:val="bottom"/>
            <w:tcBorders>
              <w:top w:val="single" w:sz="8" w:color="4C4C4E"/>
              <w:bottom w:val="single" w:sz="8" w:color="4C4C4E"/>
            </w:tcBorders>
            <w:shd w:val="clear" w:color="auto" w:fill="D8EEF4"/>
          </w:tcPr>
          <w:p>
            <w:pPr>
              <w:jc w:val="right"/>
              <w:spacing w:after="0" w:line="202" w:lineRule="exact"/>
              <w:rPr>
                <w:sz w:val="20"/>
                <w:szCs w:val="20"/>
                <w:color w:val="auto"/>
              </w:rPr>
            </w:pPr>
            <w:r>
              <w:rPr>
                <w:rFonts w:ascii="Times New Roman" w:cs="Times New Roman" w:eastAsia="Times New Roman" w:hAnsi="Times New Roman"/>
                <w:sz w:val="18"/>
                <w:szCs w:val="18"/>
                <w:color w:val="4C4C4E"/>
                <w:w w:val="88"/>
                <w:shd w:val="clear" w:color="auto" w:fill="D8EEF4"/>
              </w:rPr>
              <w:t>$</w:t>
            </w:r>
          </w:p>
        </w:tc>
        <w:tc>
          <w:tcPr>
            <w:tcW w:w="880" w:type="dxa"/>
            <w:vAlign w:val="bottom"/>
            <w:tcBorders>
              <w:top w:val="single" w:sz="8" w:color="4C4C4E"/>
              <w:bottom w:val="single" w:sz="8" w:color="4C4C4E"/>
            </w:tcBorders>
            <w:shd w:val="clear" w:color="auto" w:fill="D8EEF4"/>
          </w:tcPr>
          <w:p>
            <w:pPr>
              <w:jc w:val="right"/>
              <w:spacing w:after="0" w:line="202" w:lineRule="exact"/>
              <w:rPr>
                <w:sz w:val="20"/>
                <w:szCs w:val="20"/>
                <w:color w:val="auto"/>
              </w:rPr>
            </w:pPr>
            <w:r>
              <w:rPr>
                <w:rFonts w:ascii="Times New Roman" w:cs="Times New Roman" w:eastAsia="Times New Roman" w:hAnsi="Times New Roman"/>
                <w:sz w:val="18"/>
                <w:szCs w:val="18"/>
                <w:color w:val="4C4C4E"/>
                <w:shd w:val="clear" w:color="auto" w:fill="D8EEF4"/>
              </w:rPr>
              <w:t>3,181,834</w:t>
            </w:r>
          </w:p>
        </w:tc>
        <w:tc>
          <w:tcPr>
            <w:tcW w:w="220" w:type="dxa"/>
            <w:vAlign w:val="bottom"/>
            <w:tcBorders>
              <w:top w:val="single" w:sz="8" w:color="D8EEF4"/>
              <w:bottom w:val="single" w:sz="8" w:color="D8EEF4"/>
            </w:tcBorders>
            <w:shd w:val="clear" w:color="auto" w:fill="D8EEF4"/>
          </w:tcPr>
          <w:p>
            <w:pPr>
              <w:spacing w:after="0"/>
              <w:rPr>
                <w:sz w:val="19"/>
                <w:szCs w:val="19"/>
                <w:color w:val="auto"/>
              </w:rPr>
            </w:pPr>
          </w:p>
        </w:tc>
        <w:tc>
          <w:tcPr>
            <w:tcW w:w="1620" w:type="dxa"/>
            <w:vAlign w:val="bottom"/>
            <w:tcBorders>
              <w:top w:val="single" w:sz="8" w:color="4C4C4E"/>
              <w:bottom w:val="single" w:sz="8" w:color="D8EEF4"/>
            </w:tcBorders>
            <w:shd w:val="clear" w:color="auto" w:fill="D8EEF4"/>
          </w:tcPr>
          <w:p>
            <w:pPr>
              <w:spacing w:after="0"/>
              <w:rPr>
                <w:sz w:val="19"/>
                <w:szCs w:val="19"/>
                <w:color w:val="auto"/>
              </w:rPr>
            </w:pPr>
          </w:p>
        </w:tc>
        <w:tc>
          <w:tcPr>
            <w:tcW w:w="100" w:type="dxa"/>
            <w:vAlign w:val="bottom"/>
            <w:tcBorders>
              <w:top w:val="single" w:sz="8" w:color="D8EEF4"/>
              <w:bottom w:val="single" w:sz="8" w:color="D8EEF4"/>
            </w:tcBorders>
            <w:shd w:val="clear" w:color="auto" w:fill="D8EEF4"/>
          </w:tcPr>
          <w:p>
            <w:pPr>
              <w:spacing w:after="0"/>
              <w:rPr>
                <w:sz w:val="19"/>
                <w:szCs w:val="19"/>
                <w:color w:val="auto"/>
              </w:rPr>
            </w:pPr>
          </w:p>
        </w:tc>
        <w:tc>
          <w:tcPr>
            <w:tcW w:w="1620" w:type="dxa"/>
            <w:vAlign w:val="bottom"/>
            <w:tcBorders>
              <w:top w:val="single" w:sz="8" w:color="4C4C4E"/>
              <w:bottom w:val="single" w:sz="8" w:color="D8EEF4"/>
            </w:tcBorders>
            <w:shd w:val="clear" w:color="auto" w:fill="D8EEF4"/>
          </w:tcPr>
          <w:p>
            <w:pPr>
              <w:spacing w:after="0"/>
              <w:rPr>
                <w:sz w:val="19"/>
                <w:szCs w:val="19"/>
                <w:color w:val="auto"/>
              </w:rPr>
            </w:pPr>
          </w:p>
        </w:tc>
        <w:tc>
          <w:tcPr>
            <w:tcW w:w="120" w:type="dxa"/>
            <w:vAlign w:val="bottom"/>
            <w:tcBorders>
              <w:top w:val="single" w:sz="8" w:color="D8EEF4"/>
              <w:bottom w:val="single" w:sz="8" w:color="D8EEF4"/>
            </w:tcBorders>
            <w:shd w:val="clear" w:color="auto" w:fill="D8EEF4"/>
          </w:tcPr>
          <w:p>
            <w:pPr>
              <w:spacing w:after="0"/>
              <w:rPr>
                <w:sz w:val="19"/>
                <w:szCs w:val="19"/>
                <w:color w:val="auto"/>
              </w:rPr>
            </w:pPr>
          </w:p>
        </w:tc>
        <w:tc>
          <w:tcPr>
            <w:tcW w:w="1940" w:type="dxa"/>
            <w:vAlign w:val="bottom"/>
            <w:tcBorders>
              <w:top w:val="single" w:sz="8" w:color="4C4C4E"/>
              <w:bottom w:val="single" w:sz="8" w:color="D8EEF4"/>
            </w:tcBorders>
            <w:shd w:val="clear" w:color="auto" w:fill="D8EEF4"/>
          </w:tcPr>
          <w:p>
            <w:pPr>
              <w:spacing w:after="0"/>
              <w:rPr>
                <w:sz w:val="19"/>
                <w:szCs w:val="19"/>
                <w:color w:val="auto"/>
              </w:rPr>
            </w:pPr>
          </w:p>
        </w:tc>
        <w:tc>
          <w:tcPr>
            <w:tcW w:w="100" w:type="dxa"/>
            <w:vAlign w:val="bottom"/>
            <w:tcBorders>
              <w:top w:val="single" w:sz="8" w:color="D8EEF4"/>
              <w:bottom w:val="single" w:sz="8" w:color="D8EEF4"/>
            </w:tcBorders>
            <w:shd w:val="clear" w:color="auto" w:fill="D8EEF4"/>
          </w:tcPr>
          <w:p>
            <w:pPr>
              <w:spacing w:after="0"/>
              <w:rPr>
                <w:sz w:val="19"/>
                <w:szCs w:val="19"/>
                <w:color w:val="auto"/>
              </w:rPr>
            </w:pPr>
          </w:p>
        </w:tc>
        <w:tc>
          <w:tcPr>
            <w:tcW w:w="1720" w:type="dxa"/>
            <w:vAlign w:val="bottom"/>
            <w:tcBorders>
              <w:top w:val="single" w:sz="8" w:color="4C4C4E"/>
              <w:bottom w:val="single" w:sz="8" w:color="D8EEF4"/>
            </w:tcBorders>
            <w:shd w:val="clear" w:color="auto" w:fill="D8EEF4"/>
          </w:tcPr>
          <w:p>
            <w:pPr>
              <w:spacing w:after="0"/>
              <w:rPr>
                <w:sz w:val="19"/>
                <w:szCs w:val="19"/>
                <w:color w:val="auto"/>
              </w:rPr>
            </w:pPr>
          </w:p>
        </w:tc>
        <w:tc>
          <w:tcPr>
            <w:tcW w:w="20" w:type="dxa"/>
            <w:vAlign w:val="bottom"/>
            <w:tcBorders>
              <w:bottom w:val="single" w:sz="8" w:color="D8EEF4"/>
            </w:tcBorders>
            <w:shd w:val="clear" w:color="auto" w:fill="D8EEF4"/>
          </w:tcPr>
          <w:p>
            <w:pPr>
              <w:spacing w:after="0"/>
              <w:rPr>
                <w:sz w:val="19"/>
                <w:szCs w:val="19"/>
                <w:color w:val="auto"/>
              </w:rPr>
            </w:pPr>
          </w:p>
        </w:tc>
      </w:tr>
      <w:tr>
        <w:trPr>
          <w:trHeight w:val="20"/>
        </w:trPr>
        <w:tc>
          <w:tcPr>
            <w:tcW w:w="120" w:type="dxa"/>
            <w:vAlign w:val="bottom"/>
            <w:tcBorders>
              <w:bottom w:val="single" w:sz="8" w:color="4C4C4E"/>
            </w:tcBorders>
          </w:tcPr>
          <w:p>
            <w:pPr>
              <w:spacing w:after="0" w:line="20" w:lineRule="exact"/>
              <w:rPr>
                <w:sz w:val="1"/>
                <w:szCs w:val="1"/>
                <w:color w:val="auto"/>
              </w:rPr>
            </w:pPr>
          </w:p>
        </w:tc>
        <w:tc>
          <w:tcPr>
            <w:tcW w:w="88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-1498600</wp:posOffset>
                </wp:positionH>
                <wp:positionV relativeFrom="paragraph">
                  <wp:posOffset>-431800</wp:posOffset>
                </wp:positionV>
                <wp:extent cx="6858000" cy="13144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31445"/>
                        </a:xfrm>
                        <a:prstGeom prst="rect">
                          <a:avLst/>
                        </a:prstGeom>
                        <a:solidFill>
                          <a:srgbClr val="D8EEF4"/>
                        </a:solidFill>
                      </wps:spPr>
                      <wps:bodyPr/>
                    </wps:wsp>
                  </a:graphicData>
                </a:graphic>
              </wp:anchor>
            </w:drawing>
          </mc:Choice>
          <mc:Fallback>
            <w:pict>
              <v:rect id="Shape 95" o:spid="_x0000_s1120" style="position:absolute;margin-left:-118pt;margin-top:-34pt;width:540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drawing>
          <wp:anchor simplePos="0" relativeHeight="251657728" behindDoc="1" locked="0" layoutInCell="0" allowOverlap="1">
            <wp:simplePos x="0" y="0"/>
            <wp:positionH relativeFrom="column">
              <wp:posOffset>-14605</wp:posOffset>
            </wp:positionH>
            <wp:positionV relativeFrom="paragraph">
              <wp:posOffset>-1078230</wp:posOffset>
            </wp:positionV>
            <wp:extent cx="430339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3">
                      <a:extLst>
                        <a:ext uri="{28A0092B-C50C-407E-A947-70E740481C1C}"/>
                      </a:extLst>
                    </a:blip>
                    <a:srcRect/>
                    <a:stretch>
                      <a:fillRect/>
                    </a:stretch>
                  </pic:blipFill>
                  <pic:spPr bwMode="auto">
                    <a:xfrm>
                      <a:off x="0" y="0"/>
                      <a:ext cx="4303395" cy="381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2120" w:space="240"/>
            <w:col w:w="8440"/>
          </w:cols>
          <w:pgMar w:left="540" w:top="750" w:right="540" w:bottom="6" w:gutter="0" w:footer="0" w:header="0"/>
          <w:type w:val="continuous"/>
        </w:sectPr>
      </w:pPr>
    </w:p>
    <w:p>
      <w:pPr>
        <w:spacing w:after="0" w:line="39" w:lineRule="exact"/>
        <w:rPr>
          <w:sz w:val="20"/>
          <w:szCs w:val="20"/>
          <w:color w:val="auto"/>
        </w:rPr>
      </w:pPr>
    </w:p>
    <w:p>
      <w:pPr>
        <w:ind w:left="500" w:hanging="500"/>
        <w:spacing w:after="0"/>
        <w:tabs>
          <w:tab w:leader="none" w:pos="500" w:val="left"/>
        </w:tabs>
        <w:numPr>
          <w:ilvl w:val="0"/>
          <w:numId w:val="9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Includes $105.9 million of debt investments which were valued using an asset valuation waterfall.</w:t>
      </w:r>
    </w:p>
    <w:p>
      <w:pPr>
        <w:spacing w:after="0" w:line="36" w:lineRule="exact"/>
        <w:rPr>
          <w:rFonts w:ascii="Times New Roman" w:cs="Times New Roman" w:eastAsia="Times New Roman" w:hAnsi="Times New Roman"/>
          <w:sz w:val="20"/>
          <w:szCs w:val="20"/>
          <w:color w:val="4C4C4E"/>
        </w:rPr>
      </w:pPr>
    </w:p>
    <w:p>
      <w:pPr>
        <w:ind w:left="480" w:hanging="480"/>
        <w:spacing w:after="0"/>
        <w:tabs>
          <w:tab w:leader="none" w:pos="480" w:val="left"/>
        </w:tabs>
        <w:numPr>
          <w:ilvl w:val="0"/>
          <w:numId w:val="9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Includes $0.1 million of debt investments which were valued using an asset valuation waterfall.</w:t>
      </w:r>
    </w:p>
    <w:p>
      <w:pPr>
        <w:spacing w:after="0" w:line="26" w:lineRule="exact"/>
        <w:rPr>
          <w:rFonts w:ascii="Times New Roman" w:cs="Times New Roman" w:eastAsia="Times New Roman" w:hAnsi="Times New Roman"/>
          <w:sz w:val="20"/>
          <w:szCs w:val="20"/>
          <w:color w:val="4C4C4E"/>
        </w:rPr>
      </w:pPr>
    </w:p>
    <w:p>
      <w:pPr>
        <w:ind w:left="500" w:right="220" w:hanging="500"/>
        <w:spacing w:after="0" w:line="252" w:lineRule="auto"/>
        <w:tabs>
          <w:tab w:leader="none" w:pos="500" w:val="left"/>
        </w:tabs>
        <w:numPr>
          <w:ilvl w:val="0"/>
          <w:numId w:val="9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Includes $13.1 million of equity investments which were valued using an asset valuation waterfall and $20.1 million of equity investments using a discounted cash flow analysis.</w:t>
      </w:r>
    </w:p>
    <w:p>
      <w:pPr>
        <w:sectPr>
          <w:pgSz w:w="11880" w:h="15480" w:orient="portrait"/>
          <w:cols w:equalWidth="0" w:num="1">
            <w:col w:w="10800"/>
          </w:cols>
          <w:pgMar w:left="540" w:top="750" w:right="540" w:bottom="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F-39</w:t>
      </w:r>
    </w:p>
    <w:p>
      <w:pPr>
        <w:sectPr>
          <w:pgSz w:w="11880" w:h="15480" w:orient="portrait"/>
          <w:cols w:equalWidth="0" w:num="1">
            <w:col w:w="10800"/>
          </w:cols>
          <w:pgMar w:left="540" w:top="750" w:right="540" w:bottom="6"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100" w:type="dxa"/>
            <w:vAlign w:val="bottom"/>
          </w:tcPr>
          <w:p>
            <w:pPr>
              <w:spacing w:after="0"/>
              <w:rPr>
                <w:sz w:val="17"/>
                <w:szCs w:val="17"/>
                <w:color w:val="auto"/>
              </w:rPr>
            </w:pPr>
          </w:p>
        </w:tc>
        <w:tc>
          <w:tcPr>
            <w:tcW w:w="1600" w:type="dxa"/>
            <w:vAlign w:val="bottom"/>
            <w:tcBorders>
              <w:bottom w:val="single" w:sz="8" w:color="4C4C4E"/>
            </w:tcBorders>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C4C4E"/>
              </w:rPr>
              <w:t>Impact to Valuation</w:t>
            </w:r>
          </w:p>
        </w:tc>
        <w:tc>
          <w:tcPr>
            <w:tcW w:w="20" w:type="dxa"/>
            <w:vAlign w:val="bottom"/>
          </w:tcPr>
          <w:p>
            <w:pPr>
              <w:spacing w:after="0"/>
              <w:rPr>
                <w:sz w:val="15"/>
                <w:szCs w:val="15"/>
                <w:color w:val="auto"/>
              </w:rPr>
            </w:pPr>
          </w:p>
        </w:tc>
      </w:tr>
      <w:tr>
        <w:trPr>
          <w:trHeight w:val="198"/>
        </w:trPr>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4C4C4E"/>
              </w:rPr>
              <w:t>Valuation</w:t>
            </w:r>
          </w:p>
        </w:tc>
        <w:tc>
          <w:tcPr>
            <w:tcW w:w="12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4C4C4E"/>
              </w:rPr>
              <w:t>Unobservable</w:t>
            </w: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rPr>
              <w:t>Range (Weighted</w:t>
            </w:r>
          </w:p>
        </w:tc>
        <w:tc>
          <w:tcPr>
            <w:tcW w:w="100" w:type="dxa"/>
            <w:vAlign w:val="bottom"/>
          </w:tcPr>
          <w:p>
            <w:pPr>
              <w:spacing w:after="0"/>
              <w:rPr>
                <w:sz w:val="17"/>
                <w:szCs w:val="17"/>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4C4C4E"/>
              </w:rPr>
              <w:t>from an</w:t>
            </w:r>
          </w:p>
        </w:tc>
      </w:tr>
      <w:tr>
        <w:trPr>
          <w:trHeight w:val="203"/>
        </w:trPr>
        <w:tc>
          <w:tcPr>
            <w:tcW w:w="262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80" w:type="dxa"/>
            <w:vAlign w:val="bottom"/>
            <w:tcBorders>
              <w:bottom w:val="single" w:sz="8" w:color="4C4C4E"/>
            </w:tcBorders>
          </w:tcPr>
          <w:p>
            <w:pPr>
              <w:spacing w:after="0"/>
              <w:rPr>
                <w:sz w:val="17"/>
                <w:szCs w:val="17"/>
                <w:color w:val="auto"/>
              </w:rPr>
            </w:pPr>
          </w:p>
        </w:tc>
        <w:tc>
          <w:tcPr>
            <w:tcW w:w="840" w:type="dxa"/>
            <w:vAlign w:val="bottom"/>
            <w:tcBorders>
              <w:bottom w:val="single" w:sz="8" w:color="4C4C4E"/>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4C4C4E"/>
                <w:w w:val="98"/>
              </w:rPr>
              <w:t>Fair Value</w:t>
            </w:r>
          </w:p>
        </w:tc>
        <w:tc>
          <w:tcPr>
            <w:tcW w:w="220" w:type="dxa"/>
            <w:vAlign w:val="bottom"/>
            <w:tcBorders>
              <w:bottom w:val="single" w:sz="8" w:color="D8EEF4"/>
            </w:tcBorders>
          </w:tcPr>
          <w:p>
            <w:pPr>
              <w:spacing w:after="0"/>
              <w:rPr>
                <w:sz w:val="17"/>
                <w:szCs w:val="17"/>
                <w:color w:val="auto"/>
              </w:rPr>
            </w:pPr>
          </w:p>
        </w:tc>
        <w:tc>
          <w:tcPr>
            <w:tcW w:w="1600" w:type="dxa"/>
            <w:vAlign w:val="bottom"/>
            <w:tcBorders>
              <w:bottom w:val="single" w:sz="8" w:color="4C4C4E"/>
            </w:tcBorders>
          </w:tcPr>
          <w:p>
            <w:pPr>
              <w:ind w:left="440"/>
              <w:spacing w:after="0"/>
              <w:rPr>
                <w:sz w:val="20"/>
                <w:szCs w:val="20"/>
                <w:color w:val="auto"/>
              </w:rPr>
            </w:pPr>
            <w:r>
              <w:rPr>
                <w:rFonts w:ascii="Times New Roman" w:cs="Times New Roman" w:eastAsia="Times New Roman" w:hAnsi="Times New Roman"/>
                <w:sz w:val="16"/>
                <w:szCs w:val="16"/>
                <w:b w:val="1"/>
                <w:bCs w:val="1"/>
                <w:color w:val="4C4C4E"/>
              </w:rPr>
              <w:t>Technique</w:t>
            </w:r>
          </w:p>
        </w:tc>
        <w:tc>
          <w:tcPr>
            <w:tcW w:w="120" w:type="dxa"/>
            <w:vAlign w:val="bottom"/>
            <w:tcBorders>
              <w:bottom w:val="single" w:sz="8" w:color="D8EEF4"/>
            </w:tcBorders>
          </w:tcPr>
          <w:p>
            <w:pPr>
              <w:spacing w:after="0"/>
              <w:rPr>
                <w:sz w:val="17"/>
                <w:szCs w:val="17"/>
                <w:color w:val="auto"/>
              </w:rPr>
            </w:pPr>
          </w:p>
        </w:tc>
        <w:tc>
          <w:tcPr>
            <w:tcW w:w="1580" w:type="dxa"/>
            <w:vAlign w:val="bottom"/>
            <w:tcBorders>
              <w:bottom w:val="single" w:sz="8" w:color="4C4C4E"/>
            </w:tcBorders>
          </w:tcPr>
          <w:p>
            <w:pPr>
              <w:ind w:left="580"/>
              <w:spacing w:after="0"/>
              <w:rPr>
                <w:sz w:val="20"/>
                <w:szCs w:val="20"/>
                <w:color w:val="auto"/>
              </w:rPr>
            </w:pPr>
            <w:r>
              <w:rPr>
                <w:rFonts w:ascii="Times New Roman" w:cs="Times New Roman" w:eastAsia="Times New Roman" w:hAnsi="Times New Roman"/>
                <w:sz w:val="16"/>
                <w:szCs w:val="16"/>
                <w:b w:val="1"/>
                <w:bCs w:val="1"/>
                <w:color w:val="4C4C4E"/>
              </w:rPr>
              <w:t>Input</w:t>
            </w:r>
          </w:p>
        </w:tc>
        <w:tc>
          <w:tcPr>
            <w:tcW w:w="120" w:type="dxa"/>
            <w:vAlign w:val="bottom"/>
            <w:tcBorders>
              <w:bottom w:val="single" w:sz="8" w:color="D8EEF4"/>
            </w:tcBorders>
          </w:tcPr>
          <w:p>
            <w:pPr>
              <w:spacing w:after="0"/>
              <w:rPr>
                <w:sz w:val="17"/>
                <w:szCs w:val="17"/>
                <w:color w:val="auto"/>
              </w:rPr>
            </w:pPr>
          </w:p>
        </w:tc>
        <w:tc>
          <w:tcPr>
            <w:tcW w:w="190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6"/>
                <w:szCs w:val="16"/>
                <w:b w:val="1"/>
                <w:bCs w:val="1"/>
                <w:color w:val="4C4C4E"/>
                <w:w w:val="99"/>
              </w:rPr>
              <w:t>Average)</w:t>
            </w:r>
          </w:p>
        </w:tc>
        <w:tc>
          <w:tcPr>
            <w:tcW w:w="100" w:type="dxa"/>
            <w:vAlign w:val="bottom"/>
            <w:tcBorders>
              <w:bottom w:val="single" w:sz="8" w:color="D8EEF4"/>
            </w:tcBorders>
          </w:tcPr>
          <w:p>
            <w:pPr>
              <w:spacing w:after="0"/>
              <w:rPr>
                <w:sz w:val="17"/>
                <w:szCs w:val="17"/>
                <w:color w:val="auto"/>
              </w:rPr>
            </w:pPr>
          </w:p>
        </w:tc>
        <w:tc>
          <w:tcPr>
            <w:tcW w:w="160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6"/>
                <w:szCs w:val="16"/>
                <w:b w:val="1"/>
                <w:bCs w:val="1"/>
                <w:color w:val="4C4C4E"/>
                <w:w w:val="98"/>
              </w:rPr>
              <w:t>Increase to Input</w:t>
            </w:r>
          </w:p>
        </w:tc>
        <w:tc>
          <w:tcPr>
            <w:tcW w:w="20" w:type="dxa"/>
            <w:vAlign w:val="bottom"/>
          </w:tcPr>
          <w:p>
            <w:pPr>
              <w:spacing w:after="0"/>
              <w:rPr>
                <w:sz w:val="17"/>
                <w:szCs w:val="17"/>
                <w:color w:val="auto"/>
              </w:rPr>
            </w:pPr>
          </w:p>
        </w:tc>
      </w:tr>
      <w:tr>
        <w:trPr>
          <w:trHeight w:val="216"/>
        </w:trPr>
        <w:tc>
          <w:tcPr>
            <w:tcW w:w="264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18"/>
                <w:szCs w:val="18"/>
                <w:color w:val="4C4C4E"/>
              </w:rPr>
              <w:t>First-lien debt investments</w:t>
            </w:r>
          </w:p>
        </w:tc>
        <w:tc>
          <w:tcPr>
            <w:tcW w:w="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shd w:val="clear" w:color="auto" w:fill="D8EEF4"/>
              </w:rPr>
              <w:t>$</w:t>
            </w:r>
          </w:p>
        </w:tc>
        <w:tc>
          <w:tcPr>
            <w:tcW w:w="8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shd w:val="clear" w:color="auto" w:fill="D8EEF4"/>
              </w:rPr>
              <w:t>3,287,829</w:t>
            </w:r>
          </w:p>
        </w:tc>
        <w:tc>
          <w:tcPr>
            <w:tcW w:w="220" w:type="dxa"/>
            <w:vAlign w:val="bottom"/>
            <w:shd w:val="clear" w:color="auto" w:fill="D8EEF4"/>
          </w:tcPr>
          <w:p>
            <w:pPr>
              <w:spacing w:after="0"/>
              <w:rPr>
                <w:sz w:val="18"/>
                <w:szCs w:val="18"/>
                <w:color w:val="auto"/>
              </w:rPr>
            </w:pPr>
          </w:p>
        </w:tc>
        <w:tc>
          <w:tcPr>
            <w:tcW w:w="1600" w:type="dxa"/>
            <w:vAlign w:val="bottom"/>
            <w:shd w:val="clear" w:color="auto" w:fill="D8EEF4"/>
          </w:tcPr>
          <w:p>
            <w:pPr>
              <w:spacing w:after="0" w:line="216" w:lineRule="exact"/>
              <w:rPr>
                <w:sz w:val="20"/>
                <w:szCs w:val="20"/>
                <w:color w:val="auto"/>
              </w:rPr>
            </w:pPr>
            <w:r>
              <w:rPr>
                <w:rFonts w:ascii="Times New Roman" w:cs="Times New Roman" w:eastAsia="Times New Roman" w:hAnsi="Times New Roman"/>
                <w:sz w:val="18"/>
                <w:szCs w:val="18"/>
                <w:color w:val="4C4C4E"/>
              </w:rPr>
              <w:t xml:space="preserve">Income approach </w:t>
            </w:r>
            <w:r>
              <w:rPr>
                <w:rFonts w:ascii="Times New Roman" w:cs="Times New Roman" w:eastAsia="Times New Roman" w:hAnsi="Times New Roman"/>
                <w:sz w:val="24"/>
                <w:szCs w:val="24"/>
                <w:color w:val="4C4C4E"/>
                <w:vertAlign w:val="superscript"/>
              </w:rPr>
              <w:t>(1)</w:t>
            </w:r>
          </w:p>
        </w:tc>
        <w:tc>
          <w:tcPr>
            <w:tcW w:w="120" w:type="dxa"/>
            <w:vAlign w:val="bottom"/>
            <w:shd w:val="clear" w:color="auto" w:fill="D8EEF4"/>
          </w:tcPr>
          <w:p>
            <w:pPr>
              <w:spacing w:after="0"/>
              <w:rPr>
                <w:sz w:val="18"/>
                <w:szCs w:val="18"/>
                <w:color w:val="auto"/>
              </w:rPr>
            </w:pPr>
          </w:p>
        </w:tc>
        <w:tc>
          <w:tcPr>
            <w:tcW w:w="15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Discount rate</w:t>
            </w:r>
          </w:p>
        </w:tc>
        <w:tc>
          <w:tcPr>
            <w:tcW w:w="120" w:type="dxa"/>
            <w:vAlign w:val="bottom"/>
            <w:shd w:val="clear" w:color="auto" w:fill="D8EEF4"/>
          </w:tcPr>
          <w:p>
            <w:pPr>
              <w:spacing w:after="0"/>
              <w:rPr>
                <w:sz w:val="18"/>
                <w:szCs w:val="18"/>
                <w:color w:val="auto"/>
              </w:rPr>
            </w:pPr>
          </w:p>
        </w:tc>
        <w:tc>
          <w:tcPr>
            <w:tcW w:w="19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18"/>
                <w:szCs w:val="18"/>
                <w:color w:val="4C4C4E"/>
                <w:w w:val="99"/>
              </w:rPr>
              <w:t>7.7% — 17.7% (12.1%)</w:t>
            </w:r>
          </w:p>
        </w:tc>
        <w:tc>
          <w:tcPr>
            <w:tcW w:w="100" w:type="dxa"/>
            <w:vAlign w:val="bottom"/>
            <w:shd w:val="clear" w:color="auto" w:fill="D8EEF4"/>
          </w:tcPr>
          <w:p>
            <w:pPr>
              <w:spacing w:after="0"/>
              <w:rPr>
                <w:sz w:val="18"/>
                <w:szCs w:val="18"/>
                <w:color w:val="auto"/>
              </w:rPr>
            </w:pPr>
          </w:p>
        </w:tc>
        <w:tc>
          <w:tcPr>
            <w:tcW w:w="162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Decrease</w:t>
            </w:r>
          </w:p>
        </w:tc>
      </w:tr>
      <w:tr>
        <w:trPr>
          <w:trHeight w:val="221"/>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4C4C4E"/>
              </w:rPr>
              <w:t>Second-lien debt investments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18,535</w:t>
            </w:r>
          </w:p>
        </w:tc>
        <w:tc>
          <w:tcPr>
            <w:tcW w:w="220" w:type="dxa"/>
            <w:vAlign w:val="bottom"/>
          </w:tcPr>
          <w:p>
            <w:pPr>
              <w:spacing w:after="0"/>
              <w:rPr>
                <w:sz w:val="19"/>
                <w:szCs w:val="19"/>
                <w:color w:val="auto"/>
              </w:rPr>
            </w:pPr>
          </w:p>
        </w:tc>
        <w:tc>
          <w:tcPr>
            <w:tcW w:w="16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4C4C4E"/>
              </w:rPr>
              <w:t xml:space="preserve">Income approach </w:t>
            </w:r>
            <w:r>
              <w:rPr>
                <w:rFonts w:ascii="Times New Roman" w:cs="Times New Roman" w:eastAsia="Times New Roman" w:hAnsi="Times New Roman"/>
                <w:sz w:val="24"/>
                <w:szCs w:val="24"/>
                <w:color w:val="4C4C4E"/>
                <w:vertAlign w:val="superscript"/>
              </w:rPr>
              <w:t>(2)</w:t>
            </w:r>
          </w:p>
        </w:tc>
        <w:tc>
          <w:tcPr>
            <w:tcW w:w="1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4C4C4E"/>
              </w:rPr>
              <w:t>Discount rate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4C4C4E"/>
              </w:rPr>
              <w:t>14.6% — 18.1% (15.6%)</w:t>
            </w:r>
          </w:p>
        </w:tc>
        <w:tc>
          <w:tcPr>
            <w:tcW w:w="10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4C4C4E"/>
              </w:rPr>
              <w:t>Decrease</w:t>
            </w:r>
          </w:p>
        </w:tc>
      </w:tr>
      <w:tr>
        <w:trPr>
          <w:trHeight w:val="221"/>
        </w:trPr>
        <w:tc>
          <w:tcPr>
            <w:tcW w:w="264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18"/>
                <w:szCs w:val="18"/>
                <w:color w:val="4C4C4E"/>
              </w:rPr>
              <w:t>Mezzanine debt investments</w:t>
            </w:r>
          </w:p>
        </w:tc>
        <w:tc>
          <w:tcPr>
            <w:tcW w:w="80" w:type="dxa"/>
            <w:vAlign w:val="bottom"/>
            <w:shd w:val="clear" w:color="auto" w:fill="D8EEF4"/>
          </w:tcPr>
          <w:p>
            <w:pPr>
              <w:spacing w:after="0"/>
              <w:rPr>
                <w:sz w:val="19"/>
                <w:szCs w:val="19"/>
                <w:color w:val="auto"/>
              </w:rPr>
            </w:pPr>
          </w:p>
        </w:tc>
        <w:tc>
          <w:tcPr>
            <w:tcW w:w="8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rPr>
              <w:t>39,091</w:t>
            </w:r>
          </w:p>
        </w:tc>
        <w:tc>
          <w:tcPr>
            <w:tcW w:w="220" w:type="dxa"/>
            <w:vAlign w:val="bottom"/>
            <w:shd w:val="clear" w:color="auto" w:fill="D8EEF4"/>
          </w:tcPr>
          <w:p>
            <w:pPr>
              <w:spacing w:after="0"/>
              <w:rPr>
                <w:sz w:val="19"/>
                <w:szCs w:val="19"/>
                <w:color w:val="auto"/>
              </w:rPr>
            </w:pPr>
          </w:p>
        </w:tc>
        <w:tc>
          <w:tcPr>
            <w:tcW w:w="1600" w:type="dxa"/>
            <w:vAlign w:val="bottom"/>
            <w:shd w:val="clear" w:color="auto" w:fill="D8EEF4"/>
          </w:tcPr>
          <w:p>
            <w:pPr>
              <w:spacing w:after="0" w:line="221" w:lineRule="exact"/>
              <w:rPr>
                <w:sz w:val="20"/>
                <w:szCs w:val="20"/>
                <w:color w:val="auto"/>
              </w:rPr>
            </w:pPr>
            <w:r>
              <w:rPr>
                <w:rFonts w:ascii="Times New Roman" w:cs="Times New Roman" w:eastAsia="Times New Roman" w:hAnsi="Times New Roman"/>
                <w:sz w:val="18"/>
                <w:szCs w:val="18"/>
                <w:color w:val="4C4C4E"/>
              </w:rPr>
              <w:t xml:space="preserve">Income approach </w:t>
            </w:r>
            <w:r>
              <w:rPr>
                <w:rFonts w:ascii="Times New Roman" w:cs="Times New Roman" w:eastAsia="Times New Roman" w:hAnsi="Times New Roman"/>
                <w:sz w:val="24"/>
                <w:szCs w:val="24"/>
                <w:color w:val="4C4C4E"/>
                <w:vertAlign w:val="superscript"/>
              </w:rPr>
              <w:t>(3)</w:t>
            </w:r>
          </w:p>
        </w:tc>
        <w:tc>
          <w:tcPr>
            <w:tcW w:w="120" w:type="dxa"/>
            <w:vAlign w:val="bottom"/>
            <w:shd w:val="clear" w:color="auto" w:fill="D8EEF4"/>
          </w:tcPr>
          <w:p>
            <w:pPr>
              <w:spacing w:after="0"/>
              <w:rPr>
                <w:sz w:val="19"/>
                <w:szCs w:val="19"/>
                <w:color w:val="auto"/>
              </w:rPr>
            </w:pPr>
          </w:p>
        </w:tc>
        <w:tc>
          <w:tcPr>
            <w:tcW w:w="1580" w:type="dxa"/>
            <w:vAlign w:val="bottom"/>
            <w:shd w:val="clear" w:color="auto" w:fill="D8EEF4"/>
          </w:tcPr>
          <w:p>
            <w:pPr>
              <w:spacing w:after="0"/>
              <w:rPr>
                <w:sz w:val="20"/>
                <w:szCs w:val="20"/>
                <w:color w:val="auto"/>
              </w:rPr>
            </w:pPr>
            <w:r>
              <w:rPr>
                <w:rFonts w:ascii="Times New Roman" w:cs="Times New Roman" w:eastAsia="Times New Roman" w:hAnsi="Times New Roman"/>
                <w:sz w:val="18"/>
                <w:szCs w:val="18"/>
                <w:color w:val="4C4C4E"/>
              </w:rPr>
              <w:t>Discount rate</w:t>
            </w:r>
          </w:p>
        </w:tc>
        <w:tc>
          <w:tcPr>
            <w:tcW w:w="120" w:type="dxa"/>
            <w:vAlign w:val="bottom"/>
            <w:shd w:val="clear" w:color="auto" w:fill="D8EEF4"/>
          </w:tcPr>
          <w:p>
            <w:pPr>
              <w:spacing w:after="0"/>
              <w:rPr>
                <w:sz w:val="19"/>
                <w:szCs w:val="19"/>
                <w:color w:val="auto"/>
              </w:rPr>
            </w:pPr>
          </w:p>
        </w:tc>
        <w:tc>
          <w:tcPr>
            <w:tcW w:w="19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18"/>
                <w:szCs w:val="18"/>
                <w:color w:val="4C4C4E"/>
              </w:rPr>
              <w:t>12.2% — 22.5% (12.7%)</w:t>
            </w:r>
          </w:p>
        </w:tc>
        <w:tc>
          <w:tcPr>
            <w:tcW w:w="100" w:type="dxa"/>
            <w:vAlign w:val="bottom"/>
            <w:shd w:val="clear" w:color="auto" w:fill="D8EEF4"/>
          </w:tcPr>
          <w:p>
            <w:pPr>
              <w:spacing w:after="0"/>
              <w:rPr>
                <w:sz w:val="19"/>
                <w:szCs w:val="19"/>
                <w:color w:val="auto"/>
              </w:rPr>
            </w:pPr>
          </w:p>
        </w:tc>
        <w:tc>
          <w:tcPr>
            <w:tcW w:w="162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18"/>
                <w:szCs w:val="18"/>
                <w:color w:val="4C4C4E"/>
              </w:rPr>
              <w:t>Decrease</w:t>
            </w:r>
          </w:p>
        </w:tc>
      </w:tr>
      <w:tr>
        <w:trPr>
          <w:trHeight w:val="221"/>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4C4C4E"/>
              </w:rPr>
              <w:t>Equity and other investments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C4C4E"/>
              </w:rPr>
              <w:t>139,586</w:t>
            </w:r>
          </w:p>
        </w:tc>
        <w:tc>
          <w:tcPr>
            <w:tcW w:w="220" w:type="dxa"/>
            <w:vAlign w:val="bottom"/>
          </w:tcPr>
          <w:p>
            <w:pPr>
              <w:spacing w:after="0"/>
              <w:rPr>
                <w:sz w:val="19"/>
                <w:szCs w:val="19"/>
                <w:color w:val="auto"/>
              </w:rPr>
            </w:pPr>
          </w:p>
        </w:tc>
        <w:tc>
          <w:tcPr>
            <w:tcW w:w="16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4C4C4E"/>
              </w:rPr>
              <w:t xml:space="preserve">Market Multiple </w:t>
            </w:r>
            <w:r>
              <w:rPr>
                <w:rFonts w:ascii="Times New Roman" w:cs="Times New Roman" w:eastAsia="Times New Roman" w:hAnsi="Times New Roman"/>
                <w:sz w:val="24"/>
                <w:szCs w:val="24"/>
                <w:color w:val="4C4C4E"/>
                <w:vertAlign w:val="superscript"/>
              </w:rPr>
              <w:t>(4)</w:t>
            </w:r>
          </w:p>
        </w:tc>
        <w:tc>
          <w:tcPr>
            <w:tcW w:w="1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4C4C4E"/>
              </w:rPr>
              <w:t>Comparable multiple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4C4C4E"/>
              </w:rPr>
              <w:t>2.3x — 20.0x (7.8x)</w:t>
            </w:r>
          </w:p>
        </w:tc>
        <w:tc>
          <w:tcPr>
            <w:tcW w:w="10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4C4C4E"/>
              </w:rPr>
              <w:t>Increase</w:t>
            </w:r>
          </w:p>
        </w:tc>
      </w:tr>
      <w:tr>
        <w:trPr>
          <w:trHeight w:val="216"/>
        </w:trPr>
        <w:tc>
          <w:tcPr>
            <w:tcW w:w="2640" w:type="dxa"/>
            <w:vAlign w:val="bottom"/>
            <w:tcBorders>
              <w:top w:val="single" w:sz="8" w:color="D8EEF4"/>
            </w:tcBorders>
            <w:gridSpan w:val="2"/>
            <w:shd w:val="clear" w:color="auto" w:fill="D8EEF4"/>
          </w:tcPr>
          <w:p>
            <w:pPr>
              <w:ind w:left="200"/>
              <w:spacing w:after="0"/>
              <w:rPr>
                <w:sz w:val="20"/>
                <w:szCs w:val="20"/>
                <w:color w:val="auto"/>
              </w:rPr>
            </w:pPr>
            <w:r>
              <w:rPr>
                <w:rFonts w:ascii="Times New Roman" w:cs="Times New Roman" w:eastAsia="Times New Roman" w:hAnsi="Times New Roman"/>
                <w:sz w:val="18"/>
                <w:szCs w:val="18"/>
                <w:b w:val="1"/>
                <w:bCs w:val="1"/>
                <w:color w:val="4C4C4E"/>
              </w:rPr>
              <w:t>Total</w:t>
            </w:r>
          </w:p>
        </w:tc>
        <w:tc>
          <w:tcPr>
            <w:tcW w:w="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shd w:val="clear" w:color="auto" w:fill="D8EEF4"/>
              </w:rPr>
              <w:t>$</w:t>
            </w:r>
          </w:p>
        </w:tc>
        <w:tc>
          <w:tcPr>
            <w:tcW w:w="8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8"/>
                <w:szCs w:val="18"/>
                <w:color w:val="4C4C4E"/>
                <w:shd w:val="clear" w:color="auto" w:fill="D8EEF4"/>
              </w:rPr>
              <w:t>3,485,041</w:t>
            </w:r>
          </w:p>
        </w:tc>
        <w:tc>
          <w:tcPr>
            <w:tcW w:w="220" w:type="dxa"/>
            <w:vAlign w:val="bottom"/>
            <w:tcBorders>
              <w:top w:val="single" w:sz="8" w:color="D8EEF4"/>
            </w:tcBorders>
            <w:shd w:val="clear" w:color="auto" w:fill="D8EEF4"/>
          </w:tcPr>
          <w:p>
            <w:pPr>
              <w:spacing w:after="0"/>
              <w:rPr>
                <w:sz w:val="18"/>
                <w:szCs w:val="18"/>
                <w:color w:val="auto"/>
              </w:rPr>
            </w:pPr>
          </w:p>
        </w:tc>
        <w:tc>
          <w:tcPr>
            <w:tcW w:w="1600" w:type="dxa"/>
            <w:vAlign w:val="bottom"/>
            <w:tcBorders>
              <w:top w:val="single" w:sz="8" w:color="4C4C4E"/>
            </w:tcBorders>
            <w:shd w:val="clear" w:color="auto" w:fill="D8EEF4"/>
          </w:tcPr>
          <w:p>
            <w:pPr>
              <w:spacing w:after="0"/>
              <w:rPr>
                <w:sz w:val="18"/>
                <w:szCs w:val="18"/>
                <w:color w:val="auto"/>
              </w:rPr>
            </w:pPr>
          </w:p>
        </w:tc>
        <w:tc>
          <w:tcPr>
            <w:tcW w:w="120" w:type="dxa"/>
            <w:vAlign w:val="bottom"/>
            <w:tcBorders>
              <w:top w:val="single" w:sz="8" w:color="D8EEF4"/>
            </w:tcBorders>
            <w:shd w:val="clear" w:color="auto" w:fill="D8EEF4"/>
          </w:tcPr>
          <w:p>
            <w:pPr>
              <w:spacing w:after="0"/>
              <w:rPr>
                <w:sz w:val="18"/>
                <w:szCs w:val="18"/>
                <w:color w:val="auto"/>
              </w:rPr>
            </w:pPr>
          </w:p>
        </w:tc>
        <w:tc>
          <w:tcPr>
            <w:tcW w:w="1580" w:type="dxa"/>
            <w:vAlign w:val="bottom"/>
            <w:tcBorders>
              <w:top w:val="single" w:sz="8" w:color="4C4C4E"/>
            </w:tcBorders>
            <w:shd w:val="clear" w:color="auto" w:fill="D8EEF4"/>
          </w:tcPr>
          <w:p>
            <w:pPr>
              <w:spacing w:after="0"/>
              <w:rPr>
                <w:sz w:val="18"/>
                <w:szCs w:val="18"/>
                <w:color w:val="auto"/>
              </w:rPr>
            </w:pPr>
          </w:p>
        </w:tc>
        <w:tc>
          <w:tcPr>
            <w:tcW w:w="120" w:type="dxa"/>
            <w:vAlign w:val="bottom"/>
            <w:tcBorders>
              <w:top w:val="single" w:sz="8" w:color="D8EEF4"/>
            </w:tcBorders>
            <w:shd w:val="clear" w:color="auto" w:fill="D8EEF4"/>
          </w:tcPr>
          <w:p>
            <w:pPr>
              <w:spacing w:after="0"/>
              <w:rPr>
                <w:sz w:val="18"/>
                <w:szCs w:val="18"/>
                <w:color w:val="auto"/>
              </w:rPr>
            </w:pPr>
          </w:p>
        </w:tc>
        <w:tc>
          <w:tcPr>
            <w:tcW w:w="1900" w:type="dxa"/>
            <w:vAlign w:val="bottom"/>
            <w:tcBorders>
              <w:top w:val="single" w:sz="8" w:color="4C4C4E"/>
            </w:tcBorders>
            <w:shd w:val="clear" w:color="auto" w:fill="D8EEF4"/>
          </w:tcPr>
          <w:p>
            <w:pPr>
              <w:spacing w:after="0"/>
              <w:rPr>
                <w:sz w:val="18"/>
                <w:szCs w:val="18"/>
                <w:color w:val="auto"/>
              </w:rPr>
            </w:pPr>
          </w:p>
        </w:tc>
        <w:tc>
          <w:tcPr>
            <w:tcW w:w="100" w:type="dxa"/>
            <w:vAlign w:val="bottom"/>
            <w:tcBorders>
              <w:top w:val="single" w:sz="8" w:color="D8EEF4"/>
            </w:tcBorders>
            <w:shd w:val="clear" w:color="auto" w:fill="D8EEF4"/>
          </w:tcPr>
          <w:p>
            <w:pPr>
              <w:spacing w:after="0"/>
              <w:rPr>
                <w:sz w:val="18"/>
                <w:szCs w:val="18"/>
                <w:color w:val="auto"/>
              </w:rPr>
            </w:pPr>
          </w:p>
        </w:tc>
        <w:tc>
          <w:tcPr>
            <w:tcW w:w="1600" w:type="dxa"/>
            <w:vAlign w:val="bottom"/>
            <w:tcBorders>
              <w:top w:val="single" w:sz="8" w:color="4C4C4E"/>
            </w:tcBorders>
            <w:shd w:val="clear" w:color="auto" w:fill="D8EEF4"/>
          </w:tcPr>
          <w:p>
            <w:pPr>
              <w:spacing w:after="0"/>
              <w:rPr>
                <w:sz w:val="18"/>
                <w:szCs w:val="18"/>
                <w:color w:val="auto"/>
              </w:rPr>
            </w:pPr>
          </w:p>
        </w:tc>
        <w:tc>
          <w:tcPr>
            <w:tcW w:w="20" w:type="dxa"/>
            <w:vAlign w:val="bottom"/>
            <w:shd w:val="clear" w:color="auto" w:fill="D8EEF4"/>
          </w:tcPr>
          <w:p>
            <w:pPr>
              <w:spacing w:after="0"/>
              <w:rPr>
                <w:sz w:val="18"/>
                <w:szCs w:val="18"/>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80" w:type="dxa"/>
            <w:vAlign w:val="bottom"/>
            <w:tcBorders>
              <w:top w:val="single" w:sz="8" w:color="4C4C4E"/>
              <w:bottom w:val="single" w:sz="8" w:color="4C4C4E"/>
            </w:tcBorders>
          </w:tcPr>
          <w:p>
            <w:pPr>
              <w:spacing w:after="0" w:line="20" w:lineRule="exact"/>
              <w:rPr>
                <w:sz w:val="1"/>
                <w:szCs w:val="1"/>
                <w:color w:val="auto"/>
              </w:rPr>
            </w:pPr>
          </w:p>
        </w:tc>
        <w:tc>
          <w:tcPr>
            <w:tcW w:w="840" w:type="dxa"/>
            <w:vAlign w:val="bottom"/>
            <w:tcBorders>
              <w:top w:val="single" w:sz="8" w:color="4C4C4E"/>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-1140460</wp:posOffset>
            </wp:positionV>
            <wp:extent cx="421640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4">
                      <a:extLst>
                        <a:ext uri="{28A0092B-C50C-407E-A947-70E740481C1C}"/>
                      </a:extLst>
                    </a:blip>
                    <a:srcRect/>
                    <a:stretch>
                      <a:fillRect/>
                    </a:stretch>
                  </pic:blipFill>
                  <pic:spPr bwMode="auto">
                    <a:xfrm>
                      <a:off x="0" y="0"/>
                      <a:ext cx="4216400" cy="38100"/>
                    </a:xfrm>
                    <a:prstGeom prst="rect">
                      <a:avLst/>
                    </a:prstGeom>
                    <a:noFill/>
                  </pic:spPr>
                </pic:pic>
              </a:graphicData>
            </a:graphic>
          </wp:anchor>
        </w:drawing>
      </w:r>
    </w:p>
    <w:p>
      <w:pPr>
        <w:spacing w:after="0" w:line="219" w:lineRule="exact"/>
        <w:rPr>
          <w:sz w:val="20"/>
          <w:szCs w:val="20"/>
          <w:color w:val="auto"/>
        </w:rPr>
      </w:pPr>
    </w:p>
    <w:p>
      <w:pPr>
        <w:ind w:left="500" w:hanging="500"/>
        <w:spacing w:after="0"/>
        <w:tabs>
          <w:tab w:leader="none" w:pos="500" w:val="left"/>
        </w:tabs>
        <w:numPr>
          <w:ilvl w:val="0"/>
          <w:numId w:val="9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Includes $199.4 million of debt investments which were valued using an asset valuation waterfall.</w:t>
      </w:r>
    </w:p>
    <w:p>
      <w:pPr>
        <w:spacing w:after="0" w:line="36" w:lineRule="exact"/>
        <w:rPr>
          <w:rFonts w:ascii="Times New Roman" w:cs="Times New Roman" w:eastAsia="Times New Roman" w:hAnsi="Times New Roman"/>
          <w:sz w:val="20"/>
          <w:szCs w:val="20"/>
          <w:color w:val="4C4C4E"/>
        </w:rPr>
      </w:pPr>
    </w:p>
    <w:p>
      <w:pPr>
        <w:ind w:left="500" w:hanging="500"/>
        <w:spacing w:after="0"/>
        <w:tabs>
          <w:tab w:leader="none" w:pos="500" w:val="left"/>
        </w:tabs>
        <w:numPr>
          <w:ilvl w:val="0"/>
          <w:numId w:val="9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Includes $6.0 million of debt investments which were valued using an asset valuation waterfall.</w:t>
      </w:r>
    </w:p>
    <w:p>
      <w:pPr>
        <w:spacing w:after="0" w:line="26" w:lineRule="exact"/>
        <w:rPr>
          <w:rFonts w:ascii="Times New Roman" w:cs="Times New Roman" w:eastAsia="Times New Roman" w:hAnsi="Times New Roman"/>
          <w:sz w:val="20"/>
          <w:szCs w:val="20"/>
          <w:color w:val="4C4C4E"/>
        </w:rPr>
      </w:pPr>
    </w:p>
    <w:p>
      <w:pPr>
        <w:ind w:left="500" w:hanging="500"/>
        <w:spacing w:after="0"/>
        <w:tabs>
          <w:tab w:leader="none" w:pos="500" w:val="left"/>
        </w:tabs>
        <w:numPr>
          <w:ilvl w:val="0"/>
          <w:numId w:val="9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Includes $0.1 million of debt investments which were valued using an asset valuation waterfall.</w:t>
      </w:r>
    </w:p>
    <w:p>
      <w:pPr>
        <w:spacing w:after="0" w:line="26" w:lineRule="exact"/>
        <w:rPr>
          <w:rFonts w:ascii="Times New Roman" w:cs="Times New Roman" w:eastAsia="Times New Roman" w:hAnsi="Times New Roman"/>
          <w:sz w:val="20"/>
          <w:szCs w:val="20"/>
          <w:color w:val="4C4C4E"/>
        </w:rPr>
      </w:pPr>
    </w:p>
    <w:p>
      <w:pPr>
        <w:jc w:val="both"/>
        <w:ind w:left="500" w:right="600" w:hanging="500"/>
        <w:spacing w:after="0" w:line="252" w:lineRule="auto"/>
        <w:tabs>
          <w:tab w:leader="none" w:pos="500" w:val="left"/>
        </w:tabs>
        <w:numPr>
          <w:ilvl w:val="0"/>
          <w:numId w:val="92"/>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Includes $13.6 million of equity investments which were valued using an asset valuation waterfall, $0.5 million of equity investments using a Black-Scholes model and $20.4 million of equity investments using a discounted cash flow analysis.</w:t>
      </w:r>
    </w:p>
    <w:p>
      <w:pPr>
        <w:spacing w:after="0" w:line="180" w:lineRule="exact"/>
        <w:rPr>
          <w:sz w:val="20"/>
          <w:szCs w:val="20"/>
          <w:color w:val="auto"/>
        </w:rPr>
      </w:pPr>
    </w:p>
    <w:p>
      <w:pPr>
        <w:ind w:right="140" w:firstLine="245"/>
        <w:spacing w:after="0" w:line="234" w:lineRule="auto"/>
        <w:rPr>
          <w:sz w:val="20"/>
          <w:szCs w:val="20"/>
          <w:color w:val="auto"/>
        </w:rPr>
      </w:pPr>
      <w:r>
        <w:rPr>
          <w:rFonts w:ascii="Times New Roman" w:cs="Times New Roman" w:eastAsia="Times New Roman" w:hAnsi="Times New Roman"/>
          <w:sz w:val="20"/>
          <w:szCs w:val="20"/>
          <w:color w:val="4C4C4E"/>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94" w:lineRule="exact"/>
        <w:rPr>
          <w:sz w:val="20"/>
          <w:szCs w:val="20"/>
          <w:color w:val="auto"/>
        </w:rPr>
      </w:pPr>
    </w:p>
    <w:p>
      <w:pPr>
        <w:ind w:right="380" w:firstLine="245"/>
        <w:spacing w:after="0" w:line="233" w:lineRule="auto"/>
        <w:rPr>
          <w:sz w:val="20"/>
          <w:szCs w:val="20"/>
          <w:color w:val="auto"/>
        </w:rPr>
      </w:pPr>
      <w:r>
        <w:rPr>
          <w:rFonts w:ascii="Times New Roman" w:cs="Times New Roman" w:eastAsia="Times New Roman" w:hAnsi="Times New Roman"/>
          <w:sz w:val="20"/>
          <w:szCs w:val="20"/>
          <w:color w:val="4C4C4E"/>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Structured Credit Partners JV, LLC (“SCP”)</w:t>
      </w:r>
    </w:p>
    <w:p>
      <w:pPr>
        <w:spacing w:after="0" w:line="225" w:lineRule="exact"/>
        <w:rPr>
          <w:sz w:val="20"/>
          <w:szCs w:val="20"/>
          <w:color w:val="auto"/>
        </w:rPr>
      </w:pPr>
    </w:p>
    <w:p>
      <w:pPr>
        <w:jc w:val="both"/>
        <w:ind w:right="60" w:firstLine="245"/>
        <w:spacing w:after="0" w:line="238" w:lineRule="auto"/>
        <w:rPr>
          <w:sz w:val="20"/>
          <w:szCs w:val="20"/>
          <w:color w:val="auto"/>
        </w:rPr>
      </w:pPr>
      <w:r>
        <w:rPr>
          <w:rFonts w:ascii="Times New Roman" w:cs="Times New Roman" w:eastAsia="Times New Roman" w:hAnsi="Times New Roman"/>
          <w:sz w:val="20"/>
          <w:szCs w:val="20"/>
          <w:color w:val="4C4C4E"/>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fee-free basis.</w:t>
      </w:r>
    </w:p>
    <w:p>
      <w:pPr>
        <w:spacing w:after="0" w:line="194" w:lineRule="exact"/>
        <w:rPr>
          <w:sz w:val="20"/>
          <w:szCs w:val="20"/>
          <w:color w:val="auto"/>
        </w:rPr>
      </w:pPr>
    </w:p>
    <w:p>
      <w:pPr>
        <w:ind w:right="20" w:firstLine="245"/>
        <w:spacing w:after="0" w:line="230" w:lineRule="auto"/>
        <w:rPr>
          <w:sz w:val="20"/>
          <w:szCs w:val="20"/>
          <w:color w:val="auto"/>
        </w:rPr>
      </w:pPr>
      <w:r>
        <w:rPr>
          <w:rFonts w:ascii="Times New Roman" w:cs="Times New Roman" w:eastAsia="Times New Roman" w:hAnsi="Times New Roman"/>
          <w:sz w:val="20"/>
          <w:szCs w:val="20"/>
          <w:color w:val="4C4C4E"/>
        </w:rPr>
        <w:t>Sixth Street affiliates own 50.0% of the equity interests in SCP and Carlyle affiliates own 50.0%, with investment decisions requiring approval by representatives of both the Sixth Street affiliates and the Carlyle affiliates. SCP will be initially capitalized with $200.0 million of capital commitments from Sixth Street Specialty Lending, Inc., $100.0 million of capital commitments from Sixth Street Lending Partners, $150.0 million of capital commitments from Carlyle Secured Lending, Inc., and $150.0 million of capital commitments from Carlyle Credit Solutions, Inc., with all members of SCP having equal voting control. Equity contributions will be called from each member on a pro-rata basis, based on their equity commitments. Funding of such commitments requires the approval of SCP’s board of managers, including the board members appointed by the Company. SCP’s board of managers consists of an equal number of representatives appointed by the Sixth Street-affiliated members of SCP and the Carlyle-affiliated members of SCP. Portfolio construction and investment decisions must be unanimously approved by SCP’s investment committee, as delegated by the board of managers of SCP. Our investment in SCP is made with certain of our affiliates in accordance with the terms of the exemptive relief that we received from the SEC. Therefore, although the Company owns 25.0% of the voting interests of SCP, the Company does not believe that it has control over SCP for accounting purposes and does not consolidate its non-controlling interest in SCP.</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As of December 31, 2025, SCP had not commenced operations and no capital had been contributed to SCP.</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Financial Instruments Not Carried at Fair Value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Debt</w:t>
      </w:r>
    </w:p>
    <w:p>
      <w:pPr>
        <w:spacing w:after="0" w:line="107" w:lineRule="exact"/>
        <w:rPr>
          <w:sz w:val="20"/>
          <w:szCs w:val="20"/>
          <w:color w:val="auto"/>
        </w:rPr>
      </w:pPr>
    </w:p>
    <w:p>
      <w:pPr>
        <w:ind w:right="200" w:firstLine="245"/>
        <w:spacing w:after="0" w:line="290" w:lineRule="auto"/>
        <w:rPr>
          <w:sz w:val="20"/>
          <w:szCs w:val="20"/>
          <w:color w:val="auto"/>
        </w:rPr>
      </w:pPr>
      <w:r>
        <w:rPr>
          <w:rFonts w:ascii="Times New Roman" w:cs="Times New Roman" w:eastAsia="Times New Roman" w:hAnsi="Times New Roman"/>
          <w:sz w:val="19"/>
          <w:szCs w:val="19"/>
          <w:color w:val="4C4C4E"/>
        </w:rPr>
        <w:t>The fair value of the Company’s Revolving Credit Facility, which is categorized as Level 3 within the fair value hierarchy, as of December 31, 2025 and December 31, 2024, approximates its carrying value as the outstanding balance is callable at carrying value.</w:t>
      </w:r>
    </w:p>
    <w:p>
      <w:pPr>
        <w:sectPr>
          <w:pgSz w:w="11880" w:h="15480" w:orient="portrait"/>
          <w:cols w:equalWidth="0" w:num="1">
            <w:col w:w="10800"/>
          </w:cols>
          <w:pgMar w:left="540" w:top="764"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F-40</w:t>
      </w:r>
    </w:p>
    <w:p>
      <w:pPr>
        <w:sectPr>
          <w:pgSz w:w="11880" w:h="15480" w:orient="portrait"/>
          <w:cols w:equalWidth="0" w:num="1">
            <w:col w:w="10800"/>
          </w:cols>
          <w:pgMar w:left="540" w:top="764" w:right="540" w:bottom="6" w:gutter="0" w:footer="0" w:header="0"/>
          <w:type w:val="continuous"/>
        </w:sectPr>
      </w:pPr>
    </w:p>
    <w:bookmarkStart w:id="129" w:name="page130"/>
    <w:bookmarkEnd w:id="129"/>
    <w:p>
      <w:pPr>
        <w:ind w:right="940" w:firstLine="245"/>
        <w:spacing w:after="0" w:line="263" w:lineRule="auto"/>
        <w:rPr>
          <w:sz w:val="20"/>
          <w:szCs w:val="20"/>
          <w:color w:val="auto"/>
        </w:rPr>
      </w:pPr>
      <w:r>
        <w:rPr>
          <w:rFonts w:ascii="Times New Roman" w:cs="Times New Roman" w:eastAsia="Times New Roman" w:hAnsi="Times New Roman"/>
          <w:sz w:val="20"/>
          <w:szCs w:val="20"/>
          <w:color w:val="4C4C4E"/>
        </w:rPr>
        <w:t>The following table presents the fair value of the Company’s 2026 Notes, 2028 Notes, 2029 Notes and 2030 Notes as of December 31, 2025 and December 31, 2024.</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2480" w:type="dxa"/>
            <w:vAlign w:val="bottom"/>
            <w:tcBorders>
              <w:bottom w:val="single" w:sz="8" w:color="4C4C4E"/>
            </w:tcBorders>
            <w:gridSpan w:val="4"/>
          </w:tcPr>
          <w:p>
            <w:pPr>
              <w:jc w:val="right"/>
              <w:ind w:right="566"/>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right"/>
              <w:ind w:right="566"/>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60" w:type="dxa"/>
            <w:vAlign w:val="bottom"/>
          </w:tcPr>
          <w:p>
            <w:pPr>
              <w:spacing w:after="0"/>
              <w:rPr>
                <w:sz w:val="17"/>
                <w:szCs w:val="17"/>
                <w:color w:val="auto"/>
              </w:rPr>
            </w:pPr>
          </w:p>
        </w:tc>
      </w:tr>
      <w:tr>
        <w:trPr>
          <w:trHeight w:val="160"/>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6"/>
                <w:szCs w:val="16"/>
                <w:b w:val="1"/>
                <w:bCs w:val="1"/>
                <w:color w:val="4C4C4E"/>
              </w:rPr>
              <w:t>Outstanding</w:t>
            </w:r>
          </w:p>
        </w:tc>
        <w:tc>
          <w:tcPr>
            <w:tcW w:w="220" w:type="dxa"/>
            <w:vAlign w:val="bottom"/>
          </w:tcPr>
          <w:p>
            <w:pPr>
              <w:spacing w:after="0"/>
              <w:rPr>
                <w:sz w:val="13"/>
                <w:szCs w:val="13"/>
                <w:color w:val="auto"/>
              </w:rPr>
            </w:pPr>
          </w:p>
        </w:tc>
        <w:tc>
          <w:tcPr>
            <w:tcW w:w="960" w:type="dxa"/>
            <w:vAlign w:val="bottom"/>
          </w:tcPr>
          <w:p>
            <w:pPr>
              <w:jc w:val="right"/>
              <w:ind w:right="346"/>
              <w:spacing w:after="0" w:line="160" w:lineRule="exact"/>
              <w:rPr>
                <w:sz w:val="20"/>
                <w:szCs w:val="20"/>
                <w:color w:val="auto"/>
              </w:rPr>
            </w:pPr>
            <w:r>
              <w:rPr>
                <w:rFonts w:ascii="Times New Roman" w:cs="Times New Roman" w:eastAsia="Times New Roman" w:hAnsi="Times New Roman"/>
                <w:sz w:val="16"/>
                <w:szCs w:val="16"/>
                <w:b w:val="1"/>
                <w:bCs w:val="1"/>
                <w:color w:val="4C4C4E"/>
              </w:rPr>
              <w:t>Fair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4C4C4E"/>
                <w:w w:val="98"/>
              </w:rPr>
              <w:t>Outstanding</w:t>
            </w:r>
          </w:p>
        </w:tc>
        <w:tc>
          <w:tcPr>
            <w:tcW w:w="200" w:type="dxa"/>
            <w:vAlign w:val="bottom"/>
          </w:tcPr>
          <w:p>
            <w:pPr>
              <w:spacing w:after="0"/>
              <w:rPr>
                <w:sz w:val="13"/>
                <w:szCs w:val="13"/>
                <w:color w:val="auto"/>
              </w:rPr>
            </w:pPr>
          </w:p>
        </w:tc>
        <w:tc>
          <w:tcPr>
            <w:tcW w:w="980" w:type="dxa"/>
            <w:vAlign w:val="bottom"/>
          </w:tcPr>
          <w:p>
            <w:pPr>
              <w:jc w:val="right"/>
              <w:ind w:right="346"/>
              <w:spacing w:after="0" w:line="160" w:lineRule="exact"/>
              <w:rPr>
                <w:sz w:val="20"/>
                <w:szCs w:val="20"/>
                <w:color w:val="auto"/>
              </w:rPr>
            </w:pPr>
            <w:r>
              <w:rPr>
                <w:rFonts w:ascii="Times New Roman" w:cs="Times New Roman" w:eastAsia="Times New Roman" w:hAnsi="Times New Roman"/>
                <w:sz w:val="16"/>
                <w:szCs w:val="16"/>
                <w:b w:val="1"/>
                <w:bCs w:val="1"/>
                <w:color w:val="4C4C4E"/>
              </w:rPr>
              <w:t>Fair</w:t>
            </w:r>
          </w:p>
        </w:tc>
        <w:tc>
          <w:tcPr>
            <w:tcW w:w="60" w:type="dxa"/>
            <w:vAlign w:val="bottom"/>
          </w:tcPr>
          <w:p>
            <w:pPr>
              <w:spacing w:after="0"/>
              <w:rPr>
                <w:sz w:val="13"/>
                <w:szCs w:val="13"/>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4C4C4E"/>
              </w:rPr>
              <w:t>Principal</w:t>
            </w:r>
          </w:p>
        </w:tc>
        <w:tc>
          <w:tcPr>
            <w:tcW w:w="220" w:type="dxa"/>
            <w:vAlign w:val="bottom"/>
          </w:tcPr>
          <w:p>
            <w:pPr>
              <w:spacing w:after="0"/>
              <w:rPr>
                <w:sz w:val="17"/>
                <w:szCs w:val="17"/>
                <w:color w:val="auto"/>
              </w:rPr>
            </w:pPr>
          </w:p>
        </w:tc>
        <w:tc>
          <w:tcPr>
            <w:tcW w:w="960" w:type="dxa"/>
            <w:vAlign w:val="bottom"/>
          </w:tcPr>
          <w:p>
            <w:pPr>
              <w:jc w:val="right"/>
              <w:ind w:right="206"/>
              <w:spacing w:after="0" w:line="204" w:lineRule="exact"/>
              <w:rPr>
                <w:sz w:val="20"/>
                <w:szCs w:val="20"/>
                <w:color w:val="auto"/>
              </w:rPr>
            </w:pPr>
            <w:r>
              <w:rPr>
                <w:rFonts w:ascii="Times New Roman" w:cs="Times New Roman" w:eastAsia="Times New Roman" w:hAnsi="Times New Roman"/>
                <w:sz w:val="16"/>
                <w:szCs w:val="16"/>
                <w:b w:val="1"/>
                <w:bCs w:val="1"/>
                <w:color w:val="4C4C4E"/>
              </w:rPr>
              <w:t xml:space="preserve">Value </w:t>
            </w:r>
            <w:r>
              <w:rPr>
                <w:rFonts w:ascii="Times New Roman" w:cs="Times New Roman" w:eastAsia="Times New Roman" w:hAnsi="Times New Roman"/>
                <w:sz w:val="20"/>
                <w:szCs w:val="20"/>
                <w:b w:val="1"/>
                <w:bCs w:val="1"/>
                <w:color w:val="4C4C4E"/>
                <w:vertAlign w:val="superscript"/>
              </w:rPr>
              <w:t>(1)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4C4C4E"/>
              </w:rPr>
              <w:t>Principal</w:t>
            </w:r>
          </w:p>
        </w:tc>
        <w:tc>
          <w:tcPr>
            <w:tcW w:w="200" w:type="dxa"/>
            <w:vAlign w:val="bottom"/>
          </w:tcPr>
          <w:p>
            <w:pPr>
              <w:spacing w:after="0"/>
              <w:rPr>
                <w:sz w:val="17"/>
                <w:szCs w:val="17"/>
                <w:color w:val="auto"/>
              </w:rPr>
            </w:pPr>
          </w:p>
        </w:tc>
        <w:tc>
          <w:tcPr>
            <w:tcW w:w="980" w:type="dxa"/>
            <w:vAlign w:val="bottom"/>
          </w:tcPr>
          <w:p>
            <w:pPr>
              <w:jc w:val="right"/>
              <w:ind w:right="226"/>
              <w:spacing w:after="0" w:line="204" w:lineRule="exact"/>
              <w:rPr>
                <w:sz w:val="20"/>
                <w:szCs w:val="20"/>
                <w:color w:val="auto"/>
              </w:rPr>
            </w:pPr>
            <w:r>
              <w:rPr>
                <w:rFonts w:ascii="Times New Roman" w:cs="Times New Roman" w:eastAsia="Times New Roman" w:hAnsi="Times New Roman"/>
                <w:sz w:val="16"/>
                <w:szCs w:val="16"/>
                <w:b w:val="1"/>
                <w:bCs w:val="1"/>
                <w:color w:val="4C4C4E"/>
              </w:rPr>
              <w:t xml:space="preserve">Value </w:t>
            </w:r>
            <w:r>
              <w:rPr>
                <w:rFonts w:ascii="Times New Roman" w:cs="Times New Roman" w:eastAsia="Times New Roman" w:hAnsi="Times New Roman"/>
                <w:sz w:val="20"/>
                <w:szCs w:val="20"/>
                <w:b w:val="1"/>
                <w:bCs w:val="1"/>
                <w:color w:val="4C4C4E"/>
                <w:vertAlign w:val="superscript"/>
              </w:rPr>
              <w:t>(1)</w:t>
            </w:r>
          </w:p>
        </w:tc>
        <w:tc>
          <w:tcPr>
            <w:tcW w:w="60" w:type="dxa"/>
            <w:vAlign w:val="bottom"/>
          </w:tcPr>
          <w:p>
            <w:pPr>
              <w:spacing w:after="0"/>
              <w:rPr>
                <w:sz w:val="17"/>
                <w:szCs w:val="17"/>
                <w:color w:val="auto"/>
              </w:rPr>
            </w:pPr>
          </w:p>
        </w:tc>
      </w:tr>
      <w:tr>
        <w:trPr>
          <w:trHeight w:val="225"/>
        </w:trPr>
        <w:tc>
          <w:tcPr>
            <w:tcW w:w="310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2026 Notes</w:t>
            </w:r>
          </w:p>
        </w:tc>
        <w:tc>
          <w:tcPr>
            <w:tcW w:w="1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300,000</w:t>
            </w:r>
          </w:p>
        </w:tc>
        <w:tc>
          <w:tcPr>
            <w:tcW w:w="240" w:type="dxa"/>
            <w:vAlign w:val="bottom"/>
            <w:tcBorders>
              <w:top w:val="single" w:sz="8" w:color="D8EEF4"/>
            </w:tcBorders>
            <w:shd w:val="clear" w:color="auto" w:fill="D8EEF4"/>
          </w:tcPr>
          <w:p>
            <w:pPr>
              <w:spacing w:after="0"/>
              <w:rPr>
                <w:sz w:val="19"/>
                <w:szCs w:val="19"/>
                <w:color w:val="auto"/>
              </w:rPr>
            </w:pPr>
          </w:p>
        </w:tc>
        <w:tc>
          <w:tcPr>
            <w:tcW w:w="220" w:type="dxa"/>
            <w:vAlign w:val="bottom"/>
            <w:tcBorders>
              <w:top w:val="single" w:sz="8" w:color="4C4C4E"/>
            </w:tcBorders>
            <w:shd w:val="clear" w:color="auto" w:fill="D8EE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296,659</w:t>
            </w:r>
          </w:p>
        </w:tc>
        <w:tc>
          <w:tcPr>
            <w:tcW w:w="240" w:type="dxa"/>
            <w:vAlign w:val="bottom"/>
            <w:tcBorders>
              <w:top w:val="single" w:sz="8" w:color="D8EEF4"/>
            </w:tcBorders>
            <w:shd w:val="clear" w:color="auto" w:fill="D8EEF4"/>
          </w:tcPr>
          <w:p>
            <w:pPr>
              <w:spacing w:after="0"/>
              <w:rPr>
                <w:sz w:val="19"/>
                <w:szCs w:val="19"/>
                <w:color w:val="auto"/>
              </w:rPr>
            </w:pPr>
          </w:p>
        </w:tc>
        <w:tc>
          <w:tcPr>
            <w:tcW w:w="1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300,000</w:t>
            </w:r>
          </w:p>
        </w:tc>
        <w:tc>
          <w:tcPr>
            <w:tcW w:w="240" w:type="dxa"/>
            <w:vAlign w:val="bottom"/>
            <w:tcBorders>
              <w:top w:val="single" w:sz="8" w:color="D8EEF4"/>
            </w:tcBorders>
            <w:shd w:val="clear" w:color="auto" w:fill="D8EEF4"/>
          </w:tcPr>
          <w:p>
            <w:pPr>
              <w:spacing w:after="0"/>
              <w:rPr>
                <w:sz w:val="19"/>
                <w:szCs w:val="19"/>
                <w:color w:val="auto"/>
              </w:rPr>
            </w:pPr>
          </w:p>
        </w:tc>
        <w:tc>
          <w:tcPr>
            <w:tcW w:w="2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287,911</w:t>
            </w:r>
          </w:p>
        </w:tc>
        <w:tc>
          <w:tcPr>
            <w:tcW w:w="60" w:type="dxa"/>
            <w:vAlign w:val="bottom"/>
            <w:tcBorders>
              <w:top w:val="single" w:sz="8" w:color="D8EEF4"/>
            </w:tcBorders>
            <w:shd w:val="clear" w:color="auto" w:fill="D8EEF4"/>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4C4C4E"/>
              </w:rPr>
              <w:t>2028 Notes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314,473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312,012</w:t>
            </w:r>
          </w:p>
        </w:tc>
        <w:tc>
          <w:tcPr>
            <w:tcW w:w="60" w:type="dxa"/>
            <w:vAlign w:val="bottom"/>
          </w:tcPr>
          <w:p>
            <w:pPr>
              <w:spacing w:after="0"/>
              <w:rPr>
                <w:sz w:val="20"/>
                <w:szCs w:val="20"/>
                <w:color w:val="auto"/>
              </w:rPr>
            </w:pPr>
          </w:p>
        </w:tc>
      </w:tr>
      <w:tr>
        <w:trPr>
          <w:trHeight w:val="230"/>
        </w:trPr>
        <w:tc>
          <w:tcPr>
            <w:tcW w:w="31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2029 Notes</w:t>
            </w:r>
          </w:p>
        </w:tc>
        <w:tc>
          <w:tcPr>
            <w:tcW w:w="140" w:type="dxa"/>
            <w:vAlign w:val="bottom"/>
            <w:shd w:val="clear" w:color="auto" w:fill="D8EEF4"/>
          </w:tcPr>
          <w:p>
            <w:pPr>
              <w:spacing w:after="0"/>
              <w:rPr>
                <w:sz w:val="20"/>
                <w:szCs w:val="20"/>
                <w:color w:val="auto"/>
              </w:rPr>
            </w:pPr>
          </w:p>
        </w:tc>
        <w:tc>
          <w:tcPr>
            <w:tcW w:w="1300" w:type="dxa"/>
            <w:vAlign w:val="bottom"/>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350,000</w:t>
            </w:r>
          </w:p>
        </w:tc>
        <w:tc>
          <w:tcPr>
            <w:tcW w:w="220" w:type="dxa"/>
            <w:vAlign w:val="bottom"/>
            <w:shd w:val="clear" w:color="auto" w:fill="D8EEF4"/>
          </w:tcPr>
          <w:p>
            <w:pPr>
              <w:spacing w:after="0"/>
              <w:rPr>
                <w:sz w:val="20"/>
                <w:szCs w:val="20"/>
                <w:color w:val="auto"/>
              </w:rPr>
            </w:pPr>
          </w:p>
        </w:tc>
        <w:tc>
          <w:tcPr>
            <w:tcW w:w="9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361,359</w:t>
            </w:r>
          </w:p>
        </w:tc>
        <w:tc>
          <w:tcPr>
            <w:tcW w:w="240" w:type="dxa"/>
            <w:vAlign w:val="bottom"/>
            <w:shd w:val="clear" w:color="auto" w:fill="D8EEF4"/>
          </w:tcPr>
          <w:p>
            <w:pPr>
              <w:spacing w:after="0"/>
              <w:rPr>
                <w:sz w:val="20"/>
                <w:szCs w:val="20"/>
                <w:color w:val="auto"/>
              </w:rPr>
            </w:pPr>
          </w:p>
        </w:tc>
        <w:tc>
          <w:tcPr>
            <w:tcW w:w="140" w:type="dxa"/>
            <w:vAlign w:val="bottom"/>
            <w:shd w:val="clear" w:color="auto" w:fill="D8EEF4"/>
          </w:tcPr>
          <w:p>
            <w:pPr>
              <w:spacing w:after="0"/>
              <w:rPr>
                <w:sz w:val="20"/>
                <w:szCs w:val="20"/>
                <w:color w:val="auto"/>
              </w:rPr>
            </w:pPr>
          </w:p>
        </w:tc>
        <w:tc>
          <w:tcPr>
            <w:tcW w:w="1300" w:type="dxa"/>
            <w:vAlign w:val="bottom"/>
            <w:gridSpan w:val="2"/>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350,000</w:t>
            </w:r>
          </w:p>
        </w:tc>
        <w:tc>
          <w:tcPr>
            <w:tcW w:w="200" w:type="dxa"/>
            <w:vAlign w:val="bottom"/>
            <w:shd w:val="clear" w:color="auto" w:fill="D8EEF4"/>
          </w:tcPr>
          <w:p>
            <w:pPr>
              <w:spacing w:after="0"/>
              <w:rPr>
                <w:sz w:val="20"/>
                <w:szCs w:val="20"/>
                <w:color w:val="auto"/>
              </w:rPr>
            </w:pPr>
          </w:p>
        </w:tc>
        <w:tc>
          <w:tcPr>
            <w:tcW w:w="9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354,338</w:t>
            </w:r>
          </w:p>
        </w:tc>
        <w:tc>
          <w:tcPr>
            <w:tcW w:w="60" w:type="dxa"/>
            <w:vAlign w:val="bottom"/>
            <w:shd w:val="clear" w:color="auto" w:fill="D8EEF4"/>
          </w:tcPr>
          <w:p>
            <w:pPr>
              <w:spacing w:after="0"/>
              <w:rPr>
                <w:sz w:val="20"/>
                <w:szCs w:val="20"/>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4C4C4E"/>
              </w:rPr>
              <w:t>2030 Notes</w:t>
            </w:r>
          </w:p>
        </w:tc>
        <w:tc>
          <w:tcPr>
            <w:tcW w:w="1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300,000</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303,186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0"/>
                <w:szCs w:val="20"/>
                <w:color w:val="auto"/>
              </w:rPr>
            </w:pPr>
          </w:p>
        </w:tc>
      </w:tr>
      <w:tr>
        <w:trPr>
          <w:trHeight w:val="225"/>
        </w:trPr>
        <w:tc>
          <w:tcPr>
            <w:tcW w:w="3100" w:type="dxa"/>
            <w:vAlign w:val="bottom"/>
            <w:tcBorders>
              <w:top w:val="single" w:sz="8" w:color="D8EEF4"/>
            </w:tcBorders>
            <w:shd w:val="clear" w:color="auto" w:fill="D8EEF4"/>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4C4C4E"/>
              </w:rPr>
              <w:t>Total</w:t>
            </w:r>
          </w:p>
        </w:tc>
        <w:tc>
          <w:tcPr>
            <w:tcW w:w="14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106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1,250,000</w:t>
            </w:r>
          </w:p>
        </w:tc>
        <w:tc>
          <w:tcPr>
            <w:tcW w:w="240" w:type="dxa"/>
            <w:vAlign w:val="bottom"/>
            <w:tcBorders>
              <w:top w:val="single" w:sz="8" w:color="D8EEF4"/>
            </w:tcBorders>
            <w:shd w:val="clear" w:color="auto" w:fill="D8EEF4"/>
          </w:tcPr>
          <w:p>
            <w:pPr>
              <w:spacing w:after="0"/>
              <w:rPr>
                <w:sz w:val="19"/>
                <w:szCs w:val="19"/>
                <w:color w:val="auto"/>
              </w:rPr>
            </w:pPr>
          </w:p>
        </w:tc>
        <w:tc>
          <w:tcPr>
            <w:tcW w:w="220" w:type="dxa"/>
            <w:vAlign w:val="bottom"/>
            <w:tcBorders>
              <w:top w:val="single" w:sz="8" w:color="4C4C4E"/>
              <w:bottom w:val="single" w:sz="8" w:color="4C4C4E"/>
            </w:tcBorders>
            <w:shd w:val="clear" w:color="auto" w:fill="D8EE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96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1,275,677</w:t>
            </w:r>
          </w:p>
        </w:tc>
        <w:tc>
          <w:tcPr>
            <w:tcW w:w="240" w:type="dxa"/>
            <w:vAlign w:val="bottom"/>
            <w:tcBorders>
              <w:top w:val="single" w:sz="8" w:color="D8EEF4"/>
            </w:tcBorders>
            <w:shd w:val="clear" w:color="auto" w:fill="D8EEF4"/>
          </w:tcPr>
          <w:p>
            <w:pPr>
              <w:spacing w:after="0"/>
              <w:rPr>
                <w:sz w:val="19"/>
                <w:szCs w:val="19"/>
                <w:color w:val="auto"/>
              </w:rPr>
            </w:pPr>
          </w:p>
        </w:tc>
        <w:tc>
          <w:tcPr>
            <w:tcW w:w="14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950,000</w:t>
            </w:r>
          </w:p>
        </w:tc>
        <w:tc>
          <w:tcPr>
            <w:tcW w:w="240" w:type="dxa"/>
            <w:vAlign w:val="bottom"/>
            <w:tcBorders>
              <w:top w:val="single" w:sz="8" w:color="D8EEF4"/>
            </w:tcBorders>
            <w:shd w:val="clear" w:color="auto" w:fill="D8EEF4"/>
          </w:tcPr>
          <w:p>
            <w:pPr>
              <w:spacing w:after="0"/>
              <w:rPr>
                <w:sz w:val="19"/>
                <w:szCs w:val="19"/>
                <w:color w:val="auto"/>
              </w:rPr>
            </w:pPr>
          </w:p>
        </w:tc>
        <w:tc>
          <w:tcPr>
            <w:tcW w:w="20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98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954,261</w:t>
            </w:r>
          </w:p>
        </w:tc>
        <w:tc>
          <w:tcPr>
            <w:tcW w:w="60" w:type="dxa"/>
            <w:vAlign w:val="bottom"/>
            <w:tcBorders>
              <w:top w:val="single" w:sz="8" w:color="D8EEF4"/>
            </w:tcBorders>
            <w:shd w:val="clear" w:color="auto" w:fill="D8EEF4"/>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106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4C4C4E"/>
            </w:tcBorders>
          </w:tcPr>
          <w:p>
            <w:pPr>
              <w:spacing w:after="0" w:line="20" w:lineRule="exact"/>
              <w:rPr>
                <w:sz w:val="1"/>
                <w:szCs w:val="1"/>
                <w:color w:val="auto"/>
              </w:rPr>
            </w:pPr>
          </w:p>
        </w:tc>
        <w:tc>
          <w:tcPr>
            <w:tcW w:w="96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106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4C4C4E"/>
            </w:tcBorders>
          </w:tcPr>
          <w:p>
            <w:pPr>
              <w:spacing w:after="0" w:line="20" w:lineRule="exact"/>
              <w:rPr>
                <w:sz w:val="1"/>
                <w:szCs w:val="1"/>
                <w:color w:val="auto"/>
              </w:rPr>
            </w:pPr>
          </w:p>
        </w:tc>
        <w:tc>
          <w:tcPr>
            <w:tcW w:w="98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-1034415</wp:posOffset>
            </wp:positionV>
            <wp:extent cx="179387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5">
                      <a:extLst>
                        <a:ext uri="{28A0092B-C50C-407E-A947-70E740481C1C}"/>
                      </a:extLst>
                    </a:blip>
                    <a:srcRect/>
                    <a:stretch>
                      <a:fillRect/>
                    </a:stretch>
                  </pic:blipFill>
                  <pic:spPr bwMode="auto">
                    <a:xfrm>
                      <a:off x="0" y="0"/>
                      <a:ext cx="1793875" cy="38100"/>
                    </a:xfrm>
                    <a:prstGeom prst="rect">
                      <a:avLst/>
                    </a:prstGeom>
                    <a:noFill/>
                  </pic:spPr>
                </pic:pic>
              </a:graphicData>
            </a:graphic>
          </wp:anchor>
        </w:drawing>
      </w:r>
    </w:p>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(1) The fair value is based on broker quotes received by the Company and is categorized as Level 2 within the fair value hierarchy.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Other Financial Assets and Liabilities</w:t>
      </w:r>
    </w:p>
    <w:p>
      <w:pPr>
        <w:spacing w:after="0" w:line="227" w:lineRule="exact"/>
        <w:rPr>
          <w:sz w:val="20"/>
          <w:szCs w:val="20"/>
          <w:color w:val="auto"/>
        </w:rPr>
      </w:pPr>
    </w:p>
    <w:p>
      <w:pPr>
        <w:ind w:right="80" w:firstLine="245"/>
        <w:spacing w:after="0" w:line="238" w:lineRule="auto"/>
        <w:rPr>
          <w:sz w:val="20"/>
          <w:szCs w:val="20"/>
          <w:color w:val="auto"/>
        </w:rPr>
      </w:pPr>
      <w:r>
        <w:rPr>
          <w:rFonts w:ascii="Times New Roman" w:cs="Times New Roman" w:eastAsia="Times New Roman" w:hAnsi="Times New Roman"/>
          <w:sz w:val="20"/>
          <w:szCs w:val="20"/>
          <w:color w:val="4C4C4E"/>
        </w:rPr>
        <w:t>The carrying amounts of the Company’s assets and liabilities, other than investments at fair value and the 2026 Notes, 2028 Notes, 2029 Notes and 2030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7. Debt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Revolving Credit Facility</w:t>
      </w:r>
    </w:p>
    <w:p>
      <w:pPr>
        <w:spacing w:after="0" w:line="118"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4C4C4E"/>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68" w:lineRule="exact"/>
        <w:rPr>
          <w:sz w:val="20"/>
          <w:szCs w:val="20"/>
          <w:color w:val="auto"/>
        </w:rPr>
      </w:pPr>
    </w:p>
    <w:p>
      <w:pPr>
        <w:jc w:val="both"/>
        <w:ind w:right="120" w:firstLine="245"/>
        <w:spacing w:after="0" w:line="258" w:lineRule="auto"/>
        <w:rPr>
          <w:sz w:val="20"/>
          <w:szCs w:val="20"/>
          <w:color w:val="auto"/>
        </w:rPr>
      </w:pPr>
      <w:r>
        <w:rPr>
          <w:rFonts w:ascii="Times New Roman" w:cs="Times New Roman" w:eastAsia="Times New Roman" w:hAnsi="Times New Roman"/>
          <w:sz w:val="20"/>
          <w:szCs w:val="20"/>
          <w:color w:val="4C4C4E"/>
        </w:rPr>
        <w:t>As of December 31, 2025, aggregate commitments under the Revolving Credit Facility were $1.675 billion. The Revolving Credit Facility includes an uncommitted accordion feature that allows the Company, under certain circumstances, to increase the size of the Revolving Credit Facility to up to $2.5 billion.</w:t>
      </w:r>
    </w:p>
    <w:p>
      <w:pPr>
        <w:spacing w:after="0" w:line="68"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4C4C4E"/>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ended on February 4, 2025 and the stated maturity is February 4, 2026 and (B) with respect to $170.0 million of commitments, the revolving period ends April 24, 2026 and the stated maturity is April 23, 2027.</w:t>
      </w:r>
    </w:p>
    <w:p>
      <w:pPr>
        <w:spacing w:after="0" w:line="77" w:lineRule="exact"/>
        <w:rPr>
          <w:sz w:val="20"/>
          <w:szCs w:val="20"/>
          <w:color w:val="auto"/>
        </w:rPr>
      </w:pPr>
    </w:p>
    <w:p>
      <w:pPr>
        <w:ind w:right="220" w:firstLine="245"/>
        <w:spacing w:after="0" w:line="252" w:lineRule="auto"/>
        <w:rPr>
          <w:sz w:val="20"/>
          <w:szCs w:val="20"/>
          <w:color w:val="auto"/>
        </w:rPr>
      </w:pPr>
      <w:r>
        <w:rPr>
          <w:rFonts w:ascii="Times New Roman" w:cs="Times New Roman" w:eastAsia="Times New Roman" w:hAnsi="Times New Roman"/>
          <w:sz w:val="20"/>
          <w:szCs w:val="20"/>
          <w:color w:val="4C4C4E"/>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spacing w:after="0" w:line="74"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4C4C4E"/>
        </w:rPr>
        <w:t>The Company may borrow amounts in U.S. dollars or certain other permitted currencies. As of December 31, 2025, the Company had outstanding debt denominated in Australian dollars (AUD) of 3.0 million, British pounds (GBP) of 48.5 million, Canadian dollars (CAD) of 5.0 million, Swedish Krona (SEK) of 218.0 million and Euro (EUR) of 245.9 million on its Revolving Credit Facility, included in the Outstanding Principal amount in the table below. As of December 31, 2024, the Company had outstanding debt denominated in Australian dollars (AUD) of 63.0 million, British pounds (GBP) of 62.4 million, Canadian dollars (CAD) of 5.0 million, Swedish Krona (SEK) of 80.2 million and Euro (EUR) of 167.2 million on its Revolving Credit Facility, included in the Outstanding Principal amount in the table below.</w:t>
      </w:r>
    </w:p>
    <w:p>
      <w:pPr>
        <w:spacing w:after="0" w:line="80" w:lineRule="exact"/>
        <w:rPr>
          <w:sz w:val="20"/>
          <w:szCs w:val="20"/>
          <w:color w:val="auto"/>
        </w:rPr>
      </w:pPr>
    </w:p>
    <w:p>
      <w:pPr>
        <w:jc w:val="both"/>
        <w:ind w:right="360" w:firstLine="245"/>
        <w:spacing w:after="0" w:line="252" w:lineRule="auto"/>
        <w:rPr>
          <w:sz w:val="20"/>
          <w:szCs w:val="20"/>
          <w:color w:val="auto"/>
        </w:rPr>
      </w:pPr>
      <w:r>
        <w:rPr>
          <w:rFonts w:ascii="Times New Roman" w:cs="Times New Roman" w:eastAsia="Times New Roman" w:hAnsi="Times New Roman"/>
          <w:sz w:val="20"/>
          <w:szCs w:val="20"/>
          <w:color w:val="4C4C4E"/>
        </w:rPr>
        <w:t>The Revolving Credit Facility also provides for the issuance of letters of credit up to an aggregate amount of $75 million. As of December 31, 2025 and December 31, 2024 the Company had $ 21.7 million and $21.8 million outstanding letters of credit issued through the Revolving Credit Facility. The amount available for borrowing under the Revolving Credit Facility is reduced by any letters of credit issued through the Revolving Credit Facility.</w:t>
      </w:r>
    </w:p>
    <w:p>
      <w:pPr>
        <w:spacing w:after="0" w:line="74"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4C4C4E"/>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F-41</w:t>
      </w:r>
    </w:p>
    <w:p>
      <w:pPr>
        <w:sectPr>
          <w:pgSz w:w="11880" w:h="15480" w:orient="portrait"/>
          <w:cols w:equalWidth="0" w:num="1">
            <w:col w:w="10800"/>
          </w:cols>
          <w:pgMar w:left="540" w:top="739" w:right="540" w:bottom="0" w:gutter="0" w:footer="0" w:header="0"/>
        </w:sectPr>
      </w:pPr>
    </w:p>
    <w:bookmarkStart w:id="130" w:name="page131"/>
    <w:bookmarkEnd w:id="130"/>
    <w:p>
      <w:pPr>
        <w:ind w:right="60"/>
        <w:spacing w:after="0" w:line="246" w:lineRule="auto"/>
        <w:rPr>
          <w:sz w:val="20"/>
          <w:szCs w:val="20"/>
          <w:color w:val="auto"/>
        </w:rPr>
      </w:pPr>
      <w:r>
        <w:rPr>
          <w:rFonts w:ascii="Times New Roman" w:cs="Times New Roman" w:eastAsia="Times New Roman" w:hAnsi="Times New Roman"/>
          <w:sz w:val="20"/>
          <w:szCs w:val="20"/>
          <w:color w:val="4C4C4E"/>
        </w:rPr>
        <w:t>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0.325% on undrawn amounts and, in respect of each undrawn letter of credit, a fee and interest rate equal to the then applicable margin while the letter of credit is outstanding.</w:t>
      </w:r>
    </w:p>
    <w:p>
      <w:pPr>
        <w:spacing w:after="0" w:line="80"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4C4C4E"/>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74" w:lineRule="exact"/>
        <w:rPr>
          <w:sz w:val="20"/>
          <w:szCs w:val="20"/>
          <w:color w:val="auto"/>
        </w:rPr>
      </w:pPr>
    </w:p>
    <w:p>
      <w:pPr>
        <w:jc w:val="both"/>
        <w:ind w:right="480" w:firstLine="245"/>
        <w:spacing w:after="0" w:line="258" w:lineRule="auto"/>
        <w:rPr>
          <w:sz w:val="20"/>
          <w:szCs w:val="20"/>
          <w:color w:val="auto"/>
        </w:rPr>
      </w:pPr>
      <w:r>
        <w:rPr>
          <w:rFonts w:ascii="Times New Roman" w:cs="Times New Roman" w:eastAsia="Times New Roman" w:hAnsi="Times New Roman"/>
          <w:sz w:val="20"/>
          <w:szCs w:val="20"/>
          <w:color w:val="4C4C4E"/>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spacing w:after="0" w:line="83" w:lineRule="exact"/>
        <w:rPr>
          <w:sz w:val="20"/>
          <w:szCs w:val="20"/>
          <w:color w:val="auto"/>
        </w:rPr>
      </w:pPr>
    </w:p>
    <w:p>
      <w:pPr>
        <w:ind w:left="500" w:hanging="255"/>
        <w:spacing w:after="0"/>
        <w:tabs>
          <w:tab w:leader="none" w:pos="500" w:val="left"/>
        </w:tabs>
        <w:numPr>
          <w:ilvl w:val="0"/>
          <w:numId w:val="93"/>
        </w:numPr>
        <w:rPr>
          <w:rFonts w:ascii="Arial" w:cs="Arial" w:eastAsia="Arial" w:hAnsi="Arial"/>
          <w:sz w:val="20"/>
          <w:szCs w:val="20"/>
          <w:color w:val="4C4C4E"/>
        </w:rPr>
      </w:pPr>
      <w:r>
        <w:rPr>
          <w:rFonts w:ascii="Times New Roman" w:cs="Times New Roman" w:eastAsia="Times New Roman" w:hAnsi="Times New Roman"/>
          <w:sz w:val="20"/>
          <w:szCs w:val="20"/>
          <w:color w:val="4C4C4E"/>
        </w:rPr>
        <w:t>an asset coverage ratio of no less than 2 to 1 on the last day of any fiscal quarter;</w:t>
      </w:r>
    </w:p>
    <w:p>
      <w:pPr>
        <w:spacing w:after="0" w:line="133" w:lineRule="exact"/>
        <w:rPr>
          <w:rFonts w:ascii="Arial" w:cs="Arial" w:eastAsia="Arial" w:hAnsi="Arial"/>
          <w:sz w:val="20"/>
          <w:szCs w:val="20"/>
          <w:color w:val="4C4C4E"/>
        </w:rPr>
      </w:pPr>
    </w:p>
    <w:p>
      <w:pPr>
        <w:ind w:left="500" w:hanging="255"/>
        <w:spacing w:after="0"/>
        <w:tabs>
          <w:tab w:leader="none" w:pos="500" w:val="left"/>
        </w:tabs>
        <w:numPr>
          <w:ilvl w:val="0"/>
          <w:numId w:val="93"/>
        </w:numPr>
        <w:rPr>
          <w:rFonts w:ascii="Arial" w:cs="Arial" w:eastAsia="Arial" w:hAnsi="Arial"/>
          <w:sz w:val="20"/>
          <w:szCs w:val="20"/>
          <w:color w:val="4C4C4E"/>
        </w:rPr>
      </w:pPr>
      <w:r>
        <w:rPr>
          <w:rFonts w:ascii="Times New Roman" w:cs="Times New Roman" w:eastAsia="Times New Roman" w:hAnsi="Times New Roman"/>
          <w:sz w:val="20"/>
          <w:szCs w:val="20"/>
          <w:color w:val="4C4C4E"/>
        </w:rPr>
        <w:t>stockholders’ equity of at least $650 million plus 25% of the net proceeds of the sale of equity interest after April 24, 2024; and</w:t>
      </w:r>
    </w:p>
    <w:p>
      <w:pPr>
        <w:spacing w:after="0" w:line="133" w:lineRule="exact"/>
        <w:rPr>
          <w:rFonts w:ascii="Arial" w:cs="Arial" w:eastAsia="Arial" w:hAnsi="Arial"/>
          <w:sz w:val="20"/>
          <w:szCs w:val="20"/>
          <w:color w:val="4C4C4E"/>
        </w:rPr>
      </w:pPr>
    </w:p>
    <w:p>
      <w:pPr>
        <w:ind w:left="500" w:hanging="255"/>
        <w:spacing w:after="0" w:line="252" w:lineRule="auto"/>
        <w:tabs>
          <w:tab w:leader="none" w:pos="500" w:val="left"/>
        </w:tabs>
        <w:numPr>
          <w:ilvl w:val="0"/>
          <w:numId w:val="93"/>
        </w:numPr>
        <w:rPr>
          <w:rFonts w:ascii="Arial" w:cs="Arial" w:eastAsia="Arial" w:hAnsi="Arial"/>
          <w:sz w:val="20"/>
          <w:szCs w:val="20"/>
          <w:color w:val="4C4C4E"/>
        </w:rPr>
      </w:pPr>
      <w:r>
        <w:rPr>
          <w:rFonts w:ascii="Times New Roman" w:cs="Times New Roman" w:eastAsia="Times New Roman" w:hAnsi="Times New Roman"/>
          <w:sz w:val="20"/>
          <w:szCs w:val="20"/>
          <w:color w:val="4C4C4E"/>
        </w:rPr>
        <w:t>a minimum asset coverage ratio of no less than 1.5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73" w:lineRule="exact"/>
        <w:rPr>
          <w:sz w:val="20"/>
          <w:szCs w:val="20"/>
          <w:color w:val="auto"/>
        </w:rPr>
      </w:pPr>
    </w:p>
    <w:p>
      <w:pPr>
        <w:ind w:right="680" w:firstLine="245"/>
        <w:spacing w:after="0" w:line="277" w:lineRule="auto"/>
        <w:rPr>
          <w:sz w:val="20"/>
          <w:szCs w:val="20"/>
          <w:color w:val="auto"/>
        </w:rPr>
      </w:pPr>
      <w:r>
        <w:rPr>
          <w:rFonts w:ascii="Times New Roman" w:cs="Times New Roman" w:eastAsia="Times New Roman" w:hAnsi="Times New Roman"/>
          <w:sz w:val="20"/>
          <w:szCs w:val="20"/>
          <w:color w:val="4C4C4E"/>
        </w:rPr>
        <w:t>The Revolving Credit Facility also contains certain additional concentration limits in connection with the calculation of the borrowing base, based on the Obligor Asset Coverage Ratio.</w:t>
      </w:r>
    </w:p>
    <w:p>
      <w:pPr>
        <w:spacing w:after="0" w:line="49" w:lineRule="exact"/>
        <w:rPr>
          <w:sz w:val="20"/>
          <w:szCs w:val="20"/>
          <w:color w:val="auto"/>
        </w:rPr>
      </w:pPr>
    </w:p>
    <w:p>
      <w:pPr>
        <w:ind w:right="20" w:firstLine="245"/>
        <w:spacing w:after="0" w:line="277" w:lineRule="auto"/>
        <w:rPr>
          <w:sz w:val="20"/>
          <w:szCs w:val="20"/>
          <w:color w:val="auto"/>
        </w:rPr>
      </w:pPr>
      <w:r>
        <w:rPr>
          <w:rFonts w:ascii="Times New Roman" w:cs="Times New Roman" w:eastAsia="Times New Roman" w:hAnsi="Times New Roman"/>
          <w:sz w:val="20"/>
          <w:szCs w:val="20"/>
          <w:color w:val="4C4C4E"/>
        </w:rPr>
        <w:t>Net proceeds received from the Company’s issuance of the 2030 Notes were used to pay down borrowings on the Revolving Credit Facility.</w:t>
      </w:r>
    </w:p>
    <w:p>
      <w:pPr>
        <w:spacing w:after="0" w:line="49" w:lineRule="exact"/>
        <w:rPr>
          <w:sz w:val="20"/>
          <w:szCs w:val="20"/>
          <w:color w:val="auto"/>
        </w:rPr>
      </w:pPr>
    </w:p>
    <w:p>
      <w:pPr>
        <w:ind w:right="660" w:firstLine="245"/>
        <w:spacing w:after="0" w:line="277" w:lineRule="auto"/>
        <w:rPr>
          <w:sz w:val="20"/>
          <w:szCs w:val="20"/>
          <w:color w:val="auto"/>
        </w:rPr>
      </w:pPr>
      <w:r>
        <w:rPr>
          <w:rFonts w:ascii="Times New Roman" w:cs="Times New Roman" w:eastAsia="Times New Roman" w:hAnsi="Times New Roman"/>
          <w:sz w:val="20"/>
          <w:szCs w:val="20"/>
          <w:color w:val="4C4C4E"/>
        </w:rPr>
        <w:t>As of December 31, 2025 and December 31, 2024, the Company was in compliance with the terms of the Revolving Credit Facility.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2023 Notes</w:t>
      </w:r>
    </w:p>
    <w:p>
      <w:pPr>
        <w:spacing w:after="0" w:line="118" w:lineRule="exact"/>
        <w:rPr>
          <w:sz w:val="20"/>
          <w:szCs w:val="20"/>
          <w:color w:val="auto"/>
        </w:rPr>
      </w:pPr>
    </w:p>
    <w:p>
      <w:pPr>
        <w:ind w:right="220" w:firstLine="245"/>
        <w:spacing w:after="0" w:line="246" w:lineRule="auto"/>
        <w:rPr>
          <w:sz w:val="20"/>
          <w:szCs w:val="20"/>
          <w:color w:val="auto"/>
        </w:rPr>
      </w:pPr>
      <w:r>
        <w:rPr>
          <w:rFonts w:ascii="Times New Roman" w:cs="Times New Roman" w:eastAsia="Times New Roman" w:hAnsi="Times New Roman"/>
          <w:sz w:val="20"/>
          <w:szCs w:val="20"/>
          <w:color w:val="4C4C4E"/>
        </w:rPr>
        <w:t>In January 2018, the Company issued $150.0 million aggregate principal amount of unsecured notes that matured on January 22, 2023 (the “2023 Notes”) .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2024 Notes</w:t>
      </w:r>
    </w:p>
    <w:p>
      <w:pPr>
        <w:spacing w:after="0" w:line="118"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4C4C4E"/>
        </w:rPr>
        <w:t>In November 2019, the Company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80" w:lineRule="exact"/>
        <w:rPr>
          <w:sz w:val="20"/>
          <w:szCs w:val="20"/>
          <w:color w:val="auto"/>
        </w:rPr>
      </w:pPr>
    </w:p>
    <w:p>
      <w:pPr>
        <w:ind w:right="60" w:firstLine="245"/>
        <w:spacing w:after="0" w:line="265" w:lineRule="auto"/>
        <w:rPr>
          <w:sz w:val="20"/>
          <w:szCs w:val="20"/>
          <w:color w:val="auto"/>
        </w:rPr>
      </w:pPr>
      <w:r>
        <w:rPr>
          <w:rFonts w:ascii="Times New Roman" w:cs="Times New Roman" w:eastAsia="Times New Roman" w:hAnsi="Times New Roman"/>
          <w:sz w:val="19"/>
          <w:szCs w:val="19"/>
          <w:color w:val="4C4C4E"/>
        </w:rPr>
        <w:t>In February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64" w:lineRule="exact"/>
        <w:rPr>
          <w:sz w:val="20"/>
          <w:szCs w:val="20"/>
          <w:color w:val="auto"/>
        </w:rPr>
      </w:pPr>
    </w:p>
    <w:p>
      <w:pPr>
        <w:ind w:right="100" w:firstLine="245"/>
        <w:spacing w:after="0" w:line="278" w:lineRule="auto"/>
        <w:rPr>
          <w:sz w:val="20"/>
          <w:szCs w:val="20"/>
          <w:color w:val="auto"/>
        </w:rPr>
      </w:pPr>
      <w:r>
        <w:rPr>
          <w:rFonts w:ascii="Times New Roman" w:cs="Times New Roman" w:eastAsia="Times New Roman" w:hAnsi="Times New Roman"/>
          <w:sz w:val="19"/>
          <w:szCs w:val="19"/>
          <w:color w:val="4C4C4E"/>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w:t>
      </w:r>
    </w:p>
    <w:p>
      <w:pPr>
        <w:sectPr>
          <w:pgSz w:w="11880" w:h="15480" w:orient="portrait"/>
          <w:cols w:equalWidth="0" w:num="1">
            <w:col w:w="10780"/>
          </w:cols>
          <w:pgMar w:left="540" w:top="750" w:right="560" w:bottom="6"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4C4C4E"/>
        </w:rPr>
        <w:t>F-42</w:t>
      </w:r>
    </w:p>
    <w:p>
      <w:pPr>
        <w:sectPr>
          <w:pgSz w:w="11880" w:h="15480" w:orient="portrait"/>
          <w:cols w:equalWidth="0" w:num="1">
            <w:col w:w="10780"/>
          </w:cols>
          <w:pgMar w:left="540" w:top="750" w:right="560" w:bottom="6" w:gutter="0" w:footer="0" w:header="0"/>
          <w:type w:val="continuous"/>
        </w:sectPr>
      </w:pPr>
    </w:p>
    <w:bookmarkStart w:id="131" w:name="page132"/>
    <w:bookmarkEnd w:id="131"/>
    <w:p>
      <w:pPr>
        <w:ind w:right="140" w:firstLine="245"/>
        <w:spacing w:after="0" w:line="277" w:lineRule="auto"/>
        <w:rPr>
          <w:sz w:val="20"/>
          <w:szCs w:val="20"/>
          <w:color w:val="auto"/>
        </w:rPr>
      </w:pPr>
      <w:r>
        <w:rPr>
          <w:rFonts w:ascii="Times New Roman" w:cs="Times New Roman" w:eastAsia="Times New Roman" w:hAnsi="Times New Roman"/>
          <w:sz w:val="20"/>
          <w:szCs w:val="20"/>
          <w:color w:val="4C4C4E"/>
        </w:rPr>
        <w:t>The Company’s 2024 Notes matured on November 1, 2024 and were fully repaid. The corresponding swap transaction associated with the issuance of the 2024 Notes also matured on November 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2026 Notes</w:t>
      </w:r>
    </w:p>
    <w:p>
      <w:pPr>
        <w:spacing w:after="0" w:line="118" w:lineRule="exact"/>
        <w:rPr>
          <w:sz w:val="20"/>
          <w:szCs w:val="20"/>
          <w:color w:val="auto"/>
        </w:rPr>
      </w:pPr>
    </w:p>
    <w:p>
      <w:pPr>
        <w:ind w:right="360" w:firstLine="245"/>
        <w:spacing w:after="0" w:line="268" w:lineRule="auto"/>
        <w:rPr>
          <w:sz w:val="20"/>
          <w:szCs w:val="20"/>
          <w:color w:val="auto"/>
        </w:rPr>
      </w:pPr>
      <w:r>
        <w:rPr>
          <w:rFonts w:ascii="Times New Roman" w:cs="Times New Roman" w:eastAsia="Times New Roman" w:hAnsi="Times New Roman"/>
          <w:sz w:val="19"/>
          <w:szCs w:val="19"/>
          <w:color w:val="4C4C4E"/>
        </w:rPr>
        <w:t>In February 2021, the Company issued $300.0 million aggregate principal amount of unsecured notes that mature on August 1, 2026 (the “2026 Notes”). The principal amount of the 2026 Notes is payable at maturity. The 2026 Notes bear interest at a rate of</w:t>
      </w:r>
    </w:p>
    <w:p>
      <w:pPr>
        <w:ind w:right="180"/>
        <w:spacing w:after="0" w:line="242" w:lineRule="auto"/>
        <w:rPr>
          <w:sz w:val="20"/>
          <w:szCs w:val="20"/>
          <w:color w:val="auto"/>
        </w:rPr>
      </w:pPr>
      <w:r>
        <w:rPr>
          <w:rFonts w:ascii="Times New Roman" w:cs="Times New Roman" w:eastAsia="Times New Roman" w:hAnsi="Times New Roman"/>
          <w:sz w:val="20"/>
          <w:szCs w:val="20"/>
          <w:color w:val="4C4C4E"/>
        </w:rPr>
        <w:t>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 connection with the issuance of the 2026 Notes, the Company entered into an interest rate swap to align the interest rates of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liabilities with the Company’s investment portfolio, which consists of predominately floating rate loans. The notional amount of the</w:t>
      </w:r>
    </w:p>
    <w:p>
      <w:pPr>
        <w:spacing w:after="0"/>
        <w:rPr>
          <w:sz w:val="20"/>
          <w:szCs w:val="20"/>
          <w:color w:val="auto"/>
        </w:rPr>
      </w:pPr>
      <w:r>
        <w:rPr>
          <w:rFonts w:ascii="Times New Roman" w:cs="Times New Roman" w:eastAsia="Times New Roman" w:hAnsi="Times New Roman"/>
          <w:sz w:val="20"/>
          <w:szCs w:val="20"/>
          <w:color w:val="4C4C4E"/>
        </w:rPr>
        <w:t>interest rate swap is $300.0 million, which matures on August 1, 2026, matching the maturity date of the 2026 Notes. As a result of</w:t>
      </w:r>
    </w:p>
    <w:p>
      <w:pPr>
        <w:spacing w:after="0"/>
        <w:rPr>
          <w:sz w:val="20"/>
          <w:szCs w:val="20"/>
          <w:color w:val="auto"/>
        </w:rPr>
      </w:pPr>
      <w:r>
        <w:rPr>
          <w:rFonts w:ascii="Times New Roman" w:cs="Times New Roman" w:eastAsia="Times New Roman" w:hAnsi="Times New Roman"/>
          <w:sz w:val="19"/>
          <w:szCs w:val="19"/>
          <w:color w:val="4C4C4E"/>
        </w:rPr>
        <w:t>the swap, the Company’s effective interest rate on the 2026 Notes is SOFR plus 2.17%. The interest expense related to the 2026 Notes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is offset by proceeds received from the interest rate swaps designated as a hedge. The swap adjusted interest expense is included as a</w:t>
      </w:r>
    </w:p>
    <w:p>
      <w:pPr>
        <w:spacing w:after="0"/>
        <w:rPr>
          <w:sz w:val="20"/>
          <w:szCs w:val="20"/>
          <w:color w:val="auto"/>
        </w:rPr>
      </w:pPr>
      <w:r>
        <w:rPr>
          <w:rFonts w:ascii="Times New Roman" w:cs="Times New Roman" w:eastAsia="Times New Roman" w:hAnsi="Times New Roman"/>
          <w:sz w:val="20"/>
          <w:szCs w:val="20"/>
          <w:color w:val="4C4C4E"/>
        </w:rPr>
        <w:t>component of interest expense on the Company’s Consolidated Statements of Operations. As of December 31, 2025 and</w:t>
      </w:r>
    </w:p>
    <w:p>
      <w:pPr>
        <w:spacing w:after="0"/>
        <w:rPr>
          <w:sz w:val="20"/>
          <w:szCs w:val="20"/>
          <w:color w:val="auto"/>
        </w:rPr>
      </w:pPr>
      <w:r>
        <w:rPr>
          <w:rFonts w:ascii="Times New Roman" w:cs="Times New Roman" w:eastAsia="Times New Roman" w:hAnsi="Times New Roman"/>
          <w:sz w:val="20"/>
          <w:szCs w:val="20"/>
          <w:color w:val="4C4C4E"/>
        </w:rPr>
        <w:t>December 31, 2024, the effective hedge interest rate swaps had a fair value of $(5.8) million and $(17.6) million, respectively, which</w:t>
      </w:r>
    </w:p>
    <w:p>
      <w:pPr>
        <w:spacing w:after="0"/>
        <w:rPr>
          <w:sz w:val="20"/>
          <w:szCs w:val="20"/>
          <w:color w:val="auto"/>
        </w:rPr>
      </w:pPr>
      <w:r>
        <w:rPr>
          <w:rFonts w:ascii="Times New Roman" w:cs="Times New Roman" w:eastAsia="Times New Roman" w:hAnsi="Times New Roman"/>
          <w:sz w:val="20"/>
          <w:szCs w:val="20"/>
          <w:color w:val="4C4C4E"/>
        </w:rPr>
        <w:t>is offset within interest expense by an equal, but opposite, fair value change for the hedged risk on the 2026 Notes.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2028 Notes</w:t>
      </w:r>
    </w:p>
    <w:p>
      <w:pPr>
        <w:spacing w:after="0" w:line="118" w:lineRule="exact"/>
        <w:rPr>
          <w:sz w:val="20"/>
          <w:szCs w:val="20"/>
          <w:color w:val="auto"/>
        </w:rPr>
      </w:pPr>
    </w:p>
    <w:p>
      <w:pPr>
        <w:ind w:right="300" w:firstLine="245"/>
        <w:spacing w:after="0" w:line="247" w:lineRule="auto"/>
        <w:rPr>
          <w:sz w:val="20"/>
          <w:szCs w:val="20"/>
          <w:color w:val="auto"/>
        </w:rPr>
      </w:pPr>
      <w:r>
        <w:rPr>
          <w:rFonts w:ascii="Times New Roman" w:cs="Times New Roman" w:eastAsia="Times New Roman" w:hAnsi="Times New Roman"/>
          <w:sz w:val="20"/>
          <w:szCs w:val="20"/>
          <w:color w:val="4C4C4E"/>
        </w:rPr>
        <w:t>In August 2023, the Company issued $300.0 million aggregate principal amount of unsecured notes that mature on August 14, 2028 (the “2028 Notes”) . The principal amount of the 2028 Notes is payable at maturity. The 2028 Notes bear interest at a rate of 6.95% per year, payable semi- 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 connection with the issuance of the 2028 Notes, the Company entered into an interest rate swap to align the interest rates of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liabilities with the Company’s investment portfolio, which consists of predominately floating rate loans. The notional amount of the</w:t>
      </w:r>
    </w:p>
    <w:p>
      <w:pPr>
        <w:spacing w:after="0"/>
        <w:rPr>
          <w:sz w:val="20"/>
          <w:szCs w:val="20"/>
          <w:color w:val="auto"/>
        </w:rPr>
      </w:pPr>
      <w:r>
        <w:rPr>
          <w:rFonts w:ascii="Times New Roman" w:cs="Times New Roman" w:eastAsia="Times New Roman" w:hAnsi="Times New Roman"/>
          <w:sz w:val="20"/>
          <w:szCs w:val="20"/>
          <w:color w:val="4C4C4E"/>
        </w:rPr>
        <w:t>interest rate swap is $300.0 million, which matures on August 14, 2028, matching the maturity date of the 2028 Notes. As a result of</w:t>
      </w:r>
    </w:p>
    <w:p>
      <w:pPr>
        <w:spacing w:after="0"/>
        <w:rPr>
          <w:sz w:val="20"/>
          <w:szCs w:val="20"/>
          <w:color w:val="auto"/>
        </w:rPr>
      </w:pPr>
      <w:r>
        <w:rPr>
          <w:rFonts w:ascii="Times New Roman" w:cs="Times New Roman" w:eastAsia="Times New Roman" w:hAnsi="Times New Roman"/>
          <w:sz w:val="19"/>
          <w:szCs w:val="19"/>
          <w:color w:val="4C4C4E"/>
        </w:rPr>
        <w:t>the swap, the Company’s effective interest rate on the 2028 Notes is SOFR plus 2.99%. The interest expense related to the 2028 Notes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is offset by proceeds received from the interest rate swaps designated as a hedge. The swap adjusted interest expense is included as a</w:t>
      </w:r>
    </w:p>
    <w:p>
      <w:pPr>
        <w:spacing w:after="0"/>
        <w:rPr>
          <w:sz w:val="20"/>
          <w:szCs w:val="20"/>
          <w:color w:val="auto"/>
        </w:rPr>
      </w:pPr>
      <w:r>
        <w:rPr>
          <w:rFonts w:ascii="Times New Roman" w:cs="Times New Roman" w:eastAsia="Times New Roman" w:hAnsi="Times New Roman"/>
          <w:sz w:val="20"/>
          <w:szCs w:val="20"/>
          <w:color w:val="4C4C4E"/>
        </w:rPr>
        <w:t>component of interest expense on the Company’s Consolidated Statements of Operations. As of December 31, 2025 and</w:t>
      </w:r>
    </w:p>
    <w:p>
      <w:pPr>
        <w:spacing w:after="0"/>
        <w:rPr>
          <w:sz w:val="20"/>
          <w:szCs w:val="20"/>
          <w:color w:val="auto"/>
        </w:rPr>
      </w:pPr>
      <w:r>
        <w:rPr>
          <w:rFonts w:ascii="Times New Roman" w:cs="Times New Roman" w:eastAsia="Times New Roman" w:hAnsi="Times New Roman"/>
          <w:sz w:val="20"/>
          <w:szCs w:val="20"/>
          <w:color w:val="4C4C4E"/>
        </w:rPr>
        <w:t>December 31, 2024, the effective hedge interest rate swaps had a fair value of $4.5 million and $(1.4) million, respectively, which is</w:t>
      </w:r>
    </w:p>
    <w:p>
      <w:pPr>
        <w:spacing w:after="0"/>
        <w:rPr>
          <w:sz w:val="20"/>
          <w:szCs w:val="20"/>
          <w:color w:val="auto"/>
        </w:rPr>
      </w:pPr>
      <w:r>
        <w:rPr>
          <w:rFonts w:ascii="Times New Roman" w:cs="Times New Roman" w:eastAsia="Times New Roman" w:hAnsi="Times New Roman"/>
          <w:sz w:val="20"/>
          <w:szCs w:val="20"/>
          <w:color w:val="4C4C4E"/>
        </w:rPr>
        <w:t>offset within interest expense by an equal, but opposite, fair value change for the hedged risk on the 2028 Notes.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2029 Notes</w:t>
      </w:r>
    </w:p>
    <w:p>
      <w:pPr>
        <w:spacing w:after="0" w:line="118" w:lineRule="exact"/>
        <w:rPr>
          <w:sz w:val="20"/>
          <w:szCs w:val="20"/>
          <w:color w:val="auto"/>
        </w:rPr>
      </w:pPr>
    </w:p>
    <w:p>
      <w:pPr>
        <w:ind w:right="60" w:firstLine="245"/>
        <w:spacing w:after="0" w:line="247" w:lineRule="auto"/>
        <w:rPr>
          <w:sz w:val="20"/>
          <w:szCs w:val="20"/>
          <w:color w:val="auto"/>
        </w:rPr>
      </w:pPr>
      <w:r>
        <w:rPr>
          <w:rFonts w:ascii="Times New Roman" w:cs="Times New Roman" w:eastAsia="Times New Roman" w:hAnsi="Times New Roman"/>
          <w:sz w:val="20"/>
          <w:szCs w:val="20"/>
          <w:color w:val="4C4C4E"/>
        </w:rPr>
        <w:t>In January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$ 341.6 million. The Company used the net proceeds of the 2029 Notes to repay outstanding indebtedness under the Revolving Credit Facility.</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In connection with the issuance of the 2029 Notes, the Company entered into an interest rate swap to align the interest rates of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liabilities with the Company’s investment portfolio, which consists of predominately floating rate loans. The notional amount of the</w:t>
      </w:r>
    </w:p>
    <w:p>
      <w:pPr>
        <w:spacing w:after="0"/>
        <w:rPr>
          <w:sz w:val="20"/>
          <w:szCs w:val="20"/>
          <w:color w:val="auto"/>
        </w:rPr>
      </w:pPr>
      <w:r>
        <w:rPr>
          <w:rFonts w:ascii="Times New Roman" w:cs="Times New Roman" w:eastAsia="Times New Roman" w:hAnsi="Times New Roman"/>
          <w:sz w:val="20"/>
          <w:szCs w:val="20"/>
          <w:color w:val="4C4C4E"/>
        </w:rPr>
        <w:t>interest rate swap is $350.0 million, which matures on March 1, 2029, matching the maturity date of the 2029 Notes. As a result of the</w:t>
      </w:r>
    </w:p>
    <w:p>
      <w:pPr>
        <w:spacing w:after="0"/>
        <w:rPr>
          <w:sz w:val="20"/>
          <w:szCs w:val="20"/>
          <w:color w:val="auto"/>
        </w:rPr>
      </w:pPr>
      <w:r>
        <w:rPr>
          <w:rFonts w:ascii="Times New Roman" w:cs="Times New Roman" w:eastAsia="Times New Roman" w:hAnsi="Times New Roman"/>
          <w:sz w:val="20"/>
          <w:szCs w:val="20"/>
          <w:color w:val="4C4C4E"/>
        </w:rPr>
        <w:t>swap, the Company’s effective interest rate on the 2029 Notes is SOFR plus 2.44%. The interest expense related to the 2029 Notes is</w:t>
      </w:r>
    </w:p>
    <w:p>
      <w:pPr>
        <w:spacing w:after="0"/>
        <w:rPr>
          <w:sz w:val="20"/>
          <w:szCs w:val="20"/>
          <w:color w:val="auto"/>
        </w:rPr>
      </w:pPr>
      <w:r>
        <w:rPr>
          <w:rFonts w:ascii="Times New Roman" w:cs="Times New Roman" w:eastAsia="Times New Roman" w:hAnsi="Times New Roman"/>
          <w:sz w:val="20"/>
          <w:szCs w:val="20"/>
          <w:color w:val="4C4C4E"/>
        </w:rPr>
        <w:t>offset by proceeds received from the interest rate swaps designated as a hedge. The swap adjusted interest expense is included as a</w:t>
      </w:r>
    </w:p>
    <w:p>
      <w:pPr>
        <w:spacing w:after="0"/>
        <w:rPr>
          <w:sz w:val="20"/>
          <w:szCs w:val="20"/>
          <w:color w:val="auto"/>
        </w:rPr>
      </w:pPr>
      <w:r>
        <w:rPr>
          <w:rFonts w:ascii="Times New Roman" w:cs="Times New Roman" w:eastAsia="Times New Roman" w:hAnsi="Times New Roman"/>
          <w:sz w:val="20"/>
          <w:szCs w:val="20"/>
          <w:color w:val="4C4C4E"/>
        </w:rPr>
        <w:t>component of interest expense on the Company’s Consolidated Statements of Operations. As of December 31, 2025 and</w:t>
      </w:r>
    </w:p>
    <w:p>
      <w:pPr>
        <w:spacing w:after="0"/>
        <w:rPr>
          <w:sz w:val="20"/>
          <w:szCs w:val="20"/>
          <w:color w:val="auto"/>
        </w:rPr>
      </w:pPr>
      <w:r>
        <w:rPr>
          <w:rFonts w:ascii="Times New Roman" w:cs="Times New Roman" w:eastAsia="Times New Roman" w:hAnsi="Times New Roman"/>
          <w:sz w:val="20"/>
          <w:szCs w:val="20"/>
          <w:color w:val="4C4C4E"/>
        </w:rPr>
        <w:t>December 31, 2024, the effective hedge interest rate swaps had a fair value of $3.3 million and $(5.2) million, respectively, which is</w:t>
      </w:r>
    </w:p>
    <w:p>
      <w:pPr>
        <w:spacing w:after="0"/>
        <w:rPr>
          <w:sz w:val="20"/>
          <w:szCs w:val="20"/>
          <w:color w:val="auto"/>
        </w:rPr>
      </w:pPr>
      <w:r>
        <w:rPr>
          <w:rFonts w:ascii="Times New Roman" w:cs="Times New Roman" w:eastAsia="Times New Roman" w:hAnsi="Times New Roman"/>
          <w:sz w:val="20"/>
          <w:szCs w:val="20"/>
          <w:color w:val="4C4C4E"/>
        </w:rPr>
        <w:t>offset within interest expense by an equal, but opposite, fair value change for the hedged risk on the 2029 Notes.</w:t>
      </w:r>
    </w:p>
    <w:p>
      <w:pPr>
        <w:sectPr>
          <w:pgSz w:w="11880" w:h="15480" w:orient="portrait"/>
          <w:cols w:equalWidth="0" w:num="1">
            <w:col w:w="10760"/>
          </w:cols>
          <w:pgMar w:left="540" w:top="750" w:right="5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4C4C4E"/>
        </w:rPr>
        <w:t>F-43</w:t>
      </w:r>
    </w:p>
    <w:p>
      <w:pPr>
        <w:sectPr>
          <w:pgSz w:w="11880" w:h="15480" w:orient="portrait"/>
          <w:cols w:equalWidth="0" w:num="1">
            <w:col w:w="10760"/>
          </w:cols>
          <w:pgMar w:left="540" w:top="750" w:right="580" w:bottom="6"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i w:val="1"/>
          <w:iCs w:val="1"/>
          <w:color w:val="4C4C4E"/>
        </w:rPr>
        <w:t>2030 Notes</w:t>
      </w:r>
    </w:p>
    <w:p>
      <w:pPr>
        <w:spacing w:after="0" w:line="118" w:lineRule="exact"/>
        <w:rPr>
          <w:sz w:val="20"/>
          <w:szCs w:val="20"/>
          <w:color w:val="auto"/>
        </w:rPr>
      </w:pPr>
    </w:p>
    <w:p>
      <w:pPr>
        <w:ind w:right="300" w:firstLine="245"/>
        <w:spacing w:after="0" w:line="268" w:lineRule="auto"/>
        <w:rPr>
          <w:sz w:val="20"/>
          <w:szCs w:val="20"/>
          <w:color w:val="auto"/>
        </w:rPr>
      </w:pPr>
      <w:r>
        <w:rPr>
          <w:rFonts w:ascii="Times New Roman" w:cs="Times New Roman" w:eastAsia="Times New Roman" w:hAnsi="Times New Roman"/>
          <w:sz w:val="19"/>
          <w:szCs w:val="19"/>
          <w:color w:val="4C4C4E"/>
        </w:rPr>
        <w:t>In February 2025, the Company issued $300.0 million aggregate principal amount of unsecured notes that mature on August 15, 2030 (the “2030 Notes”). The principal amount of the 2030 Notes is payable at maturity. The 2030 Notes bear interest at a rate of</w:t>
      </w:r>
    </w:p>
    <w:p>
      <w:pPr>
        <w:ind w:right="220"/>
        <w:spacing w:after="0" w:line="242" w:lineRule="auto"/>
        <w:rPr>
          <w:sz w:val="20"/>
          <w:szCs w:val="20"/>
          <w:color w:val="auto"/>
        </w:rPr>
      </w:pPr>
      <w:r>
        <w:rPr>
          <w:rFonts w:ascii="Times New Roman" w:cs="Times New Roman" w:eastAsia="Times New Roman" w:hAnsi="Times New Roman"/>
          <w:sz w:val="20"/>
          <w:szCs w:val="20"/>
          <w:color w:val="4C4C4E"/>
        </w:rPr>
        <w:t>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The Company used the net proceeds of the 2030 Notes to repay outstanding indebtedness under the Revolving Credit Facility.</w:t>
      </w:r>
    </w:p>
    <w:p>
      <w:pPr>
        <w:spacing w:after="0" w:line="84" w:lineRule="exact"/>
        <w:rPr>
          <w:sz w:val="20"/>
          <w:szCs w:val="20"/>
          <w:color w:val="auto"/>
        </w:rPr>
      </w:pPr>
    </w:p>
    <w:p>
      <w:pPr>
        <w:ind w:right="40" w:firstLine="245"/>
        <w:spacing w:after="0" w:line="245" w:lineRule="auto"/>
        <w:rPr>
          <w:sz w:val="20"/>
          <w:szCs w:val="20"/>
          <w:color w:val="auto"/>
        </w:rPr>
      </w:pPr>
      <w:r>
        <w:rPr>
          <w:rFonts w:ascii="Times New Roman" w:cs="Times New Roman" w:eastAsia="Times New Roman" w:hAnsi="Times New Roman"/>
          <w:sz w:val="20"/>
          <w:szCs w:val="20"/>
          <w:color w:val="4C4C4E"/>
        </w:rPr>
        <w:t>In connection with the issuance of the 2030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2030, matching the maturity date of the 2030 Notes. As a result of the swap, the Company’s effective interest rate on the 2030 Notes is SOFR plus 1.53%. The interest expense related to the 2030 Notes is offset by proceeds received from the interest rate swaps designated as a hedge. The swap adjusted interest expense is included as a component of interest expense on the Company’s Consolidated Statements of Operations. As of December 31, 2025, the effective hedge interest rate swaps had a fair value of $8.3 million which is offset within interest expense by an equal, but opposite, fair value change for the hedged risk on the 2030 Notes.</w:t>
      </w:r>
    </w:p>
    <w:p>
      <w:pPr>
        <w:spacing w:after="0" w:line="202" w:lineRule="exact"/>
        <w:rPr>
          <w:sz w:val="20"/>
          <w:szCs w:val="20"/>
          <w:color w:val="auto"/>
        </w:rPr>
      </w:pPr>
    </w:p>
    <w:p>
      <w:pPr>
        <w:ind w:right="20" w:firstLine="245"/>
        <w:spacing w:after="0" w:line="277" w:lineRule="auto"/>
        <w:rPr>
          <w:sz w:val="20"/>
          <w:szCs w:val="20"/>
          <w:color w:val="auto"/>
        </w:rPr>
      </w:pPr>
      <w:r>
        <w:rPr>
          <w:rFonts w:ascii="Times New Roman" w:cs="Times New Roman" w:eastAsia="Times New Roman" w:hAnsi="Times New Roman"/>
          <w:sz w:val="20"/>
          <w:szCs w:val="20"/>
          <w:color w:val="4C4C4E"/>
        </w:rPr>
        <w:t>For the years ended December 31, 2025, December 31, 2024 and December 31, 2023, the components of interest expense related to the 2023 Notes, 2024 Notes, 2026 Notes, 2028 Notes, 2029 Notes and 2030 Notes were as follows:</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4C4C4E"/>
              </w:rPr>
              <w:t>For the Year Ended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9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0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10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rPr>
              <w:t>December 31, 2023</w:t>
            </w:r>
          </w:p>
        </w:tc>
        <w:tc>
          <w:tcPr>
            <w:tcW w:w="80" w:type="dxa"/>
            <w:vAlign w:val="bottom"/>
          </w:tcPr>
          <w:p>
            <w:pPr>
              <w:spacing w:after="0"/>
              <w:rPr>
                <w:sz w:val="17"/>
                <w:szCs w:val="17"/>
                <w:color w:val="auto"/>
              </w:rPr>
            </w:pPr>
          </w:p>
        </w:tc>
      </w:tr>
      <w:tr>
        <w:trPr>
          <w:trHeight w:val="253"/>
        </w:trPr>
        <w:tc>
          <w:tcPr>
            <w:tcW w:w="492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Interest expense</w:t>
            </w:r>
          </w:p>
        </w:tc>
        <w:tc>
          <w:tcPr>
            <w:tcW w:w="460" w:type="dxa"/>
            <w:vAlign w:val="bottom"/>
            <w:tcBorders>
              <w:top w:val="single" w:sz="8" w:color="4C4C4E"/>
            </w:tcBorders>
            <w:shd w:val="clear" w:color="auto" w:fill="D8EEF4"/>
          </w:tcPr>
          <w:p>
            <w:pPr>
              <w:jc w:val="right"/>
              <w:ind w:right="267"/>
              <w:spacing w:after="0"/>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64,131</w:t>
            </w:r>
          </w:p>
        </w:tc>
        <w:tc>
          <w:tcPr>
            <w:tcW w:w="200" w:type="dxa"/>
            <w:vAlign w:val="bottom"/>
            <w:tcBorders>
              <w:top w:val="single" w:sz="8" w:color="D8EEF4"/>
            </w:tcBorders>
            <w:shd w:val="clear" w:color="auto" w:fill="D8EEF4"/>
          </w:tcPr>
          <w:p>
            <w:pPr>
              <w:spacing w:after="0"/>
              <w:rPr>
                <w:sz w:val="22"/>
                <w:szCs w:val="22"/>
                <w:color w:val="auto"/>
              </w:rPr>
            </w:pPr>
          </w:p>
        </w:tc>
        <w:tc>
          <w:tcPr>
            <w:tcW w:w="44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w:t>
            </w:r>
          </w:p>
        </w:tc>
        <w:tc>
          <w:tcPr>
            <w:tcW w:w="8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60,116</w:t>
            </w:r>
          </w:p>
        </w:tc>
        <w:tc>
          <w:tcPr>
            <w:tcW w:w="120" w:type="dxa"/>
            <w:vAlign w:val="bottom"/>
            <w:tcBorders>
              <w:top w:val="single" w:sz="8" w:color="D8EEF4"/>
            </w:tcBorders>
            <w:shd w:val="clear" w:color="auto" w:fill="D8EEF4"/>
          </w:tcPr>
          <w:p>
            <w:pPr>
              <w:spacing w:after="0"/>
              <w:rPr>
                <w:sz w:val="22"/>
                <w:szCs w:val="22"/>
                <w:color w:val="auto"/>
              </w:rPr>
            </w:pPr>
          </w:p>
        </w:tc>
        <w:tc>
          <w:tcPr>
            <w:tcW w:w="100" w:type="dxa"/>
            <w:vAlign w:val="bottom"/>
            <w:tcBorders>
              <w:top w:val="single" w:sz="8" w:color="D8EEF4"/>
            </w:tcBorders>
            <w:shd w:val="clear" w:color="auto" w:fill="D8EEF4"/>
          </w:tcPr>
          <w:p>
            <w:pPr>
              <w:spacing w:after="0"/>
              <w:rPr>
                <w:sz w:val="22"/>
                <w:szCs w:val="22"/>
                <w:color w:val="auto"/>
              </w:rPr>
            </w:pPr>
          </w:p>
        </w:tc>
        <w:tc>
          <w:tcPr>
            <w:tcW w:w="480" w:type="dxa"/>
            <w:vAlign w:val="bottom"/>
            <w:tcBorders>
              <w:top w:val="single" w:sz="8" w:color="4C4C4E"/>
            </w:tcBorders>
            <w:shd w:val="clear" w:color="auto" w:fill="D8EEF4"/>
          </w:tcPr>
          <w:p>
            <w:pPr>
              <w:jc w:val="right"/>
              <w:ind w:right="290"/>
              <w:spacing w:after="0"/>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29,294</w:t>
            </w:r>
          </w:p>
        </w:tc>
        <w:tc>
          <w:tcPr>
            <w:tcW w:w="80" w:type="dxa"/>
            <w:vAlign w:val="bottom"/>
            <w:tcBorders>
              <w:top w:val="single" w:sz="8" w:color="D8EEF4"/>
            </w:tcBorders>
            <w:shd w:val="clear" w:color="auto" w:fill="D8EEF4"/>
          </w:tcPr>
          <w:p>
            <w:pPr>
              <w:spacing w:after="0"/>
              <w:rPr>
                <w:sz w:val="22"/>
                <w:szCs w:val="22"/>
                <w:color w:val="auto"/>
              </w:rPr>
            </w:pPr>
          </w:p>
        </w:tc>
      </w:tr>
      <w:tr>
        <w:trPr>
          <w:trHeight w:val="24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4C4C4E"/>
              </w:rPr>
              <w:t>Accretion of original issue discount</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1,857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1,614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899</w:t>
            </w:r>
          </w:p>
        </w:tc>
        <w:tc>
          <w:tcPr>
            <w:tcW w:w="80" w:type="dxa"/>
            <w:vAlign w:val="bottom"/>
          </w:tcPr>
          <w:p>
            <w:pPr>
              <w:spacing w:after="0"/>
              <w:rPr>
                <w:sz w:val="21"/>
                <w:szCs w:val="21"/>
                <w:color w:val="auto"/>
              </w:rPr>
            </w:pPr>
          </w:p>
        </w:tc>
      </w:tr>
      <w:tr>
        <w:trPr>
          <w:trHeight w:val="258"/>
        </w:trPr>
        <w:tc>
          <w:tcPr>
            <w:tcW w:w="49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Amortization of deferred financing costs</w:t>
            </w:r>
          </w:p>
        </w:tc>
        <w:tc>
          <w:tcPr>
            <w:tcW w:w="460" w:type="dxa"/>
            <w:vAlign w:val="bottom"/>
            <w:tcBorders>
              <w:bottom w:val="single" w:sz="8" w:color="4C4C4E"/>
            </w:tcBorders>
            <w:shd w:val="clear" w:color="auto" w:fill="D8EEF4"/>
          </w:tcPr>
          <w:p>
            <w:pPr>
              <w:spacing w:after="0"/>
              <w:rPr>
                <w:sz w:val="22"/>
                <w:szCs w:val="22"/>
                <w:color w:val="auto"/>
              </w:rPr>
            </w:pPr>
          </w:p>
        </w:tc>
        <w:tc>
          <w:tcPr>
            <w:tcW w:w="9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3,229</w:t>
            </w:r>
          </w:p>
        </w:tc>
        <w:tc>
          <w:tcPr>
            <w:tcW w:w="200" w:type="dxa"/>
            <w:vAlign w:val="bottom"/>
            <w:shd w:val="clear" w:color="auto" w:fill="D8EEF4"/>
          </w:tcPr>
          <w:p>
            <w:pPr>
              <w:spacing w:after="0"/>
              <w:rPr>
                <w:sz w:val="22"/>
                <w:szCs w:val="22"/>
                <w:color w:val="auto"/>
              </w:rPr>
            </w:pPr>
          </w:p>
        </w:tc>
        <w:tc>
          <w:tcPr>
            <w:tcW w:w="440" w:type="dxa"/>
            <w:vAlign w:val="bottom"/>
            <w:tcBorders>
              <w:bottom w:val="single" w:sz="8" w:color="4C4C4E"/>
            </w:tcBorders>
            <w:shd w:val="clear" w:color="auto" w:fill="D8EEF4"/>
          </w:tcPr>
          <w:p>
            <w:pPr>
              <w:spacing w:after="0"/>
              <w:rPr>
                <w:sz w:val="22"/>
                <w:szCs w:val="22"/>
                <w:color w:val="auto"/>
              </w:rPr>
            </w:pPr>
          </w:p>
        </w:tc>
        <w:tc>
          <w:tcPr>
            <w:tcW w:w="8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3,409</w:t>
            </w:r>
          </w:p>
        </w:tc>
        <w:tc>
          <w:tcPr>
            <w:tcW w:w="120" w:type="dxa"/>
            <w:vAlign w:val="bottom"/>
            <w:shd w:val="clear" w:color="auto" w:fill="D8EEF4"/>
          </w:tcPr>
          <w:p>
            <w:pPr>
              <w:spacing w:after="0"/>
              <w:rPr>
                <w:sz w:val="22"/>
                <w:szCs w:val="22"/>
                <w:color w:val="auto"/>
              </w:rPr>
            </w:pPr>
          </w:p>
        </w:tc>
        <w:tc>
          <w:tcPr>
            <w:tcW w:w="100" w:type="dxa"/>
            <w:vAlign w:val="bottom"/>
            <w:shd w:val="clear" w:color="auto" w:fill="D8EEF4"/>
          </w:tcPr>
          <w:p>
            <w:pPr>
              <w:spacing w:after="0"/>
              <w:rPr>
                <w:sz w:val="22"/>
                <w:szCs w:val="22"/>
                <w:color w:val="auto"/>
              </w:rPr>
            </w:pPr>
          </w:p>
        </w:tc>
        <w:tc>
          <w:tcPr>
            <w:tcW w:w="480" w:type="dxa"/>
            <w:vAlign w:val="bottom"/>
            <w:tcBorders>
              <w:bottom w:val="single" w:sz="8" w:color="4C4C4E"/>
            </w:tcBorders>
            <w:shd w:val="clear" w:color="auto" w:fill="D8EEF4"/>
          </w:tcPr>
          <w:p>
            <w:pPr>
              <w:spacing w:after="0"/>
              <w:rPr>
                <w:sz w:val="22"/>
                <w:szCs w:val="22"/>
                <w:color w:val="auto"/>
              </w:rPr>
            </w:pPr>
          </w:p>
        </w:tc>
        <w:tc>
          <w:tcPr>
            <w:tcW w:w="9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2,131</w:t>
            </w:r>
          </w:p>
        </w:tc>
        <w:tc>
          <w:tcPr>
            <w:tcW w:w="80" w:type="dxa"/>
            <w:vAlign w:val="bottom"/>
            <w:shd w:val="clear" w:color="auto" w:fill="D8EEF4"/>
          </w:tcPr>
          <w:p>
            <w:pPr>
              <w:spacing w:after="0"/>
              <w:rPr>
                <w:sz w:val="22"/>
                <w:szCs w:val="22"/>
                <w:color w:val="auto"/>
              </w:rPr>
            </w:pPr>
          </w:p>
        </w:tc>
      </w:tr>
      <w:tr>
        <w:trPr>
          <w:trHeight w:val="253"/>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Interest Expense</w:t>
            </w:r>
          </w:p>
        </w:tc>
        <w:tc>
          <w:tcPr>
            <w:tcW w:w="46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69,217</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C4C4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65,139</w:t>
            </w:r>
          </w:p>
        </w:tc>
        <w:tc>
          <w:tcPr>
            <w:tcW w:w="120" w:type="dxa"/>
            <w:vAlign w:val="bottom"/>
          </w:tcPr>
          <w:p>
            <w:pPr>
              <w:spacing w:after="0"/>
              <w:rPr>
                <w:sz w:val="22"/>
                <w:szCs w:val="22"/>
                <w:color w:val="auto"/>
              </w:rPr>
            </w:pP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20"/>
                <w:szCs w:val="20"/>
                <w:color w:val="4C4C4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32,324</w:t>
            </w:r>
          </w:p>
        </w:tc>
        <w:tc>
          <w:tcPr>
            <w:tcW w:w="80" w:type="dxa"/>
            <w:vAlign w:val="bottom"/>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460" w:type="dxa"/>
            <w:vAlign w:val="bottom"/>
            <w:tcBorders>
              <w:top w:val="single" w:sz="8" w:color="4C4C4E"/>
              <w:bottom w:val="single" w:sz="8" w:color="4C4C4E"/>
            </w:tcBorders>
          </w:tcPr>
          <w:p>
            <w:pPr>
              <w:spacing w:after="0" w:line="20" w:lineRule="exact"/>
              <w:rPr>
                <w:sz w:val="1"/>
                <w:szCs w:val="1"/>
                <w:color w:val="auto"/>
              </w:rPr>
            </w:pPr>
          </w:p>
        </w:tc>
        <w:tc>
          <w:tcPr>
            <w:tcW w:w="920" w:type="dxa"/>
            <w:vAlign w:val="bottom"/>
            <w:tcBorders>
              <w:top w:val="single" w:sz="8" w:color="4C4C4E"/>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4C4C4E"/>
              <w:bottom w:val="single" w:sz="8" w:color="4C4C4E"/>
            </w:tcBorders>
          </w:tcPr>
          <w:p>
            <w:pPr>
              <w:spacing w:after="0" w:line="20" w:lineRule="exact"/>
              <w:rPr>
                <w:sz w:val="1"/>
                <w:szCs w:val="1"/>
                <w:color w:val="auto"/>
              </w:rPr>
            </w:pPr>
          </w:p>
        </w:tc>
        <w:tc>
          <w:tcPr>
            <w:tcW w:w="880" w:type="dxa"/>
            <w:vAlign w:val="bottom"/>
            <w:tcBorders>
              <w:top w:val="single" w:sz="8" w:color="4C4C4E"/>
              <w:bottom w:val="single" w:sz="8" w:color="4C4C4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4C4C4E"/>
              <w:bottom w:val="single" w:sz="8" w:color="4C4C4E"/>
            </w:tcBorders>
          </w:tcPr>
          <w:p>
            <w:pPr>
              <w:spacing w:after="0" w:line="20" w:lineRule="exact"/>
              <w:rPr>
                <w:sz w:val="1"/>
                <w:szCs w:val="1"/>
                <w:color w:val="auto"/>
              </w:rPr>
            </w:pPr>
          </w:p>
        </w:tc>
        <w:tc>
          <w:tcPr>
            <w:tcW w:w="920" w:type="dxa"/>
            <w:vAlign w:val="bottom"/>
            <w:tcBorders>
              <w:top w:val="single" w:sz="8" w:color="4C4C4E"/>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-843280</wp:posOffset>
            </wp:positionV>
            <wp:extent cx="291084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6">
                      <a:extLst>
                        <a:ext uri="{28A0092B-C50C-407E-A947-70E740481C1C}"/>
                      </a:extLst>
                    </a:blip>
                    <a:srcRect/>
                    <a:stretch>
                      <a:fillRect/>
                    </a:stretch>
                  </pic:blipFill>
                  <pic:spPr bwMode="auto">
                    <a:xfrm>
                      <a:off x="0" y="0"/>
                      <a:ext cx="2910840" cy="38100"/>
                    </a:xfrm>
                    <a:prstGeom prst="rect">
                      <a:avLst/>
                    </a:prstGeom>
                    <a:noFill/>
                  </pic:spPr>
                </pic:pic>
              </a:graphicData>
            </a:graphic>
          </wp:anchor>
        </w:drawing>
      </w:r>
    </w:p>
    <w:p>
      <w:pPr>
        <w:spacing w:after="0" w:line="201"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Total interest expense in the table above does not include the effect of the interest rate swaps related to the 2023 Notes, 2024 Notes, 2026 Notes, 2028 Notes, 2029 Notes and 2030 Notes. During the years ended December 31, 2025, December 31, 2024 and December 31, 2023, the Company received $63.9 million, $ 60.2 million, and $29.5 million, respectively, and paid $80.3 million, $96.7 million and $ 58.5 million, respectively, related to the settlements of its interest rate swaps related to the 2023 Notes, 2024 Notes, 2026 Notes, 2028 Notes, 2029 Notes and 2030 Notes. These net amounts are included in interest expense in the Company’s Consolidated Statements of Operations. Please see Note 5 for further information about the Company’s interest rate swaps.</w:t>
      </w:r>
    </w:p>
    <w:p>
      <w:pPr>
        <w:spacing w:after="0" w:line="200" w:lineRule="exact"/>
        <w:rPr>
          <w:sz w:val="20"/>
          <w:szCs w:val="20"/>
          <w:color w:val="auto"/>
        </w:rPr>
      </w:pPr>
    </w:p>
    <w:p>
      <w:pPr>
        <w:ind w:right="260" w:firstLine="245"/>
        <w:spacing w:after="0" w:line="258" w:lineRule="auto"/>
        <w:rPr>
          <w:sz w:val="20"/>
          <w:szCs w:val="20"/>
          <w:color w:val="auto"/>
        </w:rPr>
      </w:pPr>
      <w:r>
        <w:rPr>
          <w:rFonts w:ascii="Times New Roman" w:cs="Times New Roman" w:eastAsia="Times New Roman" w:hAnsi="Times New Roman"/>
          <w:sz w:val="20"/>
          <w:szCs w:val="20"/>
          <w:color w:val="4C4C4E"/>
        </w:rPr>
        <w:t>As of December 31, 2025, the components of the carrying value of the 2026 Notes, 2028 Notes, 2029 Notes and 2030 Notes and the stated interest rates were as follows:</w:t>
      </w:r>
    </w:p>
    <w:p>
      <w:pPr>
        <w:spacing w:after="0" w:line="2"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4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8"/>
        </w:trPr>
        <w:tc>
          <w:tcPr>
            <w:tcW w:w="4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4C4C4E"/>
              </w:rPr>
              <w:t>2026 Notes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4C4C4E"/>
                <w:w w:val="99"/>
              </w:rPr>
              <w:t>2028 Notes</w:t>
            </w:r>
          </w:p>
        </w:tc>
        <w:tc>
          <w:tcPr>
            <w:tcW w:w="80" w:type="dxa"/>
            <w:vAlign w:val="bottom"/>
          </w:tcPr>
          <w:p>
            <w:pPr>
              <w:spacing w:after="0"/>
              <w:rPr>
                <w:sz w:val="22"/>
                <w:szCs w:val="22"/>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4C4C4E"/>
              </w:rPr>
              <w:t>2029 Notes</w:t>
            </w:r>
          </w:p>
        </w:tc>
        <w:tc>
          <w:tcPr>
            <w:tcW w:w="60" w:type="dxa"/>
            <w:vAlign w:val="bottom"/>
          </w:tcPr>
          <w:p>
            <w:pPr>
              <w:spacing w:after="0"/>
              <w:rPr>
                <w:sz w:val="22"/>
                <w:szCs w:val="2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4C4C4E"/>
              </w:rPr>
              <w:t>2030 Notes</w:t>
            </w:r>
          </w:p>
        </w:tc>
      </w:tr>
      <w:tr>
        <w:trPr>
          <w:trHeight w:val="239"/>
        </w:trPr>
        <w:tc>
          <w:tcPr>
            <w:tcW w:w="42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Principal amount of debt</w:t>
            </w:r>
          </w:p>
        </w:tc>
        <w:tc>
          <w:tcPr>
            <w:tcW w:w="8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97"/>
                <w:shd w:val="clear" w:color="auto" w:fill="D8EEF4"/>
              </w:rPr>
              <w:t>$ 300,000</w:t>
            </w:r>
          </w:p>
        </w:tc>
        <w:tc>
          <w:tcPr>
            <w:tcW w:w="220" w:type="dxa"/>
            <w:vAlign w:val="bottom"/>
            <w:tcBorders>
              <w:top w:val="single" w:sz="8" w:color="D8EEF4"/>
            </w:tcBorders>
            <w:shd w:val="clear" w:color="auto" w:fill="D8EEF4"/>
          </w:tcPr>
          <w:p>
            <w:pPr>
              <w:spacing w:after="0"/>
              <w:rPr>
                <w:sz w:val="20"/>
                <w:szCs w:val="20"/>
                <w:color w:val="auto"/>
              </w:rPr>
            </w:pPr>
          </w:p>
        </w:tc>
        <w:tc>
          <w:tcPr>
            <w:tcW w:w="60" w:type="dxa"/>
            <w:vAlign w:val="bottom"/>
            <w:tcBorders>
              <w:top w:val="single" w:sz="8" w:color="D8EEF4"/>
            </w:tcBorders>
            <w:shd w:val="clear" w:color="auto" w:fill="D8EEF4"/>
          </w:tcPr>
          <w:p>
            <w:pPr>
              <w:spacing w:after="0"/>
              <w:rPr>
                <w:sz w:val="20"/>
                <w:szCs w:val="20"/>
                <w:color w:val="auto"/>
              </w:rPr>
            </w:pPr>
          </w:p>
        </w:tc>
        <w:tc>
          <w:tcPr>
            <w:tcW w:w="1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90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300,000</w:t>
            </w:r>
          </w:p>
        </w:tc>
        <w:tc>
          <w:tcPr>
            <w:tcW w:w="220" w:type="dxa"/>
            <w:vAlign w:val="bottom"/>
            <w:tcBorders>
              <w:top w:val="single" w:sz="8" w:color="D8EEF4"/>
            </w:tcBorders>
            <w:shd w:val="clear" w:color="auto" w:fill="D8EEF4"/>
          </w:tcPr>
          <w:p>
            <w:pPr>
              <w:spacing w:after="0"/>
              <w:rPr>
                <w:sz w:val="20"/>
                <w:szCs w:val="20"/>
                <w:color w:val="auto"/>
              </w:rPr>
            </w:pPr>
          </w:p>
        </w:tc>
        <w:tc>
          <w:tcPr>
            <w:tcW w:w="80" w:type="dxa"/>
            <w:vAlign w:val="bottom"/>
            <w:tcBorders>
              <w:top w:val="single" w:sz="8" w:color="D8EEF4"/>
            </w:tcBorders>
            <w:shd w:val="clear" w:color="auto" w:fill="D8EEF4"/>
          </w:tcPr>
          <w:p>
            <w:pPr>
              <w:spacing w:after="0"/>
              <w:rPr>
                <w:sz w:val="20"/>
                <w:szCs w:val="20"/>
                <w:color w:val="auto"/>
              </w:rPr>
            </w:pPr>
          </w:p>
        </w:tc>
        <w:tc>
          <w:tcPr>
            <w:tcW w:w="1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350,000</w:t>
            </w:r>
          </w:p>
        </w:tc>
        <w:tc>
          <w:tcPr>
            <w:tcW w:w="240" w:type="dxa"/>
            <w:vAlign w:val="bottom"/>
            <w:tcBorders>
              <w:top w:val="single" w:sz="8" w:color="D8EEF4"/>
            </w:tcBorders>
            <w:shd w:val="clear" w:color="auto" w:fill="D8EEF4"/>
          </w:tcPr>
          <w:p>
            <w:pPr>
              <w:spacing w:after="0"/>
              <w:rPr>
                <w:sz w:val="20"/>
                <w:szCs w:val="20"/>
                <w:color w:val="auto"/>
              </w:rPr>
            </w:pPr>
          </w:p>
        </w:tc>
        <w:tc>
          <w:tcPr>
            <w:tcW w:w="60" w:type="dxa"/>
            <w:vAlign w:val="bottom"/>
            <w:tcBorders>
              <w:top w:val="single" w:sz="8" w:color="D8EEF4"/>
            </w:tcBorders>
            <w:shd w:val="clear" w:color="auto" w:fill="D8EEF4"/>
          </w:tcPr>
          <w:p>
            <w:pPr>
              <w:spacing w:after="0"/>
              <w:rPr>
                <w:sz w:val="20"/>
                <w:szCs w:val="20"/>
                <w:color w:val="auto"/>
              </w:rPr>
            </w:pPr>
          </w:p>
        </w:tc>
        <w:tc>
          <w:tcPr>
            <w:tcW w:w="1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300,000</w:t>
            </w:r>
          </w:p>
        </w:tc>
        <w:tc>
          <w:tcPr>
            <w:tcW w:w="200" w:type="dxa"/>
            <w:vAlign w:val="bottom"/>
            <w:tcBorders>
              <w:top w:val="single" w:sz="8" w:color="D8EEF4"/>
            </w:tcBorders>
            <w:shd w:val="clear" w:color="auto" w:fill="D8EEF4"/>
          </w:tcPr>
          <w:p>
            <w:pPr>
              <w:spacing w:after="0"/>
              <w:rPr>
                <w:sz w:val="20"/>
                <w:szCs w:val="20"/>
                <w:color w:val="auto"/>
              </w:rPr>
            </w:pP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4C4C4E"/>
              </w:rPr>
              <w:t>Original issue discount, net of accretion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(249)</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(1,015)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(2,207)</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(3,099)</w:t>
            </w:r>
          </w:p>
        </w:tc>
        <w:tc>
          <w:tcPr>
            <w:tcW w:w="200" w:type="dxa"/>
            <w:vAlign w:val="bottom"/>
          </w:tcPr>
          <w:p>
            <w:pPr>
              <w:spacing w:after="0"/>
              <w:rPr>
                <w:sz w:val="21"/>
                <w:szCs w:val="21"/>
                <w:color w:val="auto"/>
              </w:rPr>
            </w:pPr>
          </w:p>
        </w:tc>
      </w:tr>
      <w:tr>
        <w:trPr>
          <w:trHeight w:val="244"/>
        </w:trPr>
        <w:tc>
          <w:tcPr>
            <w:tcW w:w="42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Deferred financing costs</w:t>
            </w:r>
          </w:p>
        </w:tc>
        <w:tc>
          <w:tcPr>
            <w:tcW w:w="104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(436)</w:t>
            </w:r>
          </w:p>
        </w:tc>
        <w:tc>
          <w:tcPr>
            <w:tcW w:w="60" w:type="dxa"/>
            <w:vAlign w:val="bottom"/>
            <w:shd w:val="clear" w:color="auto" w:fill="D8EEF4"/>
          </w:tcPr>
          <w:p>
            <w:pPr>
              <w:spacing w:after="0"/>
              <w:rPr>
                <w:sz w:val="21"/>
                <w:szCs w:val="21"/>
                <w:color w:val="auto"/>
              </w:rPr>
            </w:pPr>
          </w:p>
        </w:tc>
        <w:tc>
          <w:tcPr>
            <w:tcW w:w="120" w:type="dxa"/>
            <w:vAlign w:val="bottom"/>
            <w:shd w:val="clear" w:color="auto" w:fill="D8EEF4"/>
          </w:tcPr>
          <w:p>
            <w:pPr>
              <w:spacing w:after="0"/>
              <w:rPr>
                <w:sz w:val="21"/>
                <w:szCs w:val="21"/>
                <w:color w:val="auto"/>
              </w:rPr>
            </w:pPr>
          </w:p>
        </w:tc>
        <w:tc>
          <w:tcPr>
            <w:tcW w:w="112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(2,264)</w:t>
            </w:r>
          </w:p>
        </w:tc>
        <w:tc>
          <w:tcPr>
            <w:tcW w:w="80" w:type="dxa"/>
            <w:vAlign w:val="bottom"/>
            <w:shd w:val="clear" w:color="auto" w:fill="D8EEF4"/>
          </w:tcPr>
          <w:p>
            <w:pPr>
              <w:spacing w:after="0"/>
              <w:rPr>
                <w:sz w:val="21"/>
                <w:szCs w:val="21"/>
                <w:color w:val="auto"/>
              </w:rPr>
            </w:pPr>
          </w:p>
        </w:tc>
        <w:tc>
          <w:tcPr>
            <w:tcW w:w="160" w:type="dxa"/>
            <w:vAlign w:val="bottom"/>
            <w:shd w:val="clear" w:color="auto" w:fill="D8EEF4"/>
          </w:tcPr>
          <w:p>
            <w:pPr>
              <w:spacing w:after="0"/>
              <w:rPr>
                <w:sz w:val="21"/>
                <w:szCs w:val="21"/>
                <w:color w:val="auto"/>
              </w:rPr>
            </w:pPr>
          </w:p>
        </w:tc>
        <w:tc>
          <w:tcPr>
            <w:tcW w:w="96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(3,115)</w:t>
            </w:r>
          </w:p>
        </w:tc>
        <w:tc>
          <w:tcPr>
            <w:tcW w:w="6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940" w:type="dxa"/>
            <w:vAlign w:val="bottom"/>
            <w:gridSpan w:val="2"/>
            <w:shd w:val="clear" w:color="auto" w:fill="D8EEF4"/>
          </w:tcPr>
          <w:p>
            <w:pPr>
              <w:jc w:val="right"/>
              <w:ind w:right="140"/>
              <w:spacing w:after="0"/>
              <w:rPr>
                <w:sz w:val="20"/>
                <w:szCs w:val="20"/>
                <w:color w:val="auto"/>
              </w:rPr>
            </w:pPr>
            <w:r>
              <w:rPr>
                <w:rFonts w:ascii="Times New Roman" w:cs="Times New Roman" w:eastAsia="Times New Roman" w:hAnsi="Times New Roman"/>
                <w:sz w:val="20"/>
                <w:szCs w:val="20"/>
                <w:color w:val="4C4C4E"/>
              </w:rPr>
              <w:t>(3,461)</w:t>
            </w: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4C4C4E"/>
              </w:rPr>
              <w:t>Fair value of an effective hedge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(5,785)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4,495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3,307</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8,284</w:t>
            </w:r>
          </w:p>
        </w:tc>
        <w:tc>
          <w:tcPr>
            <w:tcW w:w="200" w:type="dxa"/>
            <w:vAlign w:val="bottom"/>
          </w:tcPr>
          <w:p>
            <w:pPr>
              <w:spacing w:after="0"/>
              <w:rPr>
                <w:sz w:val="21"/>
                <w:szCs w:val="21"/>
                <w:color w:val="auto"/>
              </w:rPr>
            </w:pPr>
          </w:p>
        </w:tc>
      </w:tr>
      <w:tr>
        <w:trPr>
          <w:trHeight w:val="259"/>
        </w:trPr>
        <w:tc>
          <w:tcPr>
            <w:tcW w:w="4240" w:type="dxa"/>
            <w:vAlign w:val="bottom"/>
            <w:tcBorders>
              <w:top w:val="single" w:sz="8" w:color="D8EEF4"/>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b w:val="1"/>
                <w:bCs w:val="1"/>
                <w:color w:val="4C4C4E"/>
              </w:rPr>
              <w:t>Carrying value of debt</w:t>
            </w:r>
          </w:p>
        </w:tc>
        <w:tc>
          <w:tcPr>
            <w:tcW w:w="8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97"/>
                <w:shd w:val="clear" w:color="auto" w:fill="D8EEF4"/>
              </w:rPr>
              <w:t>$ 293,530</w:t>
            </w:r>
          </w:p>
        </w:tc>
        <w:tc>
          <w:tcPr>
            <w:tcW w:w="220" w:type="dxa"/>
            <w:vAlign w:val="bottom"/>
            <w:tcBorders>
              <w:top w:val="single" w:sz="8" w:color="D8EEF4"/>
              <w:bottom w:val="single" w:sz="8" w:color="D8EEF4"/>
            </w:tcBorders>
            <w:shd w:val="clear" w:color="auto" w:fill="D8EEF4"/>
          </w:tcPr>
          <w:p>
            <w:pPr>
              <w:spacing w:after="0"/>
              <w:rPr>
                <w:sz w:val="22"/>
                <w:szCs w:val="22"/>
                <w:color w:val="auto"/>
              </w:rPr>
            </w:pPr>
          </w:p>
        </w:tc>
        <w:tc>
          <w:tcPr>
            <w:tcW w:w="60" w:type="dxa"/>
            <w:vAlign w:val="bottom"/>
            <w:tcBorders>
              <w:top w:val="single" w:sz="8" w:color="D8EEF4"/>
              <w:bottom w:val="single" w:sz="8" w:color="D8EEF4"/>
            </w:tcBorders>
            <w:shd w:val="clear" w:color="auto" w:fill="D8EEF4"/>
          </w:tcPr>
          <w:p>
            <w:pPr>
              <w:spacing w:after="0"/>
              <w:rPr>
                <w:sz w:val="22"/>
                <w:szCs w:val="22"/>
                <w:color w:val="auto"/>
              </w:rPr>
            </w:pPr>
          </w:p>
        </w:tc>
        <w:tc>
          <w:tcPr>
            <w:tcW w:w="1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9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301,216</w:t>
            </w:r>
          </w:p>
        </w:tc>
        <w:tc>
          <w:tcPr>
            <w:tcW w:w="220" w:type="dxa"/>
            <w:vAlign w:val="bottom"/>
            <w:tcBorders>
              <w:top w:val="single" w:sz="8" w:color="D8EEF4"/>
              <w:bottom w:val="single" w:sz="8" w:color="D8EEF4"/>
            </w:tcBorders>
            <w:shd w:val="clear" w:color="auto" w:fill="D8EEF4"/>
          </w:tcPr>
          <w:p>
            <w:pPr>
              <w:spacing w:after="0"/>
              <w:rPr>
                <w:sz w:val="22"/>
                <w:szCs w:val="22"/>
                <w:color w:val="auto"/>
              </w:rPr>
            </w:pP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c>
          <w:tcPr>
            <w:tcW w:w="1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347,985</w:t>
            </w:r>
          </w:p>
        </w:tc>
        <w:tc>
          <w:tcPr>
            <w:tcW w:w="240" w:type="dxa"/>
            <w:vAlign w:val="bottom"/>
            <w:tcBorders>
              <w:top w:val="single" w:sz="8" w:color="D8EEF4"/>
              <w:bottom w:val="single" w:sz="8" w:color="D8EEF4"/>
            </w:tcBorders>
            <w:shd w:val="clear" w:color="auto" w:fill="D8EEF4"/>
          </w:tcPr>
          <w:p>
            <w:pPr>
              <w:spacing w:after="0"/>
              <w:rPr>
                <w:sz w:val="22"/>
                <w:szCs w:val="22"/>
                <w:color w:val="auto"/>
              </w:rPr>
            </w:pPr>
          </w:p>
        </w:tc>
        <w:tc>
          <w:tcPr>
            <w:tcW w:w="60" w:type="dxa"/>
            <w:vAlign w:val="bottom"/>
            <w:tcBorders>
              <w:top w:val="single" w:sz="8" w:color="D8EEF4"/>
              <w:bottom w:val="single" w:sz="8" w:color="D8EEF4"/>
            </w:tcBorders>
            <w:shd w:val="clear" w:color="auto" w:fill="D8EEF4"/>
          </w:tcPr>
          <w:p>
            <w:pPr>
              <w:spacing w:after="0"/>
              <w:rPr>
                <w:sz w:val="22"/>
                <w:szCs w:val="22"/>
                <w:color w:val="auto"/>
              </w:rPr>
            </w:pPr>
          </w:p>
        </w:tc>
        <w:tc>
          <w:tcPr>
            <w:tcW w:w="1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301,724</w:t>
            </w:r>
          </w:p>
        </w:tc>
        <w:tc>
          <w:tcPr>
            <w:tcW w:w="200" w:type="dxa"/>
            <w:vAlign w:val="bottom"/>
            <w:tcBorders>
              <w:top w:val="single" w:sz="8" w:color="D8EEF4"/>
              <w:bottom w:val="single" w:sz="8" w:color="D8EEF4"/>
            </w:tcBorders>
            <w:shd w:val="clear" w:color="auto" w:fill="D8EEF4"/>
          </w:tcPr>
          <w:p>
            <w:pPr>
              <w:spacing w:after="0"/>
              <w:rPr>
                <w:sz w:val="22"/>
                <w:szCs w:val="22"/>
                <w:color w:val="auto"/>
              </w:rPr>
            </w:pPr>
          </w:p>
        </w:tc>
      </w:tr>
      <w:tr>
        <w:trPr>
          <w:trHeight w:val="20"/>
        </w:trPr>
        <w:tc>
          <w:tcPr>
            <w:tcW w:w="4240" w:type="dxa"/>
            <w:vAlign w:val="bottom"/>
          </w:tcPr>
          <w:p>
            <w:pPr>
              <w:spacing w:after="0" w:line="20" w:lineRule="exact"/>
              <w:rPr>
                <w:sz w:val="1"/>
                <w:szCs w:val="1"/>
                <w:color w:val="auto"/>
              </w:rPr>
            </w:pPr>
          </w:p>
        </w:tc>
        <w:tc>
          <w:tcPr>
            <w:tcW w:w="82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90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72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740" w:type="dxa"/>
            <w:vAlign w:val="bottom"/>
            <w:tcBorders>
              <w:bottom w:val="single" w:sz="8" w:color="4C4C4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4C4C4E"/>
              </w:rPr>
              <w:t>Stated interest rate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2.50%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6.95%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6.13%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-1214755</wp:posOffset>
            </wp:positionV>
            <wp:extent cx="290195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7">
                      <a:extLst>
                        <a:ext uri="{28A0092B-C50C-407E-A947-70E740481C1C}"/>
                      </a:extLst>
                    </a:blip>
                    <a:srcRect/>
                    <a:stretch>
                      <a:fillRect/>
                    </a:stretch>
                  </pic:blipFill>
                  <pic:spPr bwMode="auto">
                    <a:xfrm>
                      <a:off x="0" y="0"/>
                      <a:ext cx="2901950" cy="38100"/>
                    </a:xfrm>
                    <a:prstGeom prst="rect">
                      <a:avLst/>
                    </a:prstGeom>
                    <a:noFill/>
                  </pic:spPr>
                </pic:pic>
              </a:graphicData>
            </a:graphic>
          </wp:anchor>
        </w:drawing>
      </w:r>
    </w:p>
    <w:p>
      <w:pPr>
        <w:spacing w:after="0" w:line="184" w:lineRule="exact"/>
        <w:rPr>
          <w:sz w:val="20"/>
          <w:szCs w:val="20"/>
          <w:color w:val="auto"/>
        </w:rPr>
      </w:pPr>
    </w:p>
    <w:p>
      <w:pPr>
        <w:ind w:right="480" w:firstLine="245"/>
        <w:spacing w:after="0" w:line="253" w:lineRule="auto"/>
        <w:rPr>
          <w:sz w:val="20"/>
          <w:szCs w:val="20"/>
          <w:color w:val="auto"/>
        </w:rPr>
      </w:pPr>
      <w:r>
        <w:rPr>
          <w:rFonts w:ascii="Times New Roman" w:cs="Times New Roman" w:eastAsia="Times New Roman" w:hAnsi="Times New Roman"/>
          <w:sz w:val="20"/>
          <w:szCs w:val="20"/>
          <w:color w:val="4C4C4E"/>
        </w:rPr>
        <w:t>As of December 31, 2024, the components of the carrying value of the 2026 Notes, 2028 Notes and 2029 Notes and the stated interest rates were as follows:</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9"/>
        </w:trPr>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4C4C4E"/>
                <w:w w:val="98"/>
              </w:rPr>
              <w:t>December 31, 2024</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4C4C4E"/>
              </w:rPr>
              <w:t>2026 Notes</w:t>
            </w:r>
          </w:p>
        </w:tc>
        <w:tc>
          <w:tcPr>
            <w:tcW w:w="120" w:type="dxa"/>
            <w:vAlign w:val="bottom"/>
          </w:tcPr>
          <w:p>
            <w:pPr>
              <w:spacing w:after="0"/>
              <w:rPr>
                <w:sz w:val="17"/>
                <w:szCs w:val="17"/>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4C4C4E"/>
              </w:rPr>
              <w:t>2028 Notes</w:t>
            </w:r>
          </w:p>
        </w:tc>
        <w:tc>
          <w:tcPr>
            <w:tcW w:w="18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4C4C4E"/>
              </w:rPr>
              <w:t>2029 Notes</w:t>
            </w:r>
          </w:p>
        </w:tc>
        <w:tc>
          <w:tcPr>
            <w:tcW w:w="0" w:type="dxa"/>
            <w:vAlign w:val="bottom"/>
          </w:tcPr>
          <w:p>
            <w:pPr>
              <w:spacing w:after="0"/>
              <w:rPr>
                <w:sz w:val="1"/>
                <w:szCs w:val="1"/>
                <w:color w:val="auto"/>
              </w:rPr>
            </w:pPr>
          </w:p>
        </w:tc>
      </w:tr>
      <w:tr>
        <w:trPr>
          <w:trHeight w:val="225"/>
        </w:trPr>
        <w:tc>
          <w:tcPr>
            <w:tcW w:w="426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Principal amount of debt</w:t>
            </w:r>
          </w:p>
        </w:tc>
        <w:tc>
          <w:tcPr>
            <w:tcW w:w="1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300,000</w:t>
            </w:r>
          </w:p>
        </w:tc>
        <w:tc>
          <w:tcPr>
            <w:tcW w:w="360" w:type="dxa"/>
            <w:vAlign w:val="bottom"/>
            <w:tcBorders>
              <w:top w:val="single" w:sz="8" w:color="D8EEF4"/>
            </w:tcBorders>
            <w:shd w:val="clear" w:color="auto" w:fill="D8EEF4"/>
          </w:tcPr>
          <w:p>
            <w:pPr>
              <w:spacing w:after="0"/>
              <w:rPr>
                <w:sz w:val="19"/>
                <w:szCs w:val="19"/>
                <w:color w:val="auto"/>
              </w:rPr>
            </w:pPr>
          </w:p>
        </w:tc>
        <w:tc>
          <w:tcPr>
            <w:tcW w:w="1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3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300,000</w:t>
            </w:r>
          </w:p>
        </w:tc>
        <w:tc>
          <w:tcPr>
            <w:tcW w:w="360" w:type="dxa"/>
            <w:vAlign w:val="bottom"/>
            <w:tcBorders>
              <w:top w:val="single" w:sz="8" w:color="D8EEF4"/>
            </w:tcBorders>
            <w:shd w:val="clear" w:color="auto" w:fill="D8EEF4"/>
          </w:tcPr>
          <w:p>
            <w:pPr>
              <w:spacing w:after="0"/>
              <w:rPr>
                <w:sz w:val="19"/>
                <w:szCs w:val="19"/>
                <w:color w:val="auto"/>
              </w:rPr>
            </w:pPr>
          </w:p>
        </w:tc>
        <w:tc>
          <w:tcPr>
            <w:tcW w:w="1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350,000</w:t>
            </w:r>
          </w:p>
        </w:tc>
        <w:tc>
          <w:tcPr>
            <w:tcW w:w="260" w:type="dxa"/>
            <w:vAlign w:val="bottom"/>
            <w:tcBorders>
              <w:top w:val="single" w:sz="8" w:color="D8EEF4"/>
            </w:tcBorders>
            <w:shd w:val="clear" w:color="auto" w:fill="D8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4C4C4E"/>
              </w:rPr>
              <w:t>Original issue discount, net of accretion</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(666)</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(1,357)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(2,819)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Deferred financing costs</w:t>
            </w:r>
          </w:p>
        </w:tc>
        <w:tc>
          <w:tcPr>
            <w:tcW w:w="140" w:type="dxa"/>
            <w:vAlign w:val="bottom"/>
            <w:shd w:val="clear" w:color="auto" w:fill="D8EEF4"/>
          </w:tcPr>
          <w:p>
            <w:pPr>
              <w:spacing w:after="0"/>
              <w:rPr>
                <w:sz w:val="20"/>
                <w:szCs w:val="20"/>
                <w:color w:val="auto"/>
              </w:rPr>
            </w:pPr>
          </w:p>
        </w:tc>
        <w:tc>
          <w:tcPr>
            <w:tcW w:w="1360" w:type="dxa"/>
            <w:vAlign w:val="bottom"/>
            <w:gridSpan w:val="2"/>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rPr>
              <w:t>(1,182)</w:t>
            </w:r>
          </w:p>
        </w:tc>
        <w:tc>
          <w:tcPr>
            <w:tcW w:w="120" w:type="dxa"/>
            <w:vAlign w:val="bottom"/>
            <w:shd w:val="clear" w:color="auto" w:fill="D8EEF4"/>
          </w:tcPr>
          <w:p>
            <w:pPr>
              <w:spacing w:after="0"/>
              <w:rPr>
                <w:sz w:val="20"/>
                <w:szCs w:val="20"/>
                <w:color w:val="auto"/>
              </w:rPr>
            </w:pPr>
          </w:p>
        </w:tc>
        <w:tc>
          <w:tcPr>
            <w:tcW w:w="1680" w:type="dxa"/>
            <w:vAlign w:val="bottom"/>
            <w:gridSpan w:val="2"/>
            <w:shd w:val="clear" w:color="auto" w:fill="D8EEF4"/>
          </w:tcPr>
          <w:p>
            <w:pPr>
              <w:jc w:val="right"/>
              <w:ind w:right="300"/>
              <w:spacing w:after="0"/>
              <w:rPr>
                <w:sz w:val="20"/>
                <w:szCs w:val="20"/>
                <w:color w:val="auto"/>
              </w:rPr>
            </w:pPr>
            <w:r>
              <w:rPr>
                <w:rFonts w:ascii="Times New Roman" w:cs="Times New Roman" w:eastAsia="Times New Roman" w:hAnsi="Times New Roman"/>
                <w:sz w:val="20"/>
                <w:szCs w:val="20"/>
                <w:color w:val="4C4C4E"/>
              </w:rPr>
              <w:t>(3,127)</w:t>
            </w:r>
          </w:p>
        </w:tc>
        <w:tc>
          <w:tcPr>
            <w:tcW w:w="180" w:type="dxa"/>
            <w:vAlign w:val="bottom"/>
            <w:shd w:val="clear" w:color="auto" w:fill="D8EEF4"/>
          </w:tcPr>
          <w:p>
            <w:pPr>
              <w:spacing w:after="0"/>
              <w:rPr>
                <w:sz w:val="20"/>
                <w:szCs w:val="20"/>
                <w:color w:val="auto"/>
              </w:rPr>
            </w:pPr>
          </w:p>
        </w:tc>
        <w:tc>
          <w:tcPr>
            <w:tcW w:w="1340" w:type="dxa"/>
            <w:vAlign w:val="bottom"/>
            <w:gridSpan w:val="2"/>
            <w:shd w:val="clear" w:color="auto" w:fill="D8EEF4"/>
          </w:tcPr>
          <w:p>
            <w:pPr>
              <w:jc w:val="right"/>
              <w:ind w:right="180"/>
              <w:spacing w:after="0"/>
              <w:rPr>
                <w:sz w:val="20"/>
                <w:szCs w:val="20"/>
                <w:color w:val="auto"/>
              </w:rPr>
            </w:pPr>
            <w:r>
              <w:rPr>
                <w:rFonts w:ascii="Times New Roman" w:cs="Times New Roman" w:eastAsia="Times New Roman" w:hAnsi="Times New Roman"/>
                <w:sz w:val="20"/>
                <w:szCs w:val="20"/>
                <w:color w:val="4C4C4E"/>
              </w:rPr>
              <w:t>(4,093)</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4C4C4E"/>
              </w:rPr>
              <w:t>Fair value of an effective hedge</w:t>
            </w:r>
          </w:p>
        </w:tc>
        <w:tc>
          <w:tcPr>
            <w:tcW w:w="1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C4C4E"/>
              </w:rPr>
              <w:t>(17,618)</w:t>
            </w:r>
          </w:p>
        </w:tc>
        <w:tc>
          <w:tcPr>
            <w:tcW w:w="1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4C4C4E"/>
              </w:rPr>
              <w:t>(1,377)</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C4C4E"/>
              </w:rPr>
              <w:t>(5,243)</w:t>
            </w:r>
          </w:p>
        </w:tc>
        <w:tc>
          <w:tcPr>
            <w:tcW w:w="0" w:type="dxa"/>
            <w:vAlign w:val="bottom"/>
          </w:tcPr>
          <w:p>
            <w:pPr>
              <w:spacing w:after="0"/>
              <w:rPr>
                <w:sz w:val="1"/>
                <w:szCs w:val="1"/>
                <w:color w:val="auto"/>
              </w:rPr>
            </w:pPr>
          </w:p>
        </w:tc>
      </w:tr>
      <w:tr>
        <w:trPr>
          <w:trHeight w:val="245"/>
        </w:trPr>
        <w:tc>
          <w:tcPr>
            <w:tcW w:w="4260" w:type="dxa"/>
            <w:vAlign w:val="bottom"/>
            <w:tcBorders>
              <w:top w:val="single" w:sz="8" w:color="D8EEF4"/>
              <w:bottom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b w:val="1"/>
                <w:bCs w:val="1"/>
                <w:color w:val="4C4C4E"/>
              </w:rPr>
              <w:t>Carrying value of debt</w:t>
            </w:r>
          </w:p>
        </w:tc>
        <w:tc>
          <w:tcPr>
            <w:tcW w:w="14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0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280,534</w:t>
            </w:r>
          </w:p>
        </w:tc>
        <w:tc>
          <w:tcPr>
            <w:tcW w:w="360" w:type="dxa"/>
            <w:vAlign w:val="bottom"/>
            <w:tcBorders>
              <w:top w:val="single" w:sz="8" w:color="D8EEF4"/>
              <w:bottom w:val="single" w:sz="8" w:color="D8EEF4"/>
            </w:tcBorders>
            <w:shd w:val="clear" w:color="auto" w:fill="D8EEF4"/>
          </w:tcPr>
          <w:p>
            <w:pPr>
              <w:spacing w:after="0"/>
              <w:rPr>
                <w:sz w:val="21"/>
                <w:szCs w:val="21"/>
                <w:color w:val="auto"/>
              </w:rPr>
            </w:pPr>
          </w:p>
        </w:tc>
        <w:tc>
          <w:tcPr>
            <w:tcW w:w="12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32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294,139</w:t>
            </w:r>
          </w:p>
        </w:tc>
        <w:tc>
          <w:tcPr>
            <w:tcW w:w="360" w:type="dxa"/>
            <w:vAlign w:val="bottom"/>
            <w:tcBorders>
              <w:top w:val="single" w:sz="8" w:color="D8EEF4"/>
              <w:bottom w:val="single" w:sz="8" w:color="D8EEF4"/>
            </w:tcBorders>
            <w:shd w:val="clear" w:color="auto" w:fill="D8EEF4"/>
          </w:tcPr>
          <w:p>
            <w:pPr>
              <w:spacing w:after="0"/>
              <w:rPr>
                <w:sz w:val="21"/>
                <w:szCs w:val="21"/>
                <w:color w:val="auto"/>
              </w:rPr>
            </w:pPr>
          </w:p>
        </w:tc>
        <w:tc>
          <w:tcPr>
            <w:tcW w:w="18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337,845</w:t>
            </w:r>
          </w:p>
        </w:tc>
        <w:tc>
          <w:tcPr>
            <w:tcW w:w="260" w:type="dxa"/>
            <w:vAlign w:val="bottom"/>
            <w:tcBorders>
              <w:top w:val="single" w:sz="8" w:color="D8EEF4"/>
              <w:bottom w:val="single" w:sz="8" w:color="D8EEF4"/>
            </w:tcBorders>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20"/>
                <w:szCs w:val="20"/>
                <w:color w:val="4C4C4E"/>
              </w:rPr>
              <w:t>Stated interest rate</w:t>
            </w:r>
          </w:p>
        </w:tc>
        <w:tc>
          <w:tcPr>
            <w:tcW w:w="140" w:type="dxa"/>
            <w:vAlign w:val="bottom"/>
            <w:tcBorders>
              <w:bottom w:val="single" w:sz="8" w:color="4C4C4E"/>
            </w:tcBorders>
          </w:tcPr>
          <w:p>
            <w:pPr>
              <w:spacing w:after="0" w:line="20" w:lineRule="exact"/>
              <w:rPr>
                <w:sz w:val="1"/>
                <w:szCs w:val="1"/>
                <w:color w:val="auto"/>
              </w:rPr>
            </w:pPr>
          </w:p>
        </w:tc>
        <w:tc>
          <w:tcPr>
            <w:tcW w:w="1000" w:type="dxa"/>
            <w:vAlign w:val="bottom"/>
            <w:tcBorders>
              <w:bottom w:val="single" w:sz="8" w:color="4C4C4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1320" w:type="dxa"/>
            <w:vAlign w:val="bottom"/>
            <w:tcBorders>
              <w:bottom w:val="single" w:sz="8" w:color="4C4C4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1080" w:type="dxa"/>
            <w:vAlign w:val="bottom"/>
            <w:tcBorders>
              <w:bottom w:val="single" w:sz="8" w:color="4C4C4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2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C4C4E"/>
              </w:rPr>
              <w:t>2.50%</w:t>
            </w:r>
          </w:p>
        </w:tc>
        <w:tc>
          <w:tcPr>
            <w:tcW w:w="12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C4C4E"/>
              </w:rPr>
              <w:t>6.95%</w:t>
            </w:r>
          </w:p>
        </w:tc>
        <w:tc>
          <w:tcPr>
            <w:tcW w:w="1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6.13%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-1116330</wp:posOffset>
            </wp:positionV>
            <wp:extent cx="294195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8">
                      <a:extLst>
                        <a:ext uri="{28A0092B-C50C-407E-A947-70E740481C1C}"/>
                      </a:extLst>
                    </a:blip>
                    <a:srcRect/>
                    <a:stretch>
                      <a:fillRect/>
                    </a:stretch>
                  </pic:blipFill>
                  <pic:spPr bwMode="auto">
                    <a:xfrm>
                      <a:off x="0" y="0"/>
                      <a:ext cx="2941955" cy="38100"/>
                    </a:xfrm>
                    <a:prstGeom prst="rect">
                      <a:avLst/>
                    </a:prstGeom>
                    <a:noFill/>
                  </pic:spPr>
                </pic:pic>
              </a:graphicData>
            </a:graphic>
          </wp:anchor>
        </w:drawing>
      </w:r>
    </w:p>
    <w:p>
      <w:pPr>
        <w:sectPr>
          <w:pgSz w:w="11880" w:h="15480" w:orient="portrait"/>
          <w:cols w:equalWidth="0" w:num="1">
            <w:col w:w="10800"/>
          </w:cols>
          <w:pgMar w:left="540" w:top="752"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F-44</w:t>
      </w:r>
    </w:p>
    <w:p>
      <w:pPr>
        <w:sectPr>
          <w:pgSz w:w="11880" w:h="15480" w:orient="portrait"/>
          <w:cols w:equalWidth="0" w:num="1">
            <w:col w:w="10800"/>
          </w:cols>
          <w:pgMar w:left="540" w:top="752" w:right="540" w:bottom="6" w:gutter="0" w:footer="0" w:header="0"/>
          <w:type w:val="continuous"/>
        </w:sectPr>
      </w:pPr>
    </w:p>
    <w:bookmarkStart w:id="133" w:name="page134"/>
    <w:bookmarkEnd w:id="133"/>
    <w:p>
      <w:pPr>
        <w:ind w:right="180" w:firstLine="245"/>
        <w:spacing w:after="0" w:line="252" w:lineRule="auto"/>
        <w:rPr>
          <w:sz w:val="20"/>
          <w:szCs w:val="20"/>
          <w:color w:val="auto"/>
        </w:rPr>
      </w:pPr>
      <w:r>
        <w:rPr>
          <w:rFonts w:ascii="Times New Roman" w:cs="Times New Roman" w:eastAsia="Times New Roman" w:hAnsi="Times New Roman"/>
          <w:sz w:val="20"/>
          <w:szCs w:val="20"/>
          <w:color w:val="4C4C4E"/>
        </w:rPr>
        <w:t>The stated interest rate in the table above does not include the effect of the interest rate swaps. As of December 31, 2025, the Company’s swap-adjusted interest rate on the 2026 Notes, 2028 Notes, 2029 Notes and 2030 Notes was SOFR plus 2.17%, 2.99%, 2.44% and 1.53% respectively. As of December 31, 2024, the Company’s swap-adjusted interest rate on the 2026 Notes, 2028 Notes and 2029 Notes was SOFR plus 2.17%, 2.99% and 2.44%, respectively.</w:t>
      </w:r>
    </w:p>
    <w:p>
      <w:pPr>
        <w:spacing w:after="0" w:line="194"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As of December 31, 2025, the Company was in compliance with the terms of the indentures governing the 2026 Notes, 2028 Notes, 2029 Notes and 2030 Notes. As of December 31, 2024, the Company was in compliance with the terms of the indentures governing the 2026 Notes, 2028 Notes and 2029 Notes.</w:t>
      </w:r>
    </w:p>
    <w:p>
      <w:pPr>
        <w:spacing w:after="0" w:line="177" w:lineRule="exact"/>
        <w:rPr>
          <w:sz w:val="20"/>
          <w:szCs w:val="20"/>
          <w:color w:val="auto"/>
        </w:rPr>
      </w:pPr>
    </w:p>
    <w:p>
      <w:pPr>
        <w:jc w:val="both"/>
        <w:ind w:right="120" w:firstLine="245"/>
        <w:spacing w:after="0" w:line="244" w:lineRule="auto"/>
        <w:rPr>
          <w:sz w:val="20"/>
          <w:szCs w:val="20"/>
          <w:color w:val="auto"/>
        </w:rPr>
      </w:pPr>
      <w:r>
        <w:rPr>
          <w:rFonts w:ascii="Times New Roman" w:cs="Times New Roman" w:eastAsia="Times New Roman" w:hAnsi="Times New Roman"/>
          <w:sz w:val="20"/>
          <w:szCs w:val="20"/>
          <w:color w:val="4C4C4E"/>
        </w:rPr>
        <w:t>In accordance with the 1940 Act, with certain limitations, the Company is allowed to borrow amounts such that its asset coverage, as defined in the 1940 Act, is at least 150% after such borrowing. As of December 31, 2025 and December 31, 2024, the Company’s asset coverage was 191.5% and 182.5% respectively.</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Debt obligations consisted of the following as of December 31, 2025 and December 31, 2024:</w:t>
      </w: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221"/>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restart"/>
          </w:tcPr>
          <w:p>
            <w:pPr>
              <w:jc w:val="center"/>
              <w:ind w:right="88"/>
              <w:spacing w:after="0"/>
              <w:rPr>
                <w:sz w:val="20"/>
                <w:szCs w:val="20"/>
                <w:color w:val="auto"/>
              </w:rPr>
            </w:pPr>
            <w:r>
              <w:rPr>
                <w:rFonts w:ascii="Times New Roman" w:cs="Times New Roman" w:eastAsia="Times New Roman" w:hAnsi="Times New Roman"/>
                <w:sz w:val="16"/>
                <w:szCs w:val="16"/>
                <w:b w:val="1"/>
                <w:bCs w:val="1"/>
                <w:color w:val="4C4C4E"/>
                <w:w w:val="99"/>
              </w:rPr>
              <w:t>Aggregate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5"/>
          </w:tcPr>
          <w:p>
            <w:pPr>
              <w:jc w:val="right"/>
              <w:ind w:right="625"/>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4C4C4E"/>
                <w:w w:val="98"/>
              </w:rPr>
              <w:t>Principal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4C4C4E"/>
                <w:w w:val="99"/>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4C4C4E"/>
              </w:rPr>
              <w:t>Outstanding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4C4C4E"/>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4C4C4E"/>
              </w:rPr>
              <w:t>Carrying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tcBorders>
              <w:bottom w:val="single" w:sz="8" w:color="D8EEF4"/>
            </w:tcBorders>
          </w:tcPr>
          <w:p>
            <w:pPr>
              <w:spacing w:after="0"/>
              <w:rPr>
                <w:sz w:val="17"/>
                <w:szCs w:val="17"/>
                <w:color w:val="auto"/>
              </w:rPr>
            </w:pPr>
          </w:p>
        </w:tc>
        <w:tc>
          <w:tcPr>
            <w:tcW w:w="160" w:type="dxa"/>
            <w:vAlign w:val="bottom"/>
            <w:tcBorders>
              <w:bottom w:val="single" w:sz="8" w:color="4C4C4E"/>
            </w:tcBorders>
          </w:tcPr>
          <w:p>
            <w:pPr>
              <w:spacing w:after="0"/>
              <w:rPr>
                <w:sz w:val="17"/>
                <w:szCs w:val="17"/>
                <w:color w:val="auto"/>
              </w:rPr>
            </w:pPr>
          </w:p>
        </w:tc>
        <w:tc>
          <w:tcPr>
            <w:tcW w:w="1080" w:type="dxa"/>
            <w:vAlign w:val="bottom"/>
            <w:tcBorders>
              <w:bottom w:val="single" w:sz="8" w:color="4C4C4E"/>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4C4C4E"/>
              </w:rPr>
              <w:t>Committed</w:t>
            </w:r>
          </w:p>
        </w:tc>
        <w:tc>
          <w:tcPr>
            <w:tcW w:w="100" w:type="dxa"/>
            <w:vAlign w:val="bottom"/>
            <w:tcBorders>
              <w:bottom w:val="single" w:sz="8" w:color="D8EEF4"/>
            </w:tcBorders>
          </w:tcPr>
          <w:p>
            <w:pPr>
              <w:spacing w:after="0"/>
              <w:rPr>
                <w:sz w:val="17"/>
                <w:szCs w:val="17"/>
                <w:color w:val="auto"/>
              </w:rPr>
            </w:pPr>
          </w:p>
        </w:tc>
        <w:tc>
          <w:tcPr>
            <w:tcW w:w="14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1100" w:type="dxa"/>
            <w:vAlign w:val="bottom"/>
            <w:tcBorders>
              <w:bottom w:val="single" w:sz="8" w:color="4C4C4E"/>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4C4C4E"/>
              </w:rPr>
              <w:t>Principal</w:t>
            </w:r>
          </w:p>
        </w:tc>
        <w:tc>
          <w:tcPr>
            <w:tcW w:w="100" w:type="dxa"/>
            <w:vAlign w:val="bottom"/>
            <w:tcBorders>
              <w:bottom w:val="single" w:sz="8" w:color="D8EEF4"/>
            </w:tcBorders>
          </w:tcPr>
          <w:p>
            <w:pPr>
              <w:spacing w:after="0"/>
              <w:rPr>
                <w:sz w:val="17"/>
                <w:szCs w:val="17"/>
                <w:color w:val="auto"/>
              </w:rPr>
            </w:pPr>
          </w:p>
        </w:tc>
        <w:tc>
          <w:tcPr>
            <w:tcW w:w="140" w:type="dxa"/>
            <w:vAlign w:val="bottom"/>
            <w:tcBorders>
              <w:bottom w:val="single" w:sz="8" w:color="D8EEF4"/>
            </w:tcBorders>
          </w:tcPr>
          <w:p>
            <w:pPr>
              <w:spacing w:after="0"/>
              <w:rPr>
                <w:sz w:val="17"/>
                <w:szCs w:val="17"/>
                <w:color w:val="auto"/>
              </w:rPr>
            </w:pPr>
          </w:p>
        </w:tc>
        <w:tc>
          <w:tcPr>
            <w:tcW w:w="140" w:type="dxa"/>
            <w:vAlign w:val="bottom"/>
            <w:tcBorders>
              <w:bottom w:val="single" w:sz="8" w:color="4C4C4E"/>
            </w:tcBorders>
          </w:tcPr>
          <w:p>
            <w:pPr>
              <w:spacing w:after="0"/>
              <w:rPr>
                <w:sz w:val="17"/>
                <w:szCs w:val="17"/>
                <w:color w:val="auto"/>
              </w:rPr>
            </w:pPr>
          </w:p>
        </w:tc>
        <w:tc>
          <w:tcPr>
            <w:tcW w:w="1100" w:type="dxa"/>
            <w:vAlign w:val="bottom"/>
            <w:tcBorders>
              <w:bottom w:val="single" w:sz="8" w:color="4C4C4E"/>
            </w:tcBorders>
          </w:tcPr>
          <w:p>
            <w:pPr>
              <w:jc w:val="right"/>
              <w:ind w:right="145"/>
              <w:spacing w:after="0" w:line="204" w:lineRule="exact"/>
              <w:rPr>
                <w:sz w:val="20"/>
                <w:szCs w:val="20"/>
                <w:color w:val="auto"/>
              </w:rPr>
            </w:pPr>
            <w:r>
              <w:rPr>
                <w:rFonts w:ascii="Times New Roman" w:cs="Times New Roman" w:eastAsia="Times New Roman" w:hAnsi="Times New Roman"/>
                <w:sz w:val="16"/>
                <w:szCs w:val="16"/>
                <w:b w:val="1"/>
                <w:bCs w:val="1"/>
                <w:color w:val="4C4C4E"/>
                <w:w w:val="99"/>
              </w:rPr>
              <w:t xml:space="preserve">Available </w:t>
            </w:r>
            <w:r>
              <w:rPr>
                <w:rFonts w:ascii="Times New Roman" w:cs="Times New Roman" w:eastAsia="Times New Roman" w:hAnsi="Times New Roman"/>
                <w:sz w:val="20"/>
                <w:szCs w:val="20"/>
                <w:b w:val="1"/>
                <w:bCs w:val="1"/>
                <w:color w:val="4C4C4E"/>
                <w:w w:val="99"/>
                <w:vertAlign w:val="superscript"/>
              </w:rPr>
              <w:t>(1)</w:t>
            </w:r>
          </w:p>
        </w:tc>
        <w:tc>
          <w:tcPr>
            <w:tcW w:w="100" w:type="dxa"/>
            <w:vAlign w:val="bottom"/>
            <w:tcBorders>
              <w:bottom w:val="single" w:sz="8" w:color="D8EEF4"/>
            </w:tcBorders>
          </w:tcPr>
          <w:p>
            <w:pPr>
              <w:spacing w:after="0"/>
              <w:rPr>
                <w:sz w:val="17"/>
                <w:szCs w:val="17"/>
                <w:color w:val="auto"/>
              </w:rPr>
            </w:pPr>
          </w:p>
        </w:tc>
        <w:tc>
          <w:tcPr>
            <w:tcW w:w="140" w:type="dxa"/>
            <w:vAlign w:val="bottom"/>
            <w:tcBorders>
              <w:bottom w:val="single" w:sz="8" w:color="D8EEF4"/>
            </w:tcBorders>
          </w:tcPr>
          <w:p>
            <w:pPr>
              <w:spacing w:after="0"/>
              <w:rPr>
                <w:sz w:val="17"/>
                <w:szCs w:val="17"/>
                <w:color w:val="auto"/>
              </w:rPr>
            </w:pPr>
          </w:p>
        </w:tc>
        <w:tc>
          <w:tcPr>
            <w:tcW w:w="180" w:type="dxa"/>
            <w:vAlign w:val="bottom"/>
            <w:tcBorders>
              <w:bottom w:val="single" w:sz="8" w:color="4C4C4E"/>
            </w:tcBorders>
          </w:tcPr>
          <w:p>
            <w:pPr>
              <w:spacing w:after="0"/>
              <w:rPr>
                <w:sz w:val="17"/>
                <w:szCs w:val="17"/>
                <w:color w:val="auto"/>
              </w:rPr>
            </w:pPr>
          </w:p>
        </w:tc>
        <w:tc>
          <w:tcPr>
            <w:tcW w:w="1060" w:type="dxa"/>
            <w:vAlign w:val="bottom"/>
            <w:tcBorders>
              <w:bottom w:val="single" w:sz="8" w:color="4C4C4E"/>
            </w:tcBorders>
          </w:tcPr>
          <w:p>
            <w:pPr>
              <w:jc w:val="right"/>
              <w:ind w:right="210"/>
              <w:spacing w:after="0" w:line="203" w:lineRule="exact"/>
              <w:rPr>
                <w:sz w:val="20"/>
                <w:szCs w:val="20"/>
                <w:color w:val="auto"/>
              </w:rPr>
            </w:pPr>
            <w:r>
              <w:rPr>
                <w:rFonts w:ascii="Times New Roman" w:cs="Times New Roman" w:eastAsia="Times New Roman" w:hAnsi="Times New Roman"/>
                <w:sz w:val="23"/>
                <w:szCs w:val="23"/>
                <w:b w:val="1"/>
                <w:bCs w:val="1"/>
                <w:color w:val="4C4C4E"/>
                <w:vertAlign w:val="subscript"/>
              </w:rPr>
              <w:t>Value</w:t>
            </w:r>
            <w:r>
              <w:rPr>
                <w:rFonts w:ascii="Times New Roman" w:cs="Times New Roman" w:eastAsia="Times New Roman" w:hAnsi="Times New Roman"/>
                <w:sz w:val="9"/>
                <w:szCs w:val="9"/>
                <w:b w:val="1"/>
                <w:bCs w:val="1"/>
                <w:color w:val="4C4C4E"/>
              </w:rPr>
              <w:t xml:space="preserve"> (2)(3)</w:t>
            </w:r>
          </w:p>
        </w:tc>
        <w:tc>
          <w:tcPr>
            <w:tcW w:w="6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Revolving Credit Facility</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1,675,000</w:t>
            </w:r>
          </w:p>
        </w:tc>
        <w:tc>
          <w:tcPr>
            <w:tcW w:w="100" w:type="dxa"/>
            <w:vAlign w:val="bottom"/>
            <w:shd w:val="clear" w:color="auto" w:fill="D8EEF4"/>
          </w:tcPr>
          <w:p>
            <w:pPr>
              <w:spacing w:after="0"/>
              <w:rPr>
                <w:sz w:val="20"/>
                <w:szCs w:val="20"/>
                <w:color w:val="auto"/>
              </w:rPr>
            </w:pPr>
          </w:p>
        </w:tc>
        <w:tc>
          <w:tcPr>
            <w:tcW w:w="140" w:type="dxa"/>
            <w:vAlign w:val="bottom"/>
            <w:shd w:val="clear" w:color="auto" w:fill="D8EEF4"/>
          </w:tcPr>
          <w:p>
            <w:pPr>
              <w:spacing w:after="0"/>
              <w:rPr>
                <w:sz w:val="20"/>
                <w:szCs w:val="20"/>
                <w:color w:val="auto"/>
              </w:rPr>
            </w:pPr>
          </w:p>
        </w:tc>
        <w:tc>
          <w:tcPr>
            <w:tcW w:w="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513,915</w:t>
            </w:r>
          </w:p>
        </w:tc>
        <w:tc>
          <w:tcPr>
            <w:tcW w:w="100" w:type="dxa"/>
            <w:vAlign w:val="bottom"/>
            <w:shd w:val="clear" w:color="auto" w:fill="D8EEF4"/>
          </w:tcPr>
          <w:p>
            <w:pPr>
              <w:spacing w:after="0"/>
              <w:rPr>
                <w:sz w:val="20"/>
                <w:szCs w:val="20"/>
                <w:color w:val="auto"/>
              </w:rPr>
            </w:pPr>
          </w:p>
        </w:tc>
        <w:tc>
          <w:tcPr>
            <w:tcW w:w="140" w:type="dxa"/>
            <w:vAlign w:val="bottom"/>
            <w:shd w:val="clear" w:color="auto" w:fill="D8EEF4"/>
          </w:tcPr>
          <w:p>
            <w:pPr>
              <w:spacing w:after="0"/>
              <w:rPr>
                <w:sz w:val="20"/>
                <w:szCs w:val="20"/>
                <w:color w:val="auto"/>
              </w:rPr>
            </w:pPr>
          </w:p>
        </w:tc>
        <w:tc>
          <w:tcPr>
            <w:tcW w:w="1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shd w:val="clear" w:color="auto" w:fill="D8EEF4"/>
              </w:rPr>
              <w:t>1,139,337</w:t>
            </w:r>
          </w:p>
        </w:tc>
        <w:tc>
          <w:tcPr>
            <w:tcW w:w="100" w:type="dxa"/>
            <w:vAlign w:val="bottom"/>
            <w:shd w:val="clear" w:color="auto" w:fill="D8EEF4"/>
          </w:tcPr>
          <w:p>
            <w:pPr>
              <w:spacing w:after="0"/>
              <w:rPr>
                <w:sz w:val="20"/>
                <w:szCs w:val="20"/>
                <w:color w:val="auto"/>
              </w:rPr>
            </w:pPr>
          </w:p>
        </w:tc>
        <w:tc>
          <w:tcPr>
            <w:tcW w:w="140" w:type="dxa"/>
            <w:vAlign w:val="bottom"/>
            <w:shd w:val="clear" w:color="auto" w:fill="D8EEF4"/>
          </w:tcPr>
          <w:p>
            <w:pPr>
              <w:spacing w:after="0"/>
              <w:rPr>
                <w:sz w:val="20"/>
                <w:szCs w:val="20"/>
                <w:color w:val="auto"/>
              </w:rPr>
            </w:pPr>
          </w:p>
        </w:tc>
        <w:tc>
          <w:tcPr>
            <w:tcW w:w="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498,779</w:t>
            </w:r>
          </w:p>
        </w:tc>
        <w:tc>
          <w:tcPr>
            <w:tcW w:w="6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2026 Notes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293,530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2028 Notes</w:t>
            </w:r>
          </w:p>
        </w:tc>
        <w:tc>
          <w:tcPr>
            <w:tcW w:w="160" w:type="dxa"/>
            <w:vAlign w:val="bottom"/>
            <w:shd w:val="clear" w:color="auto" w:fill="D8EEF4"/>
          </w:tcPr>
          <w:p>
            <w:pPr>
              <w:spacing w:after="0"/>
              <w:rPr>
                <w:sz w:val="21"/>
                <w:szCs w:val="21"/>
                <w:color w:val="auto"/>
              </w:rPr>
            </w:pPr>
          </w:p>
        </w:tc>
        <w:tc>
          <w:tcPr>
            <w:tcW w:w="10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10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10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1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00" w:type="dxa"/>
            <w:vAlign w:val="bottom"/>
            <w:shd w:val="clear" w:color="auto" w:fill="D8EEF4"/>
          </w:tcPr>
          <w:p>
            <w:pPr>
              <w:spacing w:after="0"/>
              <w:rPr>
                <w:sz w:val="21"/>
                <w:szCs w:val="21"/>
                <w:color w:val="auto"/>
              </w:rPr>
            </w:pPr>
          </w:p>
        </w:tc>
        <w:tc>
          <w:tcPr>
            <w:tcW w:w="14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301,216</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2029 Notes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347,985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98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2030 Notes</w:t>
            </w:r>
          </w:p>
        </w:tc>
        <w:tc>
          <w:tcPr>
            <w:tcW w:w="160" w:type="dxa"/>
            <w:vAlign w:val="bottom"/>
            <w:tcBorders>
              <w:bottom w:val="single" w:sz="8" w:color="4C4C4E"/>
            </w:tcBorders>
            <w:shd w:val="clear" w:color="auto" w:fill="D8EEF4"/>
          </w:tcPr>
          <w:p>
            <w:pPr>
              <w:spacing w:after="0"/>
              <w:rPr>
                <w:sz w:val="22"/>
                <w:szCs w:val="22"/>
                <w:color w:val="auto"/>
              </w:rPr>
            </w:pPr>
          </w:p>
        </w:tc>
        <w:tc>
          <w:tcPr>
            <w:tcW w:w="108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100" w:type="dxa"/>
            <w:vAlign w:val="bottom"/>
            <w:tcBorders>
              <w:bottom w:val="single" w:sz="8" w:color="D8EEF4"/>
            </w:tcBorders>
            <w:shd w:val="clear" w:color="auto" w:fill="D8EEF4"/>
          </w:tcPr>
          <w:p>
            <w:pPr>
              <w:spacing w:after="0"/>
              <w:rPr>
                <w:sz w:val="22"/>
                <w:szCs w:val="22"/>
                <w:color w:val="auto"/>
              </w:rPr>
            </w:pPr>
          </w:p>
        </w:tc>
        <w:tc>
          <w:tcPr>
            <w:tcW w:w="140" w:type="dxa"/>
            <w:vAlign w:val="bottom"/>
            <w:tcBorders>
              <w:bottom w:val="single" w:sz="8" w:color="4C4C4E"/>
            </w:tcBorders>
            <w:shd w:val="clear" w:color="auto" w:fill="D8EEF4"/>
          </w:tcPr>
          <w:p>
            <w:pPr>
              <w:spacing w:after="0"/>
              <w:rPr>
                <w:sz w:val="22"/>
                <w:szCs w:val="22"/>
                <w:color w:val="auto"/>
              </w:rPr>
            </w:pPr>
          </w:p>
        </w:tc>
        <w:tc>
          <w:tcPr>
            <w:tcW w:w="140" w:type="dxa"/>
            <w:vAlign w:val="bottom"/>
            <w:tcBorders>
              <w:bottom w:val="single" w:sz="8" w:color="4C4C4E"/>
            </w:tcBorders>
            <w:shd w:val="clear" w:color="auto" w:fill="D8EEF4"/>
          </w:tcPr>
          <w:p>
            <w:pPr>
              <w:spacing w:after="0"/>
              <w:rPr>
                <w:sz w:val="22"/>
                <w:szCs w:val="22"/>
                <w:color w:val="auto"/>
              </w:rPr>
            </w:pPr>
          </w:p>
        </w:tc>
        <w:tc>
          <w:tcPr>
            <w:tcW w:w="1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100" w:type="dxa"/>
            <w:vAlign w:val="bottom"/>
            <w:tcBorders>
              <w:bottom w:val="single" w:sz="8" w:color="D8EEF4"/>
            </w:tcBorders>
            <w:shd w:val="clear" w:color="auto" w:fill="D8EEF4"/>
          </w:tcPr>
          <w:p>
            <w:pPr>
              <w:spacing w:after="0"/>
              <w:rPr>
                <w:sz w:val="22"/>
                <w:szCs w:val="22"/>
                <w:color w:val="auto"/>
              </w:rPr>
            </w:pPr>
          </w:p>
        </w:tc>
        <w:tc>
          <w:tcPr>
            <w:tcW w:w="140" w:type="dxa"/>
            <w:vAlign w:val="bottom"/>
            <w:tcBorders>
              <w:bottom w:val="single" w:sz="8" w:color="4C4C4E"/>
            </w:tcBorders>
            <w:shd w:val="clear" w:color="auto" w:fill="D8EEF4"/>
          </w:tcPr>
          <w:p>
            <w:pPr>
              <w:spacing w:after="0"/>
              <w:rPr>
                <w:sz w:val="22"/>
                <w:szCs w:val="22"/>
                <w:color w:val="auto"/>
              </w:rPr>
            </w:pPr>
          </w:p>
        </w:tc>
        <w:tc>
          <w:tcPr>
            <w:tcW w:w="140" w:type="dxa"/>
            <w:vAlign w:val="bottom"/>
            <w:tcBorders>
              <w:bottom w:val="single" w:sz="8" w:color="4C4C4E"/>
            </w:tcBorders>
            <w:shd w:val="clear" w:color="auto" w:fill="D8EEF4"/>
          </w:tcPr>
          <w:p>
            <w:pPr>
              <w:spacing w:after="0"/>
              <w:rPr>
                <w:sz w:val="22"/>
                <w:szCs w:val="22"/>
                <w:color w:val="auto"/>
              </w:rPr>
            </w:pPr>
          </w:p>
        </w:tc>
        <w:tc>
          <w:tcPr>
            <w:tcW w:w="1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00" w:type="dxa"/>
            <w:vAlign w:val="bottom"/>
            <w:tcBorders>
              <w:bottom w:val="single" w:sz="8" w:color="D8EEF4"/>
            </w:tcBorders>
            <w:shd w:val="clear" w:color="auto" w:fill="D8EEF4"/>
          </w:tcPr>
          <w:p>
            <w:pPr>
              <w:spacing w:after="0"/>
              <w:rPr>
                <w:sz w:val="22"/>
                <w:szCs w:val="22"/>
                <w:color w:val="auto"/>
              </w:rPr>
            </w:pPr>
          </w:p>
        </w:tc>
        <w:tc>
          <w:tcPr>
            <w:tcW w:w="140" w:type="dxa"/>
            <w:vAlign w:val="bottom"/>
            <w:tcBorders>
              <w:bottom w:val="single" w:sz="8" w:color="4C4C4E"/>
            </w:tcBorders>
            <w:shd w:val="clear" w:color="auto" w:fill="D8EEF4"/>
          </w:tcPr>
          <w:p>
            <w:pPr>
              <w:spacing w:after="0"/>
              <w:rPr>
                <w:sz w:val="22"/>
                <w:szCs w:val="22"/>
                <w:color w:val="auto"/>
              </w:rPr>
            </w:pPr>
          </w:p>
        </w:tc>
        <w:tc>
          <w:tcPr>
            <w:tcW w:w="180" w:type="dxa"/>
            <w:vAlign w:val="bottom"/>
            <w:tcBorders>
              <w:bottom w:val="single" w:sz="8" w:color="4C4C4E"/>
            </w:tcBorders>
            <w:shd w:val="clear" w:color="auto" w:fill="D8EEF4"/>
          </w:tcPr>
          <w:p>
            <w:pPr>
              <w:spacing w:after="0"/>
              <w:rPr>
                <w:sz w:val="22"/>
                <w:szCs w:val="22"/>
                <w:color w:val="auto"/>
              </w:rPr>
            </w:pPr>
          </w:p>
        </w:tc>
        <w:tc>
          <w:tcPr>
            <w:tcW w:w="10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301,724</w:t>
            </w:r>
          </w:p>
        </w:tc>
        <w:tc>
          <w:tcPr>
            <w:tcW w:w="60" w:type="dxa"/>
            <w:vAlign w:val="bottom"/>
            <w:tcBorders>
              <w:bottom w:val="single" w:sz="8" w:color="D8EEF4"/>
            </w:tcBorders>
            <w:shd w:val="clear" w:color="auto" w:fill="D8EEF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9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4C4C4E"/>
              </w:rPr>
              <w:t>Total Debt</w:t>
            </w:r>
          </w:p>
        </w:tc>
        <w:tc>
          <w:tcPr>
            <w:tcW w:w="16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2,925,000</w:t>
            </w:r>
          </w:p>
        </w:tc>
        <w:tc>
          <w:tcPr>
            <w:tcW w:w="100" w:type="dxa"/>
            <w:vAlign w:val="bottom"/>
          </w:tcPr>
          <w:p>
            <w:pPr>
              <w:spacing w:after="0"/>
              <w:rPr>
                <w:sz w:val="19"/>
                <w:szCs w:val="19"/>
                <w:color w:val="auto"/>
              </w:rPr>
            </w:pPr>
          </w:p>
        </w:tc>
        <w:tc>
          <w:tcPr>
            <w:tcW w:w="280" w:type="dxa"/>
            <w:vAlign w:val="bottom"/>
            <w:tcBorders>
              <w:bottom w:val="single" w:sz="8" w:color="4C4C4E"/>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4C4C4E"/>
              </w:rPr>
              <w:t>$</w:t>
            </w:r>
          </w:p>
        </w:tc>
        <w:tc>
          <w:tcPr>
            <w:tcW w:w="110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1,763,915</w:t>
            </w:r>
          </w:p>
        </w:tc>
        <w:tc>
          <w:tcPr>
            <w:tcW w:w="100" w:type="dxa"/>
            <w:vAlign w:val="bottom"/>
          </w:tcPr>
          <w:p>
            <w:pPr>
              <w:spacing w:after="0"/>
              <w:rPr>
                <w:sz w:val="19"/>
                <w:szCs w:val="19"/>
                <w:color w:val="auto"/>
              </w:rPr>
            </w:pPr>
          </w:p>
        </w:tc>
        <w:tc>
          <w:tcPr>
            <w:tcW w:w="280" w:type="dxa"/>
            <w:vAlign w:val="bottom"/>
            <w:tcBorders>
              <w:bottom w:val="single" w:sz="8" w:color="4C4C4E"/>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4C4C4E"/>
              </w:rPr>
              <w:t>$</w:t>
            </w:r>
          </w:p>
        </w:tc>
        <w:tc>
          <w:tcPr>
            <w:tcW w:w="110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1,139,337</w:t>
            </w:r>
          </w:p>
        </w:tc>
        <w:tc>
          <w:tcPr>
            <w:tcW w:w="100" w:type="dxa"/>
            <w:vAlign w:val="bottom"/>
          </w:tcPr>
          <w:p>
            <w:pPr>
              <w:spacing w:after="0"/>
              <w:rPr>
                <w:sz w:val="19"/>
                <w:szCs w:val="19"/>
                <w:color w:val="auto"/>
              </w:rPr>
            </w:pPr>
          </w:p>
        </w:tc>
        <w:tc>
          <w:tcPr>
            <w:tcW w:w="320" w:type="dxa"/>
            <w:vAlign w:val="bottom"/>
            <w:tcBorders>
              <w:bottom w:val="single" w:sz="8" w:color="4C4C4E"/>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4C4C4E"/>
              </w:rPr>
              <w:t>$</w:t>
            </w:r>
          </w:p>
        </w:tc>
        <w:tc>
          <w:tcPr>
            <w:tcW w:w="1060" w:type="dxa"/>
            <w:vAlign w:val="bottom"/>
            <w:tcBorders>
              <w:bottom w:val="single" w:sz="8" w:color="4C4C4E"/>
            </w:tcBorders>
          </w:tcPr>
          <w:p>
            <w:pPr>
              <w:jc w:val="right"/>
              <w:spacing w:after="0" w:line="219" w:lineRule="exact"/>
              <w:rPr>
                <w:sz w:val="20"/>
                <w:szCs w:val="20"/>
                <w:color w:val="auto"/>
              </w:rPr>
            </w:pPr>
            <w:r>
              <w:rPr>
                <w:rFonts w:ascii="Times New Roman" w:cs="Times New Roman" w:eastAsia="Times New Roman" w:hAnsi="Times New Roman"/>
                <w:sz w:val="20"/>
                <w:szCs w:val="20"/>
                <w:color w:val="4C4C4E"/>
              </w:rPr>
              <w:t>1,743,234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-1457960</wp:posOffset>
            </wp:positionV>
            <wp:extent cx="364744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9">
                      <a:extLst>
                        <a:ext uri="{28A0092B-C50C-407E-A947-70E740481C1C}"/>
                      </a:extLst>
                    </a:blip>
                    <a:srcRect/>
                    <a:stretch>
                      <a:fillRect/>
                    </a:stretch>
                  </pic:blipFill>
                  <pic:spPr bwMode="auto">
                    <a:xfrm>
                      <a:off x="0" y="0"/>
                      <a:ext cx="3647440" cy="38100"/>
                    </a:xfrm>
                    <a:prstGeom prst="rect">
                      <a:avLst/>
                    </a:prstGeom>
                    <a:noFill/>
                  </pic:spPr>
                </pic:pic>
              </a:graphicData>
            </a:graphic>
          </wp:anchor>
        </w:drawing>
      </w:r>
    </w:p>
    <w:p>
      <w:pPr>
        <w:spacing w:after="0" w:line="237" w:lineRule="exact"/>
        <w:rPr>
          <w:sz w:val="20"/>
          <w:szCs w:val="20"/>
          <w:color w:val="auto"/>
        </w:rPr>
      </w:pPr>
    </w:p>
    <w:p>
      <w:pPr>
        <w:ind w:left="480" w:right="160" w:hanging="480"/>
        <w:spacing w:after="0" w:line="254" w:lineRule="auto"/>
        <w:tabs>
          <w:tab w:leader="none" w:pos="480" w:val="left"/>
        </w:tabs>
        <w:numPr>
          <w:ilvl w:val="0"/>
          <w:numId w:val="9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amount available may be subject to limitations related to the borrowing base under the Revolving Credit Facility and asset coverage requirements.</w:t>
      </w:r>
    </w:p>
    <w:p>
      <w:pPr>
        <w:spacing w:after="0" w:line="1" w:lineRule="exact"/>
        <w:rPr>
          <w:rFonts w:ascii="Times New Roman" w:cs="Times New Roman" w:eastAsia="Times New Roman" w:hAnsi="Times New Roman"/>
          <w:sz w:val="20"/>
          <w:szCs w:val="20"/>
          <w:color w:val="4C4C4E"/>
        </w:rPr>
      </w:pPr>
    </w:p>
    <w:p>
      <w:pPr>
        <w:jc w:val="both"/>
        <w:ind w:left="480" w:right="140" w:hanging="480"/>
        <w:spacing w:after="0"/>
        <w:tabs>
          <w:tab w:leader="none" w:pos="480" w:val="left"/>
        </w:tabs>
        <w:numPr>
          <w:ilvl w:val="0"/>
          <w:numId w:val="9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values of the Revolving Credit Facility, 2026 Notes, 2028 Notes, 2029 Notes and 2030 Notes are presented net of the combination of deferred financing costs and original issue discounts totaling $15.1 million, $0.7 million, $3.3 million, $5.3 million and $6.6 million, respectively.</w:t>
      </w:r>
    </w:p>
    <w:p>
      <w:pPr>
        <w:ind w:left="480" w:right="40" w:hanging="480"/>
        <w:spacing w:after="0" w:line="244" w:lineRule="auto"/>
        <w:tabs>
          <w:tab w:leader="none" w:pos="480" w:val="left"/>
        </w:tabs>
        <w:numPr>
          <w:ilvl w:val="0"/>
          <w:numId w:val="9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values of the 2026 Notes, 2028 Notes, 2029 Notes and 2030 Notes are presented inclusive of an incremental $(5.8) million, $4.5 million, $3.3 million and $8.3 million, respectively, which represents an adjustment in the carrying values of the 2026 Notes, 2028 Notes, 2029 Notes and 2030 Notes, each resulting from a hedge accounting relationship.</w:t>
      </w:r>
    </w:p>
    <w:p>
      <w:pPr>
        <w:spacing w:after="0" w:line="237" w:lineRule="exact"/>
        <w:rPr>
          <w:sz w:val="20"/>
          <w:szCs w:val="20"/>
          <w:color w:val="auto"/>
        </w:rPr>
      </w:pPr>
    </w:p>
    <w:tbl>
      <w:tblPr>
        <w:tblLayout w:type="fixed"/>
        <w:tblInd w:w="540" w:type="dxa"/>
        <w:tblCellMar>
          <w:top w:w="0" w:type="dxa"/>
          <w:left w:w="0" w:type="dxa"/>
          <w:bottom w:w="0" w:type="dxa"/>
          <w:right w:w="0" w:type="dxa"/>
        </w:tblCellMar>
      </w:tblPr>
      <w:tr>
        <w:trPr>
          <w:trHeight w:val="221"/>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4C4C4E"/>
                <w:w w:val="99"/>
              </w:rPr>
              <w:t>Aggregate</w:t>
            </w:r>
          </w:p>
        </w:tc>
        <w:tc>
          <w:tcPr>
            <w:tcW w:w="140" w:type="dxa"/>
            <w:vAlign w:val="bottom"/>
          </w:tcPr>
          <w:p>
            <w:pPr>
              <w:spacing w:after="0"/>
              <w:rPr>
                <w:sz w:val="19"/>
                <w:szCs w:val="19"/>
                <w:color w:val="auto"/>
              </w:rPr>
            </w:pPr>
          </w:p>
        </w:tc>
        <w:tc>
          <w:tcPr>
            <w:tcW w:w="2820" w:type="dxa"/>
            <w:vAlign w:val="bottom"/>
            <w:gridSpan w:val="7"/>
          </w:tcPr>
          <w:p>
            <w:pPr>
              <w:ind w:left="56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4C4C4E"/>
              </w:rPr>
              <w:t>Principal</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4C4C4E"/>
                <w:w w:val="99"/>
              </w:rPr>
              <w:t>Amount</w:t>
            </w:r>
          </w:p>
        </w:tc>
        <w:tc>
          <w:tcPr>
            <w:tcW w:w="140" w:type="dxa"/>
            <w:vAlign w:val="bottom"/>
          </w:tcPr>
          <w:p>
            <w:pPr>
              <w:spacing w:after="0"/>
              <w:rPr>
                <w:sz w:val="16"/>
                <w:szCs w:val="16"/>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4C4C4E"/>
              </w:rPr>
              <w:t>Outstanding</w:t>
            </w:r>
          </w:p>
        </w:tc>
        <w:tc>
          <w:tcPr>
            <w:tcW w:w="16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4C4C4E"/>
                <w:w w:val="99"/>
              </w:rPr>
              <w:t>Amount</w:t>
            </w:r>
          </w:p>
        </w:tc>
        <w:tc>
          <w:tcPr>
            <w:tcW w:w="18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4C4C4E"/>
              </w:rPr>
              <w:t>Carrying</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4C4C4E"/>
              </w:rPr>
              <w:t>Committed</w:t>
            </w:r>
          </w:p>
        </w:tc>
        <w:tc>
          <w:tcPr>
            <w:tcW w:w="140" w:type="dxa"/>
            <w:vAlign w:val="bottom"/>
          </w:tcPr>
          <w:p>
            <w:pPr>
              <w:spacing w:after="0"/>
              <w:rPr>
                <w:sz w:val="17"/>
                <w:szCs w:val="17"/>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4C4C4E"/>
              </w:rPr>
              <w:t>Principal</w:t>
            </w:r>
          </w:p>
        </w:tc>
        <w:tc>
          <w:tcPr>
            <w:tcW w:w="160" w:type="dxa"/>
            <w:vAlign w:val="bottom"/>
          </w:tcPr>
          <w:p>
            <w:pPr>
              <w:spacing w:after="0"/>
              <w:rPr>
                <w:sz w:val="17"/>
                <w:szCs w:val="17"/>
                <w:color w:val="auto"/>
              </w:rPr>
            </w:pPr>
          </w:p>
        </w:tc>
        <w:tc>
          <w:tcPr>
            <w:tcW w:w="1320" w:type="dxa"/>
            <w:vAlign w:val="bottom"/>
            <w:gridSpan w:val="3"/>
          </w:tcPr>
          <w:p>
            <w:pPr>
              <w:jc w:val="center"/>
              <w:ind w:right="400"/>
              <w:spacing w:after="0" w:line="203" w:lineRule="exact"/>
              <w:rPr>
                <w:sz w:val="20"/>
                <w:szCs w:val="20"/>
                <w:color w:val="auto"/>
              </w:rPr>
            </w:pPr>
            <w:r>
              <w:rPr>
                <w:rFonts w:ascii="Times New Roman" w:cs="Times New Roman" w:eastAsia="Times New Roman" w:hAnsi="Times New Roman"/>
                <w:sz w:val="16"/>
                <w:szCs w:val="16"/>
                <w:b w:val="1"/>
                <w:bCs w:val="1"/>
                <w:color w:val="4C4C4E"/>
                <w:w w:val="94"/>
              </w:rPr>
              <w:t xml:space="preserve">Available </w:t>
            </w:r>
            <w:r>
              <w:rPr>
                <w:rFonts w:ascii="Times New Roman" w:cs="Times New Roman" w:eastAsia="Times New Roman" w:hAnsi="Times New Roman"/>
                <w:sz w:val="20"/>
                <w:szCs w:val="20"/>
                <w:b w:val="1"/>
                <w:bCs w:val="1"/>
                <w:color w:val="4C4C4E"/>
                <w:w w:val="94"/>
                <w:vertAlign w:val="superscript"/>
              </w:rPr>
              <w:t>(1)</w:t>
            </w:r>
          </w:p>
        </w:tc>
        <w:tc>
          <w:tcPr>
            <w:tcW w:w="180" w:type="dxa"/>
            <w:vAlign w:val="bottom"/>
          </w:tcPr>
          <w:p>
            <w:pPr>
              <w:spacing w:after="0"/>
              <w:rPr>
                <w:sz w:val="17"/>
                <w:szCs w:val="17"/>
                <w:color w:val="auto"/>
              </w:rPr>
            </w:pPr>
          </w:p>
        </w:tc>
        <w:tc>
          <w:tcPr>
            <w:tcW w:w="112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23"/>
                <w:szCs w:val="23"/>
                <w:b w:val="1"/>
                <w:bCs w:val="1"/>
                <w:color w:val="4C4C4E"/>
                <w:vertAlign w:val="subscript"/>
              </w:rPr>
              <w:t>Value</w:t>
            </w:r>
            <w:r>
              <w:rPr>
                <w:rFonts w:ascii="Times New Roman" w:cs="Times New Roman" w:eastAsia="Times New Roman" w:hAnsi="Times New Roman"/>
                <w:sz w:val="9"/>
                <w:szCs w:val="9"/>
                <w:b w:val="1"/>
                <w:bCs w:val="1"/>
                <w:color w:val="4C4C4E"/>
              </w:rPr>
              <w:t xml:space="preserve"> (2)(3)</w:t>
            </w:r>
          </w:p>
        </w:tc>
        <w:tc>
          <w:tcPr>
            <w:tcW w:w="0" w:type="dxa"/>
            <w:vAlign w:val="bottom"/>
          </w:tcPr>
          <w:p>
            <w:pPr>
              <w:spacing w:after="0"/>
              <w:rPr>
                <w:sz w:val="1"/>
                <w:szCs w:val="1"/>
                <w:color w:val="auto"/>
              </w:rPr>
            </w:pPr>
          </w:p>
        </w:tc>
      </w:tr>
      <w:tr>
        <w:trPr>
          <w:trHeight w:val="225"/>
        </w:trPr>
        <w:tc>
          <w:tcPr>
            <w:tcW w:w="398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Revolving Credit Facility</w:t>
            </w:r>
          </w:p>
        </w:tc>
        <w:tc>
          <w:tcPr>
            <w:tcW w:w="1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10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1,700,000</w:t>
            </w:r>
          </w:p>
        </w:tc>
        <w:tc>
          <w:tcPr>
            <w:tcW w:w="100" w:type="dxa"/>
            <w:vAlign w:val="bottom"/>
            <w:tcBorders>
              <w:top w:val="single" w:sz="8" w:color="D8EEF4"/>
            </w:tcBorders>
            <w:shd w:val="clear" w:color="auto" w:fill="D8EEF4"/>
          </w:tcPr>
          <w:p>
            <w:pPr>
              <w:spacing w:after="0"/>
              <w:rPr>
                <w:sz w:val="19"/>
                <w:szCs w:val="19"/>
                <w:color w:val="auto"/>
              </w:rPr>
            </w:pPr>
          </w:p>
        </w:tc>
        <w:tc>
          <w:tcPr>
            <w:tcW w:w="140" w:type="dxa"/>
            <w:vAlign w:val="bottom"/>
            <w:tcBorders>
              <w:top w:val="single" w:sz="8" w:color="D8EEF4"/>
            </w:tcBorders>
            <w:shd w:val="clear" w:color="auto" w:fill="D8EEF4"/>
          </w:tcPr>
          <w:p>
            <w:pPr>
              <w:spacing w:after="0"/>
              <w:rPr>
                <w:sz w:val="19"/>
                <w:szCs w:val="19"/>
                <w:color w:val="auto"/>
              </w:rPr>
            </w:pPr>
          </w:p>
        </w:tc>
        <w:tc>
          <w:tcPr>
            <w:tcW w:w="1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11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1,004,058</w:t>
            </w:r>
          </w:p>
        </w:tc>
        <w:tc>
          <w:tcPr>
            <w:tcW w:w="100" w:type="dxa"/>
            <w:vAlign w:val="bottom"/>
            <w:tcBorders>
              <w:top w:val="single" w:sz="8" w:color="D8EEF4"/>
            </w:tcBorders>
            <w:shd w:val="clear" w:color="auto" w:fill="D8EEF4"/>
          </w:tcPr>
          <w:p>
            <w:pPr>
              <w:spacing w:after="0"/>
              <w:rPr>
                <w:sz w:val="19"/>
                <w:szCs w:val="19"/>
                <w:color w:val="auto"/>
              </w:rPr>
            </w:pPr>
          </w:p>
        </w:tc>
        <w:tc>
          <w:tcPr>
            <w:tcW w:w="14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674,190</w:t>
            </w:r>
          </w:p>
        </w:tc>
        <w:tc>
          <w:tcPr>
            <w:tcW w:w="100" w:type="dxa"/>
            <w:vAlign w:val="bottom"/>
            <w:tcBorders>
              <w:top w:val="single" w:sz="8" w:color="D8EEF4"/>
            </w:tcBorders>
            <w:shd w:val="clear" w:color="auto" w:fill="D8EEF4"/>
          </w:tcPr>
          <w:p>
            <w:pPr>
              <w:spacing w:after="0"/>
              <w:rPr>
                <w:sz w:val="19"/>
                <w:szCs w:val="19"/>
                <w:color w:val="auto"/>
              </w:rPr>
            </w:pPr>
          </w:p>
        </w:tc>
        <w:tc>
          <w:tcPr>
            <w:tcW w:w="140" w:type="dxa"/>
            <w:vAlign w:val="bottom"/>
            <w:tcBorders>
              <w:top w:val="single" w:sz="8" w:color="D8EEF4"/>
            </w:tcBorders>
            <w:shd w:val="clear" w:color="auto" w:fill="D8EEF4"/>
          </w:tcPr>
          <w:p>
            <w:pPr>
              <w:spacing w:after="0"/>
              <w:rPr>
                <w:sz w:val="19"/>
                <w:szCs w:val="19"/>
                <w:color w:val="auto"/>
              </w:rPr>
            </w:pPr>
          </w:p>
        </w:tc>
        <w:tc>
          <w:tcPr>
            <w:tcW w:w="1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988,624</w:t>
            </w:r>
          </w:p>
        </w:tc>
        <w:tc>
          <w:tcPr>
            <w:tcW w:w="60" w:type="dxa"/>
            <w:vAlign w:val="bottom"/>
            <w:tcBorders>
              <w:top w:val="single" w:sz="8" w:color="D8EEF4"/>
            </w:tcBorders>
            <w:shd w:val="clear" w:color="auto" w:fill="D8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2026 Notes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280,534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2028 Notes</w:t>
            </w:r>
          </w:p>
        </w:tc>
        <w:tc>
          <w:tcPr>
            <w:tcW w:w="160" w:type="dxa"/>
            <w:vAlign w:val="bottom"/>
            <w:shd w:val="clear" w:color="auto" w:fill="D8EEF4"/>
          </w:tcPr>
          <w:p>
            <w:pPr>
              <w:spacing w:after="0"/>
              <w:rPr>
                <w:sz w:val="20"/>
                <w:szCs w:val="20"/>
                <w:color w:val="auto"/>
              </w:rPr>
            </w:pPr>
          </w:p>
        </w:tc>
        <w:tc>
          <w:tcPr>
            <w:tcW w:w="118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300,000</w:t>
            </w:r>
          </w:p>
        </w:tc>
        <w:tc>
          <w:tcPr>
            <w:tcW w:w="140" w:type="dxa"/>
            <w:vAlign w:val="bottom"/>
            <w:shd w:val="clear" w:color="auto" w:fill="D8EEF4"/>
          </w:tcPr>
          <w:p>
            <w:pPr>
              <w:spacing w:after="0"/>
              <w:rPr>
                <w:sz w:val="20"/>
                <w:szCs w:val="20"/>
                <w:color w:val="auto"/>
              </w:rPr>
            </w:pPr>
          </w:p>
        </w:tc>
        <w:tc>
          <w:tcPr>
            <w:tcW w:w="140" w:type="dxa"/>
            <w:vAlign w:val="bottom"/>
            <w:shd w:val="clear" w:color="auto" w:fill="D8EEF4"/>
          </w:tcPr>
          <w:p>
            <w:pPr>
              <w:spacing w:after="0"/>
              <w:rPr>
                <w:sz w:val="20"/>
                <w:szCs w:val="20"/>
                <w:color w:val="auto"/>
              </w:rPr>
            </w:pPr>
          </w:p>
        </w:tc>
        <w:tc>
          <w:tcPr>
            <w:tcW w:w="120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20"/>
                <w:szCs w:val="20"/>
                <w:color w:val="4C4C4E"/>
              </w:rPr>
              <w:t>300,000</w:t>
            </w:r>
          </w:p>
        </w:tc>
        <w:tc>
          <w:tcPr>
            <w:tcW w:w="14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1320" w:type="dxa"/>
            <w:vAlign w:val="bottom"/>
            <w:gridSpan w:val="3"/>
            <w:shd w:val="clear" w:color="auto" w:fill="D8EEF4"/>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180" w:type="dxa"/>
            <w:vAlign w:val="bottom"/>
            <w:shd w:val="clear" w:color="auto" w:fill="D8EEF4"/>
          </w:tcPr>
          <w:p>
            <w:pPr>
              <w:spacing w:after="0"/>
              <w:rPr>
                <w:sz w:val="20"/>
                <w:szCs w:val="20"/>
                <w:color w:val="auto"/>
              </w:rPr>
            </w:pPr>
          </w:p>
        </w:tc>
        <w:tc>
          <w:tcPr>
            <w:tcW w:w="1120" w:type="dxa"/>
            <w:vAlign w:val="bottom"/>
            <w:gridSpan w:val="2"/>
            <w:shd w:val="clear" w:color="auto" w:fill="D8EEF4"/>
          </w:tcPr>
          <w:p>
            <w:pPr>
              <w:jc w:val="right"/>
              <w:ind w:right="60"/>
              <w:spacing w:after="0"/>
              <w:rPr>
                <w:sz w:val="20"/>
                <w:szCs w:val="20"/>
                <w:color w:val="auto"/>
              </w:rPr>
            </w:pPr>
            <w:r>
              <w:rPr>
                <w:rFonts w:ascii="Times New Roman" w:cs="Times New Roman" w:eastAsia="Times New Roman" w:hAnsi="Times New Roman"/>
                <w:sz w:val="20"/>
                <w:szCs w:val="20"/>
                <w:color w:val="4C4C4E"/>
              </w:rPr>
              <w:t>294,139</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4C4C4E"/>
              </w:rPr>
              <w:t>2029 Notes</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350,000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350,000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4C4C4E"/>
              </w:rPr>
              <w:t>—</w:t>
            </w: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337,845</w:t>
            </w:r>
          </w:p>
        </w:tc>
        <w:tc>
          <w:tcPr>
            <w:tcW w:w="0" w:type="dxa"/>
            <w:vAlign w:val="bottom"/>
          </w:tcPr>
          <w:p>
            <w:pPr>
              <w:spacing w:after="0"/>
              <w:rPr>
                <w:sz w:val="1"/>
                <w:szCs w:val="1"/>
                <w:color w:val="auto"/>
              </w:rPr>
            </w:pPr>
          </w:p>
        </w:tc>
      </w:tr>
      <w:tr>
        <w:trPr>
          <w:trHeight w:val="245"/>
        </w:trPr>
        <w:tc>
          <w:tcPr>
            <w:tcW w:w="3980" w:type="dxa"/>
            <w:vAlign w:val="bottom"/>
            <w:tcBorders>
              <w:top w:val="single" w:sz="8" w:color="D8EEF4"/>
              <w:bottom w:val="single" w:sz="8" w:color="D8EEF4"/>
            </w:tcBorders>
            <w:shd w:val="clear" w:color="auto" w:fill="D8EEF4"/>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4C4C4E"/>
              </w:rPr>
              <w:t>Total Debt</w:t>
            </w:r>
          </w:p>
        </w:tc>
        <w:tc>
          <w:tcPr>
            <w:tcW w:w="16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108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2,650,000</w:t>
            </w:r>
          </w:p>
        </w:tc>
        <w:tc>
          <w:tcPr>
            <w:tcW w:w="100" w:type="dxa"/>
            <w:vAlign w:val="bottom"/>
            <w:tcBorders>
              <w:top w:val="single" w:sz="8" w:color="D8EEF4"/>
              <w:bottom w:val="single" w:sz="8" w:color="D8EEF4"/>
            </w:tcBorders>
            <w:shd w:val="clear" w:color="auto" w:fill="D8EEF4"/>
          </w:tcPr>
          <w:p>
            <w:pPr>
              <w:spacing w:after="0"/>
              <w:rPr>
                <w:sz w:val="21"/>
                <w:szCs w:val="21"/>
                <w:color w:val="auto"/>
              </w:rPr>
            </w:pPr>
          </w:p>
        </w:tc>
        <w:tc>
          <w:tcPr>
            <w:tcW w:w="140" w:type="dxa"/>
            <w:vAlign w:val="bottom"/>
            <w:tcBorders>
              <w:top w:val="single" w:sz="8" w:color="4C4C4E"/>
              <w:bottom w:val="single" w:sz="8" w:color="D8EEF4"/>
            </w:tcBorders>
            <w:shd w:val="clear" w:color="auto" w:fill="D8EEF4"/>
          </w:tcPr>
          <w:p>
            <w:pPr>
              <w:spacing w:after="0"/>
              <w:rPr>
                <w:sz w:val="21"/>
                <w:szCs w:val="21"/>
                <w:color w:val="auto"/>
              </w:rPr>
            </w:pPr>
          </w:p>
        </w:tc>
        <w:tc>
          <w:tcPr>
            <w:tcW w:w="14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10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1,954,058</w:t>
            </w:r>
          </w:p>
        </w:tc>
        <w:tc>
          <w:tcPr>
            <w:tcW w:w="100" w:type="dxa"/>
            <w:vAlign w:val="bottom"/>
            <w:tcBorders>
              <w:top w:val="single" w:sz="8" w:color="D8EEF4"/>
              <w:bottom w:val="single" w:sz="8" w:color="D8EEF4"/>
            </w:tcBorders>
            <w:shd w:val="clear" w:color="auto" w:fill="D8EEF4"/>
          </w:tcPr>
          <w:p>
            <w:pPr>
              <w:spacing w:after="0"/>
              <w:rPr>
                <w:sz w:val="21"/>
                <w:szCs w:val="21"/>
                <w:color w:val="auto"/>
              </w:rPr>
            </w:pPr>
          </w:p>
        </w:tc>
        <w:tc>
          <w:tcPr>
            <w:tcW w:w="140" w:type="dxa"/>
            <w:vAlign w:val="bottom"/>
            <w:tcBorders>
              <w:top w:val="single" w:sz="8" w:color="4C4C4E"/>
              <w:bottom w:val="single" w:sz="8" w:color="D8EEF4"/>
            </w:tcBorders>
            <w:shd w:val="clear" w:color="auto" w:fill="D8EEF4"/>
          </w:tcPr>
          <w:p>
            <w:pPr>
              <w:spacing w:after="0"/>
              <w:rPr>
                <w:sz w:val="21"/>
                <w:szCs w:val="21"/>
                <w:color w:val="auto"/>
              </w:rPr>
            </w:pPr>
          </w:p>
        </w:tc>
        <w:tc>
          <w:tcPr>
            <w:tcW w:w="16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8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674,190</w:t>
            </w:r>
          </w:p>
        </w:tc>
        <w:tc>
          <w:tcPr>
            <w:tcW w:w="100" w:type="dxa"/>
            <w:vAlign w:val="bottom"/>
            <w:tcBorders>
              <w:top w:val="single" w:sz="8" w:color="D8EEF4"/>
              <w:bottom w:val="single" w:sz="8" w:color="D8EEF4"/>
            </w:tcBorders>
            <w:shd w:val="clear" w:color="auto" w:fill="D8EEF4"/>
          </w:tcPr>
          <w:p>
            <w:pPr>
              <w:spacing w:after="0"/>
              <w:rPr>
                <w:sz w:val="21"/>
                <w:szCs w:val="21"/>
                <w:color w:val="auto"/>
              </w:rPr>
            </w:pPr>
          </w:p>
        </w:tc>
        <w:tc>
          <w:tcPr>
            <w:tcW w:w="140" w:type="dxa"/>
            <w:vAlign w:val="bottom"/>
            <w:tcBorders>
              <w:top w:val="single" w:sz="8" w:color="4C4C4E"/>
              <w:bottom w:val="single" w:sz="8" w:color="D8EEF4"/>
            </w:tcBorders>
            <w:shd w:val="clear" w:color="auto" w:fill="D8EEF4"/>
          </w:tcPr>
          <w:p>
            <w:pPr>
              <w:spacing w:after="0"/>
              <w:rPr>
                <w:sz w:val="21"/>
                <w:szCs w:val="21"/>
                <w:color w:val="auto"/>
              </w:rPr>
            </w:pPr>
          </w:p>
        </w:tc>
        <w:tc>
          <w:tcPr>
            <w:tcW w:w="18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tcBorders>
              <w:top w:val="single" w:sz="8" w:color="4C4C4E"/>
              <w:bottom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1,901,142</w:t>
            </w:r>
          </w:p>
        </w:tc>
        <w:tc>
          <w:tcPr>
            <w:tcW w:w="60" w:type="dxa"/>
            <w:vAlign w:val="bottom"/>
            <w:tcBorders>
              <w:top w:val="single" w:sz="8" w:color="D8EEF4"/>
              <w:bottom w:val="single" w:sz="8" w:color="D8EEF4"/>
            </w:tcBorders>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108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4C4C4E"/>
            </w:tcBorders>
          </w:tcPr>
          <w:p>
            <w:pPr>
              <w:spacing w:after="0" w:line="20" w:lineRule="exact"/>
              <w:rPr>
                <w:sz w:val="1"/>
                <w:szCs w:val="1"/>
                <w:color w:val="auto"/>
              </w:rPr>
            </w:pPr>
          </w:p>
        </w:tc>
        <w:tc>
          <w:tcPr>
            <w:tcW w:w="110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4C4C4E"/>
            </w:tcBorders>
          </w:tcPr>
          <w:p>
            <w:pPr>
              <w:spacing w:after="0" w:line="20" w:lineRule="exact"/>
              <w:rPr>
                <w:sz w:val="1"/>
                <w:szCs w:val="1"/>
                <w:color w:val="auto"/>
              </w:rPr>
            </w:pPr>
          </w:p>
        </w:tc>
        <w:tc>
          <w:tcPr>
            <w:tcW w:w="1080" w:type="dxa"/>
            <w:vAlign w:val="bottom"/>
            <w:tcBorders>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4C4C4E"/>
            </w:tcBorders>
          </w:tcPr>
          <w:p>
            <w:pPr>
              <w:spacing w:after="0" w:line="20" w:lineRule="exact"/>
              <w:rPr>
                <w:sz w:val="1"/>
                <w:szCs w:val="1"/>
                <w:color w:val="auto"/>
              </w:rPr>
            </w:pPr>
          </w:p>
        </w:tc>
        <w:tc>
          <w:tcPr>
            <w:tcW w:w="106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-1268730</wp:posOffset>
            </wp:positionV>
            <wp:extent cx="364744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0">
                      <a:extLst>
                        <a:ext uri="{28A0092B-C50C-407E-A947-70E740481C1C}"/>
                      </a:extLst>
                    </a:blip>
                    <a:srcRect/>
                    <a:stretch>
                      <a:fillRect/>
                    </a:stretch>
                  </pic:blipFill>
                  <pic:spPr bwMode="auto">
                    <a:xfrm>
                      <a:off x="0" y="0"/>
                      <a:ext cx="3647440" cy="38100"/>
                    </a:xfrm>
                    <a:prstGeom prst="rect">
                      <a:avLst/>
                    </a:prstGeom>
                    <a:noFill/>
                  </pic:spPr>
                </pic:pic>
              </a:graphicData>
            </a:graphic>
          </wp:anchor>
        </w:drawing>
      </w:r>
    </w:p>
    <w:p>
      <w:pPr>
        <w:spacing w:after="0" w:line="191" w:lineRule="exact"/>
        <w:rPr>
          <w:sz w:val="20"/>
          <w:szCs w:val="20"/>
          <w:color w:val="auto"/>
        </w:rPr>
      </w:pPr>
    </w:p>
    <w:p>
      <w:pPr>
        <w:ind w:left="480" w:right="880" w:hanging="480"/>
        <w:spacing w:after="0" w:line="254" w:lineRule="auto"/>
        <w:tabs>
          <w:tab w:leader="none" w:pos="480" w:val="left"/>
        </w:tabs>
        <w:numPr>
          <w:ilvl w:val="0"/>
          <w:numId w:val="95"/>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amount available may be subject to limitations related to the borrowing base under the Revolving Credit Facility, outstanding letters of credit and asset coverage requirements.</w:t>
      </w:r>
    </w:p>
    <w:p>
      <w:pPr>
        <w:spacing w:after="0" w:line="1" w:lineRule="exact"/>
        <w:rPr>
          <w:rFonts w:ascii="Times New Roman" w:cs="Times New Roman" w:eastAsia="Times New Roman" w:hAnsi="Times New Roman"/>
          <w:sz w:val="20"/>
          <w:szCs w:val="20"/>
          <w:color w:val="4C4C4E"/>
        </w:rPr>
      </w:pPr>
    </w:p>
    <w:p>
      <w:pPr>
        <w:ind w:left="480" w:right="180" w:hanging="480"/>
        <w:spacing w:after="0"/>
        <w:tabs>
          <w:tab w:leader="none" w:pos="480" w:val="left"/>
        </w:tabs>
        <w:numPr>
          <w:ilvl w:val="0"/>
          <w:numId w:val="95"/>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values of the Revolving Credit Facility, 2026 Notes, 2028 Notes and 2029 Notes are presented net of the combination of deferred financing costs and original issue discounts totaling $15.4 million, $1.8 million, $4.5 million and $6.9 million, respectively.</w:t>
      </w:r>
    </w:p>
    <w:p>
      <w:pPr>
        <w:jc w:val="both"/>
        <w:ind w:left="480" w:right="260" w:hanging="480"/>
        <w:spacing w:after="0" w:line="244" w:lineRule="auto"/>
        <w:tabs>
          <w:tab w:leader="none" w:pos="480" w:val="left"/>
        </w:tabs>
        <w:numPr>
          <w:ilvl w:val="0"/>
          <w:numId w:val="95"/>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carrying values of the 2026 Notes, 2028 Notes and 2029 Notes are presented inclusive of an incremental $(17.6) million, $(1.4) million and $(5.2) million, respectively, which represents an adjustment in the carrying values of the 2026 Notes, 2028 Notes and 2029 Notes, each resulting from a hedge accounting relationship.</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F-45</w:t>
      </w:r>
    </w:p>
    <w:p>
      <w:pPr>
        <w:sectPr>
          <w:pgSz w:w="11880" w:h="15480" w:orient="portrait"/>
          <w:cols w:equalWidth="0" w:num="1">
            <w:col w:w="10800"/>
          </w:cols>
          <w:pgMar w:left="540" w:top="750" w:right="540" w:bottom="6" w:gutter="0" w:footer="0" w:header="0"/>
          <w:type w:val="continuous"/>
        </w:sectPr>
      </w:pPr>
    </w:p>
    <w:bookmarkStart w:id="134" w:name="page135"/>
    <w:bookmarkEnd w:id="134"/>
    <w:p>
      <w:pPr>
        <w:ind w:right="140" w:firstLine="245"/>
        <w:spacing w:after="0" w:line="277" w:lineRule="auto"/>
        <w:rPr>
          <w:sz w:val="20"/>
          <w:szCs w:val="20"/>
          <w:color w:val="auto"/>
        </w:rPr>
      </w:pPr>
      <w:r>
        <w:rPr>
          <w:rFonts w:ascii="Times New Roman" w:cs="Times New Roman" w:eastAsia="Times New Roman" w:hAnsi="Times New Roman"/>
          <w:sz w:val="20"/>
          <w:szCs w:val="20"/>
          <w:color w:val="4C4C4E"/>
        </w:rPr>
        <w:t>For the years ended December 31, 2025, December 31, 2024 and December 31, 2023, the components of interest expense were as follows:</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98"/>
        </w:trPr>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180" w:type="dxa"/>
            <w:vAlign w:val="bottom"/>
          </w:tcPr>
          <w:p>
            <w:pPr>
              <w:spacing w:after="0"/>
              <w:rPr>
                <w:sz w:val="17"/>
                <w:szCs w:val="17"/>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4C4C4E"/>
              </w:rPr>
              <w:t>Year Ended</w:t>
            </w:r>
          </w:p>
        </w:tc>
      </w:tr>
      <w:tr>
        <w:trPr>
          <w:trHeight w:val="203"/>
        </w:trPr>
        <w:tc>
          <w:tcPr>
            <w:tcW w:w="4540" w:type="dxa"/>
            <w:vAlign w:val="bottom"/>
          </w:tcPr>
          <w:p>
            <w:pPr>
              <w:spacing w:after="0"/>
              <w:rPr>
                <w:sz w:val="17"/>
                <w:szCs w:val="17"/>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100" w:type="dxa"/>
            <w:vAlign w:val="bottom"/>
          </w:tcPr>
          <w:p>
            <w:pPr>
              <w:spacing w:after="0"/>
              <w:rPr>
                <w:sz w:val="17"/>
                <w:szCs w:val="17"/>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4C4C4E"/>
              </w:rPr>
              <w:t>December 31, 2023</w:t>
            </w:r>
          </w:p>
        </w:tc>
      </w:tr>
      <w:tr>
        <w:trPr>
          <w:trHeight w:val="239"/>
        </w:trPr>
        <w:tc>
          <w:tcPr>
            <w:tcW w:w="45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Interest expense</w:t>
            </w:r>
          </w:p>
        </w:tc>
        <w:tc>
          <w:tcPr>
            <w:tcW w:w="18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w:t>
            </w:r>
          </w:p>
        </w:tc>
        <w:tc>
          <w:tcPr>
            <w:tcW w:w="11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100,995</w:t>
            </w:r>
          </w:p>
        </w:tc>
        <w:tc>
          <w:tcPr>
            <w:tcW w:w="260" w:type="dxa"/>
            <w:vAlign w:val="bottom"/>
            <w:tcBorders>
              <w:top w:val="single" w:sz="8" w:color="D8EEF4"/>
            </w:tcBorders>
            <w:shd w:val="clear" w:color="auto" w:fill="D8EEF4"/>
          </w:tcPr>
          <w:p>
            <w:pPr>
              <w:spacing w:after="0"/>
              <w:rPr>
                <w:sz w:val="20"/>
                <w:szCs w:val="20"/>
                <w:color w:val="auto"/>
              </w:rPr>
            </w:pPr>
          </w:p>
        </w:tc>
        <w:tc>
          <w:tcPr>
            <w:tcW w:w="100" w:type="dxa"/>
            <w:vAlign w:val="bottom"/>
            <w:tcBorders>
              <w:top w:val="single" w:sz="8" w:color="D8EEF4"/>
            </w:tcBorders>
            <w:shd w:val="clear" w:color="auto" w:fill="D8EEF4"/>
          </w:tcPr>
          <w:p>
            <w:pPr>
              <w:spacing w:after="0"/>
              <w:rPr>
                <w:sz w:val="20"/>
                <w:szCs w:val="20"/>
                <w:color w:val="auto"/>
              </w:rPr>
            </w:pPr>
          </w:p>
        </w:tc>
        <w:tc>
          <w:tcPr>
            <w:tcW w:w="18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w:t>
            </w:r>
          </w:p>
        </w:tc>
        <w:tc>
          <w:tcPr>
            <w:tcW w:w="11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105,155</w:t>
            </w:r>
          </w:p>
        </w:tc>
        <w:tc>
          <w:tcPr>
            <w:tcW w:w="380" w:type="dxa"/>
            <w:vAlign w:val="bottom"/>
            <w:tcBorders>
              <w:top w:val="single" w:sz="8" w:color="D8EEF4"/>
            </w:tcBorders>
            <w:shd w:val="clear" w:color="auto" w:fill="D8EEF4"/>
          </w:tcPr>
          <w:p>
            <w:pPr>
              <w:spacing w:after="0"/>
              <w:rPr>
                <w:sz w:val="20"/>
                <w:szCs w:val="20"/>
                <w:color w:val="auto"/>
              </w:rPr>
            </w:pPr>
          </w:p>
        </w:tc>
        <w:tc>
          <w:tcPr>
            <w:tcW w:w="180" w:type="dxa"/>
            <w:vAlign w:val="bottom"/>
            <w:tcBorders>
              <w:top w:val="single" w:sz="8" w:color="4C4C4E"/>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w:t>
            </w:r>
          </w:p>
        </w:tc>
        <w:tc>
          <w:tcPr>
            <w:tcW w:w="11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95,496</w:t>
            </w:r>
          </w:p>
        </w:tc>
        <w:tc>
          <w:tcPr>
            <w:tcW w:w="220" w:type="dxa"/>
            <w:vAlign w:val="bottom"/>
            <w:tcBorders>
              <w:top w:val="single" w:sz="8" w:color="D8EEF4"/>
            </w:tcBorders>
            <w:shd w:val="clear" w:color="auto" w:fill="D8EEF4"/>
          </w:tcPr>
          <w:p>
            <w:pPr>
              <w:spacing w:after="0"/>
              <w:rPr>
                <w:sz w:val="20"/>
                <w:szCs w:val="20"/>
                <w:color w:val="auto"/>
              </w:rPr>
            </w:pPr>
          </w:p>
        </w:tc>
      </w:tr>
      <w:tr>
        <w:trPr>
          <w:trHeight w:val="244"/>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Commitment fees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3,629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4,006</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2,852</w:t>
            </w:r>
          </w:p>
        </w:tc>
        <w:tc>
          <w:tcPr>
            <w:tcW w:w="220" w:type="dxa"/>
            <w:vAlign w:val="bottom"/>
          </w:tcPr>
          <w:p>
            <w:pPr>
              <w:spacing w:after="0"/>
              <w:rPr>
                <w:sz w:val="21"/>
                <w:szCs w:val="21"/>
                <w:color w:val="auto"/>
              </w:rPr>
            </w:pPr>
          </w:p>
        </w:tc>
      </w:tr>
      <w:tr>
        <w:trPr>
          <w:trHeight w:val="244"/>
        </w:trPr>
        <w:tc>
          <w:tcPr>
            <w:tcW w:w="45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Amortization of deferred financing costs</w:t>
            </w:r>
          </w:p>
        </w:tc>
        <w:tc>
          <w:tcPr>
            <w:tcW w:w="180" w:type="dxa"/>
            <w:vAlign w:val="bottom"/>
            <w:shd w:val="clear" w:color="auto" w:fill="D8EEF4"/>
          </w:tcPr>
          <w:p>
            <w:pPr>
              <w:spacing w:after="0"/>
              <w:rPr>
                <w:sz w:val="21"/>
                <w:szCs w:val="21"/>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6,743</w:t>
            </w:r>
          </w:p>
        </w:tc>
        <w:tc>
          <w:tcPr>
            <w:tcW w:w="26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6,903</w:t>
            </w:r>
          </w:p>
        </w:tc>
        <w:tc>
          <w:tcPr>
            <w:tcW w:w="380" w:type="dxa"/>
            <w:vAlign w:val="bottom"/>
            <w:shd w:val="clear" w:color="auto" w:fill="D8EEF4"/>
          </w:tcPr>
          <w:p>
            <w:pPr>
              <w:spacing w:after="0"/>
              <w:rPr>
                <w:sz w:val="21"/>
                <w:szCs w:val="21"/>
                <w:color w:val="auto"/>
              </w:rPr>
            </w:pPr>
          </w:p>
        </w:tc>
        <w:tc>
          <w:tcPr>
            <w:tcW w:w="180" w:type="dxa"/>
            <w:vAlign w:val="bottom"/>
            <w:shd w:val="clear" w:color="auto" w:fill="D8EEF4"/>
          </w:tcPr>
          <w:p>
            <w:pPr>
              <w:spacing w:after="0"/>
              <w:rPr>
                <w:sz w:val="21"/>
                <w:szCs w:val="21"/>
                <w:color w:val="auto"/>
              </w:rPr>
            </w:pP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5,245</w:t>
            </w:r>
          </w:p>
        </w:tc>
        <w:tc>
          <w:tcPr>
            <w:tcW w:w="220" w:type="dxa"/>
            <w:vAlign w:val="bottom"/>
            <w:shd w:val="clear" w:color="auto" w:fill="D8EEF4"/>
          </w:tcPr>
          <w:p>
            <w:pPr>
              <w:spacing w:after="0"/>
              <w:rPr>
                <w:sz w:val="21"/>
                <w:szCs w:val="21"/>
                <w:color w:val="auto"/>
              </w:rPr>
            </w:pPr>
          </w:p>
        </w:tc>
      </w:tr>
      <w:tr>
        <w:trPr>
          <w:trHeight w:val="244"/>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Accretion of original issue discount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1,857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1,614</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899</w:t>
            </w:r>
          </w:p>
        </w:tc>
        <w:tc>
          <w:tcPr>
            <w:tcW w:w="220" w:type="dxa"/>
            <w:vAlign w:val="bottom"/>
          </w:tcPr>
          <w:p>
            <w:pPr>
              <w:spacing w:after="0"/>
              <w:rPr>
                <w:sz w:val="21"/>
                <w:szCs w:val="21"/>
                <w:color w:val="auto"/>
              </w:rPr>
            </w:pPr>
          </w:p>
        </w:tc>
      </w:tr>
      <w:tr>
        <w:trPr>
          <w:trHeight w:val="244"/>
        </w:trPr>
        <w:tc>
          <w:tcPr>
            <w:tcW w:w="45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Swap settlement</w:t>
            </w:r>
          </w:p>
        </w:tc>
        <w:tc>
          <w:tcPr>
            <w:tcW w:w="180" w:type="dxa"/>
            <w:vAlign w:val="bottom"/>
            <w:tcBorders>
              <w:bottom w:val="single" w:sz="8" w:color="4C4C4E"/>
            </w:tcBorders>
            <w:shd w:val="clear" w:color="auto" w:fill="D8EEF4"/>
          </w:tcPr>
          <w:p>
            <w:pPr>
              <w:spacing w:after="0"/>
              <w:rPr>
                <w:sz w:val="21"/>
                <w:szCs w:val="21"/>
                <w:color w:val="auto"/>
              </w:rPr>
            </w:pPr>
          </w:p>
        </w:tc>
        <w:tc>
          <w:tcPr>
            <w:tcW w:w="11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16,333</w:t>
            </w:r>
          </w:p>
        </w:tc>
        <w:tc>
          <w:tcPr>
            <w:tcW w:w="26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80" w:type="dxa"/>
            <w:vAlign w:val="bottom"/>
            <w:tcBorders>
              <w:bottom w:val="single" w:sz="8" w:color="4C4C4E"/>
            </w:tcBorders>
            <w:shd w:val="clear" w:color="auto" w:fill="D8EEF4"/>
          </w:tcPr>
          <w:p>
            <w:pPr>
              <w:spacing w:after="0"/>
              <w:rPr>
                <w:sz w:val="21"/>
                <w:szCs w:val="21"/>
                <w:color w:val="auto"/>
              </w:rPr>
            </w:pPr>
          </w:p>
        </w:tc>
        <w:tc>
          <w:tcPr>
            <w:tcW w:w="11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36,467</w:t>
            </w:r>
          </w:p>
        </w:tc>
        <w:tc>
          <w:tcPr>
            <w:tcW w:w="380" w:type="dxa"/>
            <w:vAlign w:val="bottom"/>
            <w:shd w:val="clear" w:color="auto" w:fill="D8EEF4"/>
          </w:tcPr>
          <w:p>
            <w:pPr>
              <w:spacing w:after="0"/>
              <w:rPr>
                <w:sz w:val="21"/>
                <w:szCs w:val="21"/>
                <w:color w:val="auto"/>
              </w:rPr>
            </w:pPr>
          </w:p>
        </w:tc>
        <w:tc>
          <w:tcPr>
            <w:tcW w:w="180" w:type="dxa"/>
            <w:vAlign w:val="bottom"/>
            <w:tcBorders>
              <w:bottom w:val="single" w:sz="8" w:color="4C4C4E"/>
            </w:tcBorders>
            <w:shd w:val="clear" w:color="auto" w:fill="D8EEF4"/>
          </w:tcPr>
          <w:p>
            <w:pPr>
              <w:spacing w:after="0"/>
              <w:rPr>
                <w:sz w:val="21"/>
                <w:szCs w:val="21"/>
                <w:color w:val="auto"/>
              </w:rPr>
            </w:pPr>
          </w:p>
        </w:tc>
        <w:tc>
          <w:tcPr>
            <w:tcW w:w="11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29,239</w:t>
            </w:r>
          </w:p>
        </w:tc>
        <w:tc>
          <w:tcPr>
            <w:tcW w:w="220" w:type="dxa"/>
            <w:vAlign w:val="bottom"/>
            <w:shd w:val="clear" w:color="auto" w:fill="D8EEF4"/>
          </w:tcPr>
          <w:p>
            <w:pPr>
              <w:spacing w:after="0"/>
              <w:rPr>
                <w:sz w:val="21"/>
                <w:szCs w:val="21"/>
                <w:color w:val="auto"/>
              </w:rPr>
            </w:pPr>
          </w:p>
        </w:tc>
      </w:tr>
      <w:tr>
        <w:trPr>
          <w:trHeight w:val="279"/>
        </w:trPr>
        <w:tc>
          <w:tcPr>
            <w:tcW w:w="4540" w:type="dxa"/>
            <w:vAlign w:val="bottom"/>
            <w:tcBorders>
              <w:bottom w:val="single" w:sz="8" w:color="D8EEF4"/>
            </w:tcBorders>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Interest Expense</w:t>
            </w:r>
          </w:p>
        </w:tc>
        <w:tc>
          <w:tcPr>
            <w:tcW w:w="18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w:t>
            </w:r>
          </w:p>
        </w:tc>
        <w:tc>
          <w:tcPr>
            <w:tcW w:w="11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129,557</w:t>
            </w:r>
          </w:p>
        </w:tc>
        <w:tc>
          <w:tcPr>
            <w:tcW w:w="260" w:type="dxa"/>
            <w:vAlign w:val="bottom"/>
            <w:tcBorders>
              <w:bottom w:val="single" w:sz="8" w:color="D8EEF4"/>
            </w:tcBorders>
          </w:tcPr>
          <w:p>
            <w:pPr>
              <w:spacing w:after="0"/>
              <w:rPr>
                <w:sz w:val="24"/>
                <w:szCs w:val="24"/>
                <w:color w:val="auto"/>
              </w:rPr>
            </w:pPr>
          </w:p>
        </w:tc>
        <w:tc>
          <w:tcPr>
            <w:tcW w:w="100" w:type="dxa"/>
            <w:vAlign w:val="bottom"/>
            <w:tcBorders>
              <w:bottom w:val="single" w:sz="8" w:color="D8EEF4"/>
            </w:tcBorders>
          </w:tcPr>
          <w:p>
            <w:pPr>
              <w:spacing w:after="0"/>
              <w:rPr>
                <w:sz w:val="24"/>
                <w:szCs w:val="24"/>
                <w:color w:val="auto"/>
              </w:rPr>
            </w:pPr>
          </w:p>
        </w:tc>
        <w:tc>
          <w:tcPr>
            <w:tcW w:w="18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w:t>
            </w:r>
          </w:p>
        </w:tc>
        <w:tc>
          <w:tcPr>
            <w:tcW w:w="11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154,145</w:t>
            </w:r>
          </w:p>
        </w:tc>
        <w:tc>
          <w:tcPr>
            <w:tcW w:w="380" w:type="dxa"/>
            <w:vAlign w:val="bottom"/>
            <w:tcBorders>
              <w:bottom w:val="single" w:sz="8" w:color="D8EEF4"/>
            </w:tcBorders>
          </w:tcPr>
          <w:p>
            <w:pPr>
              <w:spacing w:after="0"/>
              <w:rPr>
                <w:sz w:val="24"/>
                <w:szCs w:val="24"/>
                <w:color w:val="auto"/>
              </w:rPr>
            </w:pPr>
          </w:p>
        </w:tc>
        <w:tc>
          <w:tcPr>
            <w:tcW w:w="18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w:t>
            </w:r>
          </w:p>
        </w:tc>
        <w:tc>
          <w:tcPr>
            <w:tcW w:w="11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133,731</w:t>
            </w:r>
          </w:p>
        </w:tc>
        <w:tc>
          <w:tcPr>
            <w:tcW w:w="220" w:type="dxa"/>
            <w:vAlign w:val="bottom"/>
            <w:tcBorders>
              <w:bottom w:val="single" w:sz="8" w:color="D8EEF4"/>
            </w:tcBorders>
          </w:tcPr>
          <w:p>
            <w:pPr>
              <w:spacing w:after="0"/>
              <w:rPr>
                <w:sz w:val="24"/>
                <w:szCs w:val="24"/>
                <w:color w:val="auto"/>
              </w:rPr>
            </w:pPr>
          </w:p>
        </w:tc>
      </w:tr>
      <w:tr>
        <w:trPr>
          <w:trHeight w:val="229"/>
        </w:trPr>
        <w:tc>
          <w:tcPr>
            <w:tcW w:w="45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Average debt outstanding (in millions)</w:t>
            </w:r>
          </w:p>
        </w:tc>
        <w:tc>
          <w:tcPr>
            <w:tcW w:w="1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w:t>
            </w: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1,880.3</w:t>
            </w:r>
          </w:p>
        </w:tc>
        <w:tc>
          <w:tcPr>
            <w:tcW w:w="260" w:type="dxa"/>
            <w:vAlign w:val="bottom"/>
            <w:shd w:val="clear" w:color="auto" w:fill="D8EEF4"/>
          </w:tcPr>
          <w:p>
            <w:pPr>
              <w:spacing w:after="0"/>
              <w:rPr>
                <w:sz w:val="19"/>
                <w:szCs w:val="19"/>
                <w:color w:val="auto"/>
              </w:rPr>
            </w:pPr>
          </w:p>
        </w:tc>
        <w:tc>
          <w:tcPr>
            <w:tcW w:w="100" w:type="dxa"/>
            <w:vAlign w:val="bottom"/>
            <w:shd w:val="clear" w:color="auto" w:fill="D8EEF4"/>
          </w:tcPr>
          <w:p>
            <w:pPr>
              <w:spacing w:after="0"/>
              <w:rPr>
                <w:sz w:val="19"/>
                <w:szCs w:val="19"/>
                <w:color w:val="auto"/>
              </w:rPr>
            </w:pPr>
          </w:p>
        </w:tc>
        <w:tc>
          <w:tcPr>
            <w:tcW w:w="1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w:t>
            </w: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1,882.7</w:t>
            </w:r>
          </w:p>
        </w:tc>
        <w:tc>
          <w:tcPr>
            <w:tcW w:w="380" w:type="dxa"/>
            <w:vAlign w:val="bottom"/>
            <w:shd w:val="clear" w:color="auto" w:fill="D8EEF4"/>
          </w:tcPr>
          <w:p>
            <w:pPr>
              <w:spacing w:after="0"/>
              <w:rPr>
                <w:sz w:val="19"/>
                <w:szCs w:val="19"/>
                <w:color w:val="auto"/>
              </w:rPr>
            </w:pPr>
          </w:p>
        </w:tc>
        <w:tc>
          <w:tcPr>
            <w:tcW w:w="1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w:t>
            </w: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1,705.6</w:t>
            </w:r>
          </w:p>
        </w:tc>
        <w:tc>
          <w:tcPr>
            <w:tcW w:w="220" w:type="dxa"/>
            <w:vAlign w:val="bottom"/>
            <w:shd w:val="clear" w:color="auto" w:fill="D8EEF4"/>
          </w:tcPr>
          <w:p>
            <w:pPr>
              <w:spacing w:after="0"/>
              <w:rPr>
                <w:sz w:val="19"/>
                <w:szCs w:val="19"/>
                <w:color w:val="auto"/>
              </w:rPr>
            </w:pPr>
          </w:p>
        </w:tc>
      </w:tr>
      <w:tr>
        <w:trPr>
          <w:trHeight w:val="266"/>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Weighted average interest rate</w:t>
            </w:r>
          </w:p>
        </w:tc>
        <w:tc>
          <w:tcPr>
            <w:tcW w:w="180" w:type="dxa"/>
            <w:vAlign w:val="bottom"/>
          </w:tcPr>
          <w:p>
            <w:pPr>
              <w:spacing w:after="0"/>
              <w:rPr>
                <w:sz w:val="23"/>
                <w:szCs w:val="23"/>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C4C4E"/>
              </w:rPr>
              <w:t>7.5%</w:t>
            </w:r>
          </w:p>
        </w:tc>
        <w:tc>
          <w:tcPr>
            <w:tcW w:w="180" w:type="dxa"/>
            <w:vAlign w:val="bottom"/>
          </w:tcPr>
          <w:p>
            <w:pPr>
              <w:spacing w:after="0"/>
              <w:rPr>
                <w:sz w:val="23"/>
                <w:szCs w:val="23"/>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7.3%</w:t>
            </w:r>
          </w:p>
        </w:tc>
      </w:tr>
    </w:tbl>
    <w:p>
      <w:pPr>
        <w:spacing w:after="0" w:line="200" w:lineRule="exact"/>
        <w:rPr>
          <w:sz w:val="20"/>
          <w:szCs w:val="20"/>
          <w:color w:val="auto"/>
        </w:rPr>
      </w:pPr>
    </w:p>
    <w:p>
      <w:pPr>
        <w:spacing w:after="0" w:line="331" w:lineRule="exact"/>
        <w:rPr>
          <w:sz w:val="20"/>
          <w:szCs w:val="20"/>
          <w:color w:val="auto"/>
        </w:rPr>
      </w:pPr>
    </w:p>
    <w:p>
      <w:pPr>
        <w:ind w:right="7740"/>
        <w:spacing w:after="0" w:line="367" w:lineRule="auto"/>
        <w:tabs>
          <w:tab w:leader="none" w:pos="200" w:val="left"/>
        </w:tabs>
        <w:numPr>
          <w:ilvl w:val="0"/>
          <w:numId w:val="96"/>
        </w:numPr>
        <w:rPr>
          <w:rFonts w:ascii="Times New Roman" w:cs="Times New Roman" w:eastAsia="Times New Roman" w:hAnsi="Times New Roman"/>
          <w:sz w:val="20"/>
          <w:szCs w:val="20"/>
          <w:b w:val="1"/>
          <w:bCs w:val="1"/>
          <w:color w:val="4C4C4E"/>
        </w:rPr>
      </w:pPr>
      <w:r>
        <w:rPr>
          <w:rFonts w:ascii="Times New Roman" w:cs="Times New Roman" w:eastAsia="Times New Roman" w:hAnsi="Times New Roman"/>
          <w:sz w:val="20"/>
          <w:szCs w:val="20"/>
          <w:b w:val="1"/>
          <w:bCs w:val="1"/>
          <w:color w:val="4C4C4E"/>
        </w:rPr>
        <w:t xml:space="preserve">Commitments and Contingencies </w:t>
      </w:r>
      <w:r>
        <w:rPr>
          <w:rFonts w:ascii="Times New Roman" w:cs="Times New Roman" w:eastAsia="Times New Roman" w:hAnsi="Times New Roman"/>
          <w:sz w:val="20"/>
          <w:szCs w:val="20"/>
          <w:i w:val="1"/>
          <w:iCs w:val="1"/>
          <w:color w:val="4C4C4E"/>
        </w:rPr>
        <w:t>Portfolio Company Commitments</w:t>
      </w:r>
    </w:p>
    <w:p>
      <w:pPr>
        <w:spacing w:after="0" w:line="1"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4C4C4E"/>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200" w:lineRule="exact"/>
        <w:rPr>
          <w:sz w:val="20"/>
          <w:szCs w:val="20"/>
          <w:color w:val="auto"/>
        </w:rPr>
      </w:pPr>
    </w:p>
    <w:p>
      <w:pPr>
        <w:ind w:right="300" w:firstLine="245"/>
        <w:spacing w:after="0" w:line="277" w:lineRule="auto"/>
        <w:rPr>
          <w:sz w:val="20"/>
          <w:szCs w:val="20"/>
          <w:color w:val="auto"/>
        </w:rPr>
      </w:pPr>
      <w:r>
        <w:rPr>
          <w:rFonts w:ascii="Times New Roman" w:cs="Times New Roman" w:eastAsia="Times New Roman" w:hAnsi="Times New Roman"/>
          <w:sz w:val="20"/>
          <w:szCs w:val="20"/>
          <w:color w:val="4C4C4E"/>
        </w:rPr>
        <w:t>As of December 31, 2025 and December 31, 2024, the Company had the following commitments to fund investments in current portfolio companies:</w:t>
      </w:r>
    </w:p>
    <w:p>
      <w:pPr>
        <w:sectPr>
          <w:pgSz w:w="11880" w:h="15480" w:orient="portrait"/>
          <w:cols w:equalWidth="0" w:num="1">
            <w:col w:w="10780"/>
          </w:cols>
          <w:pgMar w:left="540" w:top="750"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4C4C4E"/>
        </w:rPr>
        <w:t>F-46</w:t>
      </w:r>
    </w:p>
    <w:p>
      <w:pPr>
        <w:sectPr>
          <w:pgSz w:w="11880" w:h="15480" w:orient="portrait"/>
          <w:cols w:equalWidth="0" w:num="1">
            <w:col w:w="10780"/>
          </w:cols>
          <w:pgMar w:left="540" w:top="750" w:right="560" w:bottom="6"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03"/>
        </w:trPr>
        <w:tc>
          <w:tcPr>
            <w:tcW w:w="5820" w:type="dxa"/>
            <w:vAlign w:val="bottom"/>
            <w:tcBorders>
              <w:bottom w:val="single" w:sz="8" w:color="D8EEF4"/>
            </w:tcBorders>
          </w:tcPr>
          <w:p>
            <w:pPr>
              <w:spacing w:after="0"/>
              <w:rPr>
                <w:sz w:val="17"/>
                <w:szCs w:val="17"/>
                <w:color w:val="auto"/>
              </w:rPr>
            </w:pPr>
          </w:p>
        </w:tc>
        <w:tc>
          <w:tcPr>
            <w:tcW w:w="14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420" w:type="dxa"/>
            <w:vAlign w:val="bottom"/>
            <w:tcBorders>
              <w:bottom w:val="single" w:sz="8" w:color="4C4C4E"/>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4C4C4E"/>
                <w:w w:val="98"/>
              </w:rPr>
              <w:t>December 31, 2025</w:t>
            </w:r>
          </w:p>
        </w:tc>
        <w:tc>
          <w:tcPr>
            <w:tcW w:w="32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440" w:type="dxa"/>
            <w:vAlign w:val="bottom"/>
            <w:tcBorders>
              <w:bottom w:val="single" w:sz="8" w:color="4C4C4E"/>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4C4C4E"/>
                <w:w w:val="98"/>
              </w:rPr>
              <w:t>December 31, 2024</w:t>
            </w:r>
          </w:p>
        </w:tc>
        <w:tc>
          <w:tcPr>
            <w:tcW w:w="60" w:type="dxa"/>
            <w:vAlign w:val="bottom"/>
            <w:tcBorders>
              <w:bottom w:val="single" w:sz="8" w:color="D8EEF4"/>
            </w:tcBorders>
          </w:tcPr>
          <w:p>
            <w:pPr>
              <w:spacing w:after="0"/>
              <w:rPr>
                <w:sz w:val="17"/>
                <w:szCs w:val="17"/>
                <w:color w:val="auto"/>
              </w:rPr>
            </w:pPr>
          </w:p>
        </w:tc>
      </w:tr>
      <w:tr>
        <w:trPr>
          <w:trHeight w:val="239"/>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Alaska Bidco Oy - Delayed Draw &amp; Revolver</w:t>
            </w:r>
          </w:p>
        </w:tc>
        <w:tc>
          <w:tcPr>
            <w:tcW w:w="140" w:type="dxa"/>
            <w:vAlign w:val="bottom"/>
            <w:shd w:val="clear" w:color="auto" w:fill="D8EEF4"/>
          </w:tcPr>
          <w:p>
            <w:pPr>
              <w:spacing w:after="0"/>
              <w:rPr>
                <w:sz w:val="20"/>
                <w:szCs w:val="20"/>
                <w:color w:val="auto"/>
              </w:rPr>
            </w:pPr>
          </w:p>
        </w:tc>
        <w:tc>
          <w:tcPr>
            <w:tcW w:w="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246</w:t>
            </w:r>
          </w:p>
        </w:tc>
        <w:tc>
          <w:tcPr>
            <w:tcW w:w="320" w:type="dxa"/>
            <w:vAlign w:val="bottom"/>
            <w:shd w:val="clear" w:color="auto" w:fill="D8EEF4"/>
          </w:tcPr>
          <w:p>
            <w:pPr>
              <w:spacing w:after="0"/>
              <w:rPr>
                <w:sz w:val="20"/>
                <w:szCs w:val="20"/>
                <w:color w:val="auto"/>
              </w:rPr>
            </w:pPr>
          </w:p>
        </w:tc>
        <w:tc>
          <w:tcPr>
            <w:tcW w:w="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217</w:t>
            </w:r>
          </w:p>
        </w:tc>
        <w:tc>
          <w:tcPr>
            <w:tcW w:w="60" w:type="dxa"/>
            <w:vAlign w:val="bottom"/>
            <w:shd w:val="clear" w:color="auto" w:fill="D8EEF4"/>
          </w:tcPr>
          <w:p>
            <w:pPr>
              <w:spacing w:after="0"/>
              <w:rPr>
                <w:sz w:val="20"/>
                <w:szCs w:val="20"/>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Aledade, Inc. -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24,136</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Alpha Midco, Inc.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452</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American Achievement, Corp. -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2,403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2,403</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Apellis Pharmaceuticals, Inc. - Delayed Draw</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5,263</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Aptean, Inc. - Delayed Draw &amp;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1,126</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Arcwood Environmental, Inc.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1,815</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2,521</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Arrow Buyer, Inc. - Delayed Draw</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5,479</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Arrowhead Pharmaceuticals, Inc. - Delayed Draw</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27,643</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31,961</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Artisan Bidco, Inc. -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1,429</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5,717</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Avalara, Inc. -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3,864</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AVSC Holding Corp. -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4,833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4,833</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Axonify, Inc. - Delayed Draw</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694</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Azurite Intermediate Holdings, Inc. - Revolver &amp; Equity</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5,575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5,575</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Babylon Finco Limited - Delayed Draw</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287</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Banyan Software Holdings, LLC - Delayed Draw</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3,898</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Bayshore Intermediate #2, L.P. -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2,734</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3,635</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BCTO Ace Purchaser, Inc. - Delayed Draw &amp;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324</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324</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BCTO Bluebill Buyer, Inc. - Delayed Draw</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4,144</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Ben Nevis Midco Limited - Delayed Draw</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1,365</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BlueSnap, Inc.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5,069</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BTRS Holdings, Inc. - Delayed Draw &amp;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3,029</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Cirrus (Bidco) Ltd - Delayed Draw</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448</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417</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Cordance Operations, LLC - Delayed Draw &amp;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2,594</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6,719</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Coupa Holdings, LLC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6,809</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6,809</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Crewline Buyer, Inc. - Revolver &amp; Equity</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6,148</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6,148</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Disco Parent, Inc. -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455</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EDB Parent, LLC - Delayed Draw</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5,603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5,127</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Elysian Finco Ltd.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764</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1,881</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Elysium BidCo Limited -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2,493</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Employment Hero Holdings Pty Ltd.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1,857</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EMS Linq, Inc. -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5,868</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4,568</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Erling Lux Bidco SARL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6,134</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2,772</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Eventus Buyer, LLC - Delayed Draw &amp;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8,633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10,033</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ExtraHop Networks, Inc.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446</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3,384</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Flight Intermediate HoldCo, Inc. - Delayed Draw</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32,131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37,860</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ForeScout Technologies, Inc.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800</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Fullsteam Operations, LLC - Delayed Draw &amp;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8,885</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Galileo Parent, Inc. -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3,462</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5,481</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Greenshoot Bidco B.V. -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461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407</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Hippo XPA Bidco AB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9,407</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1,697</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HireVue, Inc. -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2,509</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HMP Omnimedia, LLC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9,818</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Ingenovis Health Finance, LLC -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32,500</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IRGSE Holding Corp. -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5,707</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528</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Kahua, Inc. - Delayed Draw</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5,000</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Kangaroo Bidco AS - Delayed Draw</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4,375</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4,375</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Kaseware Intermediate Holding Company - Delayed Draw &amp;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6,749</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Kryptona BidCo US, LLC -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2,165</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2,165</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LeanTaaS Holdings, Inc. - Delayed Draw</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12,015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18,844</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LIHA Holdco B.V.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753</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993</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Lynx BidCo - Delayed Draw &amp;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6,733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891</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Marcura Equities LTD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1,667</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9,133</w:t>
            </w:r>
          </w:p>
        </w:tc>
        <w:tc>
          <w:tcPr>
            <w:tcW w:w="60" w:type="dxa"/>
            <w:vAlign w:val="bottom"/>
            <w:shd w:val="clear" w:color="auto" w:fill="D8EEF4"/>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4C4C4E"/>
              </w:rPr>
              <w:t>Merit Software Finance Holdings, LLC - Delayed Draw &amp; Revolver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11,786</w:t>
            </w:r>
          </w:p>
        </w:tc>
        <w:tc>
          <w:tcPr>
            <w:tcW w:w="60" w:type="dxa"/>
            <w:vAlign w:val="bottom"/>
          </w:tcPr>
          <w:p>
            <w:pPr>
              <w:spacing w:after="0"/>
              <w:rPr>
                <w:sz w:val="21"/>
                <w:szCs w:val="21"/>
                <w:color w:val="auto"/>
              </w:rPr>
            </w:pPr>
          </w:p>
        </w:tc>
      </w:tr>
      <w:tr>
        <w:trPr>
          <w:trHeight w:val="244"/>
        </w:trPr>
        <w:tc>
          <w:tcPr>
            <w:tcW w:w="582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Omnigo Software, LLC - Delayed Draw &amp; Revolver</w:t>
            </w:r>
          </w:p>
        </w:tc>
        <w:tc>
          <w:tcPr>
            <w:tcW w:w="14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1,875</w:t>
            </w:r>
          </w:p>
        </w:tc>
        <w:tc>
          <w:tcPr>
            <w:tcW w:w="320" w:type="dxa"/>
            <w:vAlign w:val="bottom"/>
            <w:shd w:val="clear" w:color="auto" w:fill="D8EEF4"/>
          </w:tcPr>
          <w:p>
            <w:pPr>
              <w:spacing w:after="0"/>
              <w:rPr>
                <w:sz w:val="21"/>
                <w:szCs w:val="21"/>
                <w:color w:val="auto"/>
              </w:rPr>
            </w:pPr>
          </w:p>
        </w:tc>
        <w:tc>
          <w:tcPr>
            <w:tcW w:w="100" w:type="dxa"/>
            <w:vAlign w:val="bottom"/>
            <w:shd w:val="clear" w:color="auto" w:fill="D8EEF4"/>
          </w:tcPr>
          <w:p>
            <w:pPr>
              <w:spacing w:after="0"/>
              <w:rPr>
                <w:sz w:val="21"/>
                <w:szCs w:val="21"/>
                <w:color w:val="auto"/>
              </w:rPr>
            </w:pPr>
          </w:p>
        </w:tc>
        <w:tc>
          <w:tcPr>
            <w:tcW w:w="14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60" w:type="dxa"/>
            <w:vAlign w:val="bottom"/>
            <w:shd w:val="clear" w:color="auto" w:fill="D8EEF4"/>
          </w:tcPr>
          <w:p>
            <w:pPr>
              <w:spacing w:after="0"/>
              <w:rPr>
                <w:sz w:val="21"/>
                <w:szCs w:val="21"/>
                <w:color w:val="auto"/>
              </w:rPr>
            </w:pPr>
          </w:p>
        </w:tc>
      </w:tr>
      <w:tr>
        <w:trPr>
          <w:trHeight w:val="554"/>
        </w:trPr>
        <w:tc>
          <w:tcPr>
            <w:tcW w:w="5820" w:type="dxa"/>
            <w:vAlign w:val="bottom"/>
          </w:tcPr>
          <w:p>
            <w:pPr>
              <w:ind w:left="4520"/>
              <w:spacing w:after="0"/>
              <w:rPr>
                <w:sz w:val="20"/>
                <w:szCs w:val="20"/>
                <w:color w:val="auto"/>
              </w:rPr>
            </w:pPr>
            <w:r>
              <w:rPr>
                <w:rFonts w:ascii="Times New Roman" w:cs="Times New Roman" w:eastAsia="Times New Roman" w:hAnsi="Times New Roman"/>
                <w:sz w:val="20"/>
                <w:szCs w:val="20"/>
                <w:color w:val="4C4C4E"/>
              </w:rPr>
              <w:t>F-47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880" w:h="15480" w:orient="portrait"/>
          <w:cols w:equalWidth="0" w:num="1">
            <w:col w:w="9400"/>
          </w:cols>
          <w:pgMar w:left="1240" w:top="764" w:right="1240" w:bottom="0" w:gutter="0" w:footer="0" w:header="0"/>
        </w:sectPr>
      </w:pPr>
    </w:p>
    <w:bookmarkStart w:id="136" w:name="page137"/>
    <w:bookmarkEnd w:id="136"/>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49"/>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PDI TA Holdings, Inc. - Delayed Draw &amp; Revolver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437</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3,286</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PrimePay Intermediate, LLC - Delayed Draw</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4,000</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PrimeRevenue, Inc. - Revolver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6,250</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QSR Acquisition Co. - Delayed Draw</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15,000</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Rail Acquisitions LLC - Delayed Draw &amp; Revolver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5,660</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RainFocus, LLC - Delayed Draw</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5,322</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12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Rapid Data GmbH Unternehmensberatung - Delayed Draw &amp; Revolver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1,231</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1,425</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Raptor US Buyer II Corp. - Revolver</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600</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682</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Sapphire Software Buyer, Inc. - Revolver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3,243</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3,243</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Scorpio Bidco - Delayed Draw</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575</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506</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Sediver S.p.A. - Delayed Draw</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4,113</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3,627</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Severin Acquisition, LLC - Delayed Draw &amp; Revolver</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4,380</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5,039</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Shiftmove GmbH - Delayed Draw</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10,174</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13,591</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SkyLark UK DebtCo Limited - Delayed Draw</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6,946</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SL Buyer Corp. - Delayed Draw</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11,234</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SMA Technologies Holdings, LLC - Revolver</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1,009</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1,009</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Sport Alliance GmbH - Revolver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489</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647</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Tango Management Consulting, LLC - Delayed Draw &amp; Revolver</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23,799</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1,479</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TRP Assets, LLC - Delayed Draw</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10,166</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10,166</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Truck-Lite Co., LLC - Delayed Draw &amp; Revolver</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8,743</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TS Imagine Inc. - Revolver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768</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768</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USA Debusk LLC - Delayed Draw &amp; Revolver</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2,519</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2,809</w:t>
            </w:r>
          </w:p>
        </w:tc>
        <w:tc>
          <w:tcPr>
            <w:tcW w:w="60" w:type="dxa"/>
            <w:vAlign w:val="bottom"/>
            <w:shd w:val="clear" w:color="auto" w:fill="D8EEF4"/>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4C4C4E"/>
              </w:rPr>
              <w:t>Varinem German Bidco GmbH - Delayed Draw</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4,917</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3,553</w:t>
            </w:r>
          </w:p>
        </w:tc>
        <w:tc>
          <w:tcPr>
            <w:tcW w:w="60" w:type="dxa"/>
            <w:vAlign w:val="bottom"/>
          </w:tcPr>
          <w:p>
            <w:pPr>
              <w:spacing w:after="0"/>
              <w:rPr>
                <w:sz w:val="21"/>
                <w:szCs w:val="21"/>
                <w:color w:val="auto"/>
              </w:rPr>
            </w:pPr>
          </w:p>
        </w:tc>
      </w:tr>
      <w:tr>
        <w:trPr>
          <w:trHeight w:val="244"/>
        </w:trPr>
        <w:tc>
          <w:tcPr>
            <w:tcW w:w="58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Velocity Clinical Research, Inc. - Delayed Draw &amp; Revolver</w:t>
            </w:r>
          </w:p>
        </w:tc>
        <w:tc>
          <w:tcPr>
            <w:tcW w:w="1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8,814</w:t>
            </w:r>
          </w:p>
        </w:tc>
        <w:tc>
          <w:tcPr>
            <w:tcW w:w="320" w:type="dxa"/>
            <w:vAlign w:val="bottom"/>
            <w:shd w:val="clear" w:color="auto" w:fill="D8EEF4"/>
          </w:tcPr>
          <w:p>
            <w:pPr>
              <w:spacing w:after="0"/>
              <w:rPr>
                <w:sz w:val="21"/>
                <w:szCs w:val="21"/>
                <w:color w:val="auto"/>
              </w:rPr>
            </w:pPr>
          </w:p>
        </w:tc>
        <w:tc>
          <w:tcPr>
            <w:tcW w:w="480" w:type="dxa"/>
            <w:vAlign w:val="bottom"/>
            <w:shd w:val="clear" w:color="auto" w:fill="D8EEF4"/>
          </w:tcPr>
          <w:p>
            <w:pPr>
              <w:spacing w:after="0"/>
              <w:rPr>
                <w:sz w:val="21"/>
                <w:szCs w:val="21"/>
                <w:color w:val="auto"/>
              </w:rPr>
            </w:pPr>
          </w:p>
        </w:tc>
        <w:tc>
          <w:tcPr>
            <w:tcW w:w="112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r>
      <w:tr>
        <w:trPr>
          <w:trHeight w:val="244"/>
        </w:trPr>
        <w:tc>
          <w:tcPr>
            <w:tcW w:w="584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20"/>
                <w:szCs w:val="20"/>
                <w:color w:val="4C4C4E"/>
              </w:rPr>
              <w:t>Wrangler Topco, LLC - Delayed Draw &amp; Revolver</w:t>
            </w:r>
          </w:p>
        </w:tc>
        <w:tc>
          <w:tcPr>
            <w:tcW w:w="120" w:type="dxa"/>
            <w:vAlign w:val="bottom"/>
            <w:tcBorders>
              <w:bottom w:val="single" w:sz="8" w:color="D8EEF4"/>
            </w:tcBorders>
          </w:tcPr>
          <w:p>
            <w:pPr>
              <w:spacing w:after="0"/>
              <w:rPr>
                <w:sz w:val="21"/>
                <w:szCs w:val="21"/>
                <w:color w:val="auto"/>
              </w:rPr>
            </w:pPr>
          </w:p>
        </w:tc>
        <w:tc>
          <w:tcPr>
            <w:tcW w:w="480" w:type="dxa"/>
            <w:vAlign w:val="bottom"/>
            <w:tcBorders>
              <w:bottom w:val="single" w:sz="8" w:color="4C4C4E"/>
            </w:tcBorders>
          </w:tcPr>
          <w:p>
            <w:pPr>
              <w:spacing w:after="0"/>
              <w:rPr>
                <w:sz w:val="21"/>
                <w:szCs w:val="21"/>
                <w:color w:val="auto"/>
              </w:rPr>
            </w:pPr>
          </w:p>
        </w:tc>
        <w:tc>
          <w:tcPr>
            <w:tcW w:w="104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888</w:t>
            </w:r>
          </w:p>
        </w:tc>
        <w:tc>
          <w:tcPr>
            <w:tcW w:w="320" w:type="dxa"/>
            <w:vAlign w:val="bottom"/>
            <w:tcBorders>
              <w:bottom w:val="single" w:sz="8" w:color="D8EEF4"/>
            </w:tcBorders>
          </w:tcPr>
          <w:p>
            <w:pPr>
              <w:spacing w:after="0"/>
              <w:rPr>
                <w:sz w:val="21"/>
                <w:szCs w:val="21"/>
                <w:color w:val="auto"/>
              </w:rPr>
            </w:pPr>
          </w:p>
        </w:tc>
        <w:tc>
          <w:tcPr>
            <w:tcW w:w="480" w:type="dxa"/>
            <w:vAlign w:val="bottom"/>
            <w:tcBorders>
              <w:bottom w:val="single" w:sz="8" w:color="4C4C4E"/>
            </w:tcBorders>
          </w:tcPr>
          <w:p>
            <w:pPr>
              <w:spacing w:after="0"/>
              <w:rPr>
                <w:sz w:val="21"/>
                <w:szCs w:val="21"/>
                <w:color w:val="auto"/>
              </w:rPr>
            </w:pPr>
          </w:p>
        </w:tc>
        <w:tc>
          <w:tcPr>
            <w:tcW w:w="10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1,433</w:t>
            </w:r>
          </w:p>
        </w:tc>
        <w:tc>
          <w:tcPr>
            <w:tcW w:w="60" w:type="dxa"/>
            <w:vAlign w:val="bottom"/>
            <w:tcBorders>
              <w:bottom w:val="single" w:sz="8" w:color="D8EEF4"/>
            </w:tcBorders>
          </w:tcPr>
          <w:p>
            <w:pPr>
              <w:spacing w:after="0"/>
              <w:rPr>
                <w:sz w:val="21"/>
                <w:szCs w:val="21"/>
                <w:color w:val="auto"/>
              </w:rPr>
            </w:pPr>
          </w:p>
        </w:tc>
      </w:tr>
      <w:tr>
        <w:trPr>
          <w:trHeight w:val="239"/>
        </w:trPr>
        <w:tc>
          <w:tcPr>
            <w:tcW w:w="5840" w:type="dxa"/>
            <w:vAlign w:val="bottom"/>
            <w:shd w:val="clear" w:color="auto" w:fill="D8EEF4"/>
          </w:tcPr>
          <w:p>
            <w:pPr>
              <w:ind w:left="100"/>
              <w:spacing w:after="0" w:line="238" w:lineRule="exact"/>
              <w:rPr>
                <w:sz w:val="20"/>
                <w:szCs w:val="20"/>
                <w:color w:val="auto"/>
              </w:rPr>
            </w:pPr>
            <w:r>
              <w:rPr>
                <w:rFonts w:ascii="Times New Roman" w:cs="Times New Roman" w:eastAsia="Times New Roman" w:hAnsi="Times New Roman"/>
                <w:sz w:val="20"/>
                <w:szCs w:val="20"/>
                <w:b w:val="1"/>
                <w:bCs w:val="1"/>
                <w:color w:val="4C4C4E"/>
              </w:rPr>
              <w:t xml:space="preserve">Total Portfolio Company Commitments </w:t>
            </w:r>
            <w:r>
              <w:rPr>
                <w:rFonts w:ascii="Times New Roman" w:cs="Times New Roman" w:eastAsia="Times New Roman" w:hAnsi="Times New Roman"/>
                <w:sz w:val="26"/>
                <w:szCs w:val="26"/>
                <w:b w:val="1"/>
                <w:bCs w:val="1"/>
                <w:color w:val="4C4C4E"/>
                <w:vertAlign w:val="superscript"/>
              </w:rPr>
              <w:t>(1)(2)</w:t>
            </w:r>
          </w:p>
        </w:tc>
        <w:tc>
          <w:tcPr>
            <w:tcW w:w="120" w:type="dxa"/>
            <w:vAlign w:val="bottom"/>
            <w:shd w:val="clear" w:color="auto" w:fill="D8EEF4"/>
          </w:tcPr>
          <w:p>
            <w:pPr>
              <w:spacing w:after="0"/>
              <w:rPr>
                <w:sz w:val="20"/>
                <w:szCs w:val="20"/>
                <w:color w:val="auto"/>
              </w:rPr>
            </w:pPr>
          </w:p>
        </w:tc>
        <w:tc>
          <w:tcPr>
            <w:tcW w:w="480" w:type="dxa"/>
            <w:vAlign w:val="bottom"/>
            <w:tcBorders>
              <w:bottom w:val="single" w:sz="8" w:color="4C4C4E"/>
            </w:tcBorders>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w w:val="79"/>
              </w:rPr>
              <w:t>$</w:t>
            </w:r>
          </w:p>
        </w:tc>
        <w:tc>
          <w:tcPr>
            <w:tcW w:w="104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338,507</w:t>
            </w:r>
          </w:p>
        </w:tc>
        <w:tc>
          <w:tcPr>
            <w:tcW w:w="320" w:type="dxa"/>
            <w:vAlign w:val="bottom"/>
            <w:shd w:val="clear" w:color="auto" w:fill="D8EEF4"/>
          </w:tcPr>
          <w:p>
            <w:pPr>
              <w:spacing w:after="0"/>
              <w:rPr>
                <w:sz w:val="20"/>
                <w:szCs w:val="20"/>
                <w:color w:val="auto"/>
              </w:rPr>
            </w:pPr>
          </w:p>
        </w:tc>
        <w:tc>
          <w:tcPr>
            <w:tcW w:w="480" w:type="dxa"/>
            <w:vAlign w:val="bottom"/>
            <w:tcBorders>
              <w:bottom w:val="single" w:sz="8" w:color="4C4C4E"/>
            </w:tcBorders>
            <w:shd w:val="clear" w:color="auto" w:fill="D8EEF4"/>
          </w:tcPr>
          <w:p>
            <w:pPr>
              <w:jc w:val="right"/>
              <w:ind w:right="280"/>
              <w:spacing w:after="0"/>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356,309</w:t>
            </w:r>
          </w:p>
        </w:tc>
        <w:tc>
          <w:tcPr>
            <w:tcW w:w="60" w:type="dxa"/>
            <w:vAlign w:val="bottom"/>
            <w:shd w:val="clear" w:color="auto" w:fill="D8EEF4"/>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4C4C4E"/>
            </w:tcBorders>
          </w:tcPr>
          <w:p>
            <w:pPr>
              <w:spacing w:after="0" w:line="20" w:lineRule="exact"/>
              <w:rPr>
                <w:sz w:val="1"/>
                <w:szCs w:val="1"/>
                <w:color w:val="auto"/>
              </w:rPr>
            </w:pPr>
          </w:p>
        </w:tc>
        <w:tc>
          <w:tcPr>
            <w:tcW w:w="1040" w:type="dxa"/>
            <w:vAlign w:val="bottom"/>
            <w:tcBorders>
              <w:bottom w:val="single" w:sz="8" w:color="4C4C4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4C4C4E"/>
            </w:tcBorders>
          </w:tcPr>
          <w:p>
            <w:pPr>
              <w:spacing w:after="0" w:line="20" w:lineRule="exact"/>
              <w:rPr>
                <w:sz w:val="1"/>
                <w:szCs w:val="1"/>
                <w:color w:val="auto"/>
              </w:rPr>
            </w:pPr>
          </w:p>
        </w:tc>
        <w:tc>
          <w:tcPr>
            <w:tcW w:w="106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left="360" w:right="220" w:hanging="360"/>
        <w:spacing w:after="0" w:line="253" w:lineRule="auto"/>
        <w:tabs>
          <w:tab w:leader="none" w:pos="360" w:val="left"/>
        </w:tabs>
        <w:numPr>
          <w:ilvl w:val="0"/>
          <w:numId w:val="9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20"/>
          <w:szCs w:val="20"/>
          <w:color w:val="4C4C4E"/>
        </w:rPr>
      </w:pPr>
    </w:p>
    <w:p>
      <w:pPr>
        <w:ind w:left="360" w:right="100" w:hanging="360"/>
        <w:spacing w:after="0" w:line="277" w:lineRule="auto"/>
        <w:tabs>
          <w:tab w:leader="none" w:pos="360" w:val="left"/>
        </w:tabs>
        <w:numPr>
          <w:ilvl w:val="0"/>
          <w:numId w:val="97"/>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Company’s estimate of the fair value of the current investments in these portfolio companies includes an analysis of the fair value of any unfunded commitments.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Other Commitments and Contingencies</w:t>
      </w:r>
    </w:p>
    <w:p>
      <w:pPr>
        <w:spacing w:after="0" w:line="118" w:lineRule="exact"/>
        <w:rPr>
          <w:sz w:val="20"/>
          <w:szCs w:val="20"/>
          <w:color w:val="auto"/>
        </w:rPr>
      </w:pPr>
    </w:p>
    <w:p>
      <w:pPr>
        <w:ind w:right="120" w:firstLine="245"/>
        <w:spacing w:after="0" w:line="277" w:lineRule="auto"/>
        <w:rPr>
          <w:sz w:val="20"/>
          <w:szCs w:val="20"/>
          <w:color w:val="auto"/>
        </w:rPr>
      </w:pPr>
      <w:r>
        <w:rPr>
          <w:rFonts w:ascii="Times New Roman" w:cs="Times New Roman" w:eastAsia="Times New Roman" w:hAnsi="Times New Roman"/>
          <w:sz w:val="20"/>
          <w:szCs w:val="20"/>
          <w:color w:val="4C4C4E"/>
        </w:rPr>
        <w:t>As of December 31, 2025 and December 31, 2024, the Company did not have any unfunded commitments to fund investments to new borrowers that were not current portfolio companies as of such date.</w:t>
      </w:r>
    </w:p>
    <w:p>
      <w:pPr>
        <w:spacing w:after="0" w:line="169" w:lineRule="exact"/>
        <w:rPr>
          <w:sz w:val="20"/>
          <w:szCs w:val="20"/>
          <w:color w:val="auto"/>
        </w:rPr>
      </w:pPr>
    </w:p>
    <w:p>
      <w:pPr>
        <w:ind w:right="160" w:firstLine="245"/>
        <w:spacing w:after="0" w:line="258" w:lineRule="auto"/>
        <w:rPr>
          <w:sz w:val="20"/>
          <w:szCs w:val="20"/>
          <w:color w:val="auto"/>
        </w:rPr>
      </w:pPr>
      <w:r>
        <w:rPr>
          <w:rFonts w:ascii="Times New Roman" w:cs="Times New Roman" w:eastAsia="Times New Roman" w:hAnsi="Times New Roman"/>
          <w:sz w:val="20"/>
          <w:szCs w:val="20"/>
          <w:color w:val="4C4C4E"/>
        </w:rPr>
        <w:t>From time to time, the Company may become a party to certain legal proceedings incidental to the normal course of its business. As of December 31, 2025 and December 31, 2024, management is not aware of any material pending or threatened litigation that would require accounting recognition or financial statement disclosure.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9. Net Assets</w:t>
      </w:r>
    </w:p>
    <w:p>
      <w:pPr>
        <w:spacing w:after="0" w:line="235" w:lineRule="exact"/>
        <w:rPr>
          <w:sz w:val="20"/>
          <w:szCs w:val="20"/>
          <w:color w:val="auto"/>
        </w:rPr>
      </w:pPr>
    </w:p>
    <w:p>
      <w:pPr>
        <w:ind w:right="60" w:firstLine="245"/>
        <w:spacing w:after="0"/>
        <w:rPr>
          <w:sz w:val="20"/>
          <w:szCs w:val="20"/>
          <w:color w:val="auto"/>
        </w:rPr>
      </w:pPr>
      <w:r>
        <w:rPr>
          <w:rFonts w:ascii="Times New Roman" w:cs="Times New Roman" w:eastAsia="Times New Roman" w:hAnsi="Times New Roman"/>
          <w:sz w:val="20"/>
          <w:szCs w:val="20"/>
          <w:color w:val="4C4C4E"/>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94" w:lineRule="exact"/>
        <w:rPr>
          <w:sz w:val="20"/>
          <w:szCs w:val="20"/>
          <w:color w:val="auto"/>
        </w:rPr>
      </w:pPr>
    </w:p>
    <w:p>
      <w:pPr>
        <w:ind w:firstLine="245"/>
        <w:spacing w:after="0" w:line="232" w:lineRule="auto"/>
        <w:rPr>
          <w:sz w:val="20"/>
          <w:szCs w:val="20"/>
          <w:color w:val="auto"/>
        </w:rPr>
      </w:pPr>
      <w:r>
        <w:rPr>
          <w:rFonts w:ascii="Times New Roman" w:cs="Times New Roman" w:eastAsia="Times New Roman" w:hAnsi="Times New Roman"/>
          <w:sz w:val="20"/>
          <w:szCs w:val="20"/>
          <w:color w:val="4C4C4E"/>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w:t>
      </w:r>
    </w:p>
    <w:p>
      <w:pPr>
        <w:spacing w:after="0" w:line="5" w:lineRule="exact"/>
        <w:rPr>
          <w:sz w:val="20"/>
          <w:szCs w:val="20"/>
          <w:color w:val="auto"/>
        </w:rPr>
      </w:pPr>
    </w:p>
    <w:p>
      <w:pPr>
        <w:jc w:val="both"/>
        <w:ind w:right="60"/>
        <w:spacing w:after="0" w:line="238" w:lineRule="auto"/>
        <w:tabs>
          <w:tab w:leader="none" w:pos="239" w:val="left"/>
        </w:tabs>
        <w:numPr>
          <w:ilvl w:val="0"/>
          <w:numId w:val="98"/>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most recently computed net asset value per share and (ii) 95% of the current market price per share (or such lesser discount to the current market price per share that still exceeded the most recently computed net asset value per share). Shares purchased in open</w:t>
      </w:r>
    </w:p>
    <w:p>
      <w:pPr>
        <w:sectPr>
          <w:pgSz w:w="11880" w:h="15480" w:orient="portrait"/>
          <w:cols w:equalWidth="0" w:num="1">
            <w:col w:w="10720"/>
          </w:cols>
          <w:pgMar w:left="540" w:top="764" w:right="620" w:bottom="6"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4C4C4E"/>
        </w:rPr>
        <w:t>F-48</w:t>
      </w:r>
    </w:p>
    <w:p>
      <w:pPr>
        <w:sectPr>
          <w:pgSz w:w="11880" w:h="15480" w:orient="portrait"/>
          <w:cols w:equalWidth="0" w:num="1">
            <w:col w:w="10720"/>
          </w:cols>
          <w:pgMar w:left="540" w:top="764" w:right="620" w:bottom="6" w:gutter="0" w:footer="0" w:header="0"/>
          <w:type w:val="continuous"/>
        </w:sectPr>
      </w:pPr>
    </w:p>
    <w:bookmarkStart w:id="137" w:name="page138"/>
    <w:bookmarkEnd w:id="137"/>
    <w:p>
      <w:pPr>
        <w:ind w:right="260"/>
        <w:spacing w:after="0" w:line="265" w:lineRule="auto"/>
        <w:rPr>
          <w:sz w:val="20"/>
          <w:szCs w:val="20"/>
          <w:color w:val="auto"/>
        </w:rPr>
      </w:pPr>
      <w:r>
        <w:rPr>
          <w:rFonts w:ascii="Times New Roman" w:cs="Times New Roman" w:eastAsia="Times New Roman" w:hAnsi="Times New Roman"/>
          <w:sz w:val="20"/>
          <w:szCs w:val="20"/>
          <w:color w:val="4C4C4E"/>
        </w:rPr>
        <w:t>market transactions by the plan administrator will be allocated to a stockholder based on the average purchase price, excluding any brokerage charges or other charges, of all shares of common stock purchased in the open market.</w:t>
      </w:r>
    </w:p>
    <w:p>
      <w:pPr>
        <w:spacing w:after="0" w:line="178"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Pursuant to the Company’s dividend reinvestment plan, the following tables summarize the shares issued to stockholders who have not opted out of the Company’s dividend reinvestment plan during the years ended December 31, 2025 and December 31, 2024. All shares issued to stockholders in the tables below are newly issued shares.</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198"/>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4"/>
          </w:tcPr>
          <w:p>
            <w:pPr>
              <w:jc w:val="center"/>
              <w:ind w:left="485"/>
              <w:spacing w:after="0"/>
              <w:rPr>
                <w:sz w:val="20"/>
                <w:szCs w:val="20"/>
                <w:color w:val="auto"/>
              </w:rPr>
            </w:pPr>
            <w:r>
              <w:rPr>
                <w:rFonts w:ascii="Times New Roman" w:cs="Times New Roman" w:eastAsia="Times New Roman" w:hAnsi="Times New Roman"/>
                <w:sz w:val="16"/>
                <w:szCs w:val="16"/>
                <w:b w:val="1"/>
                <w:bCs w:val="1"/>
                <w:color w:val="4C4C4E"/>
                <w:w w:val="99"/>
              </w:rPr>
              <w:t>For the Year Ended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4"/>
          </w:tcPr>
          <w:p>
            <w:pPr>
              <w:jc w:val="center"/>
              <w:ind w:left="485"/>
              <w:spacing w:after="0"/>
              <w:rPr>
                <w:sz w:val="20"/>
                <w:szCs w:val="20"/>
                <w:color w:val="auto"/>
              </w:rPr>
            </w:pPr>
            <w:r>
              <w:rPr>
                <w:rFonts w:ascii="Times New Roman" w:cs="Times New Roman" w:eastAsia="Times New Roman" w:hAnsi="Times New Roman"/>
                <w:sz w:val="16"/>
                <w:szCs w:val="16"/>
                <w:b w:val="1"/>
                <w:bCs w:val="1"/>
                <w:color w:val="4C4C4E"/>
                <w:w w:val="98"/>
              </w:rPr>
              <w:t>December 31, 2025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w w:val="99"/>
              </w:rPr>
              <w:t>Date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16"/>
                <w:szCs w:val="16"/>
                <w:b w:val="1"/>
                <w:bCs w:val="1"/>
                <w:color w:val="4C4C4E"/>
              </w:rPr>
              <w:t>Date Declared</w:t>
            </w:r>
          </w:p>
        </w:tc>
        <w:tc>
          <w:tcPr>
            <w:tcW w:w="10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100" w:type="dxa"/>
            <w:vAlign w:val="bottom"/>
            <w:tcBorders>
              <w:bottom w:val="single" w:sz="8" w:color="4C4C4E"/>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4C4C4E"/>
                <w:w w:val="95"/>
              </w:rPr>
              <w:t xml:space="preserve">Dividend </w:t>
            </w:r>
            <w:r>
              <w:rPr>
                <w:rFonts w:ascii="Times New Roman" w:cs="Times New Roman" w:eastAsia="Times New Roman" w:hAnsi="Times New Roman"/>
                <w:sz w:val="20"/>
                <w:szCs w:val="20"/>
                <w:b w:val="1"/>
                <w:bCs w:val="1"/>
                <w:color w:val="4C4C4E"/>
                <w:w w:val="95"/>
                <w:vertAlign w:val="superscript"/>
              </w:rPr>
              <w:t>(1)</w:t>
            </w:r>
          </w:p>
        </w:tc>
        <w:tc>
          <w:tcPr>
            <w:tcW w:w="12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2120" w:type="dxa"/>
            <w:vAlign w:val="bottom"/>
            <w:tcBorders>
              <w:bottom w:val="single" w:sz="8" w:color="4C4C4E"/>
            </w:tcBorders>
          </w:tcPr>
          <w:p>
            <w:pPr>
              <w:jc w:val="right"/>
              <w:ind w:right="545"/>
              <w:spacing w:after="0"/>
              <w:rPr>
                <w:sz w:val="20"/>
                <w:szCs w:val="20"/>
                <w:color w:val="auto"/>
              </w:rPr>
            </w:pPr>
            <w:r>
              <w:rPr>
                <w:rFonts w:ascii="Times New Roman" w:cs="Times New Roman" w:eastAsia="Times New Roman" w:hAnsi="Times New Roman"/>
                <w:sz w:val="16"/>
                <w:szCs w:val="16"/>
                <w:b w:val="1"/>
                <w:bCs w:val="1"/>
                <w:color w:val="4C4C4E"/>
              </w:rPr>
              <w:t>Record Date</w:t>
            </w:r>
          </w:p>
        </w:tc>
        <w:tc>
          <w:tcPr>
            <w:tcW w:w="12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92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6"/>
                <w:szCs w:val="16"/>
                <w:b w:val="1"/>
                <w:bCs w:val="1"/>
                <w:color w:val="4C4C4E"/>
              </w:rPr>
              <w:t>Shares Issued</w:t>
            </w:r>
          </w:p>
        </w:tc>
        <w:tc>
          <w:tcPr>
            <w:tcW w:w="12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700" w:type="dxa"/>
            <w:vAlign w:val="bottom"/>
            <w:tcBorders>
              <w:bottom w:val="single" w:sz="8" w:color="4C4C4E"/>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4C4C4E"/>
              </w:rPr>
              <w:t>Shares Issued</w:t>
            </w:r>
          </w:p>
        </w:tc>
        <w:tc>
          <w:tcPr>
            <w:tcW w:w="8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February 13, 2025</w:t>
            </w:r>
          </w:p>
        </w:tc>
        <w:tc>
          <w:tcPr>
            <w:tcW w:w="10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1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8"/>
                <w:shd w:val="clear" w:color="auto" w:fill="D8EEF4"/>
              </w:rPr>
              <w:t>Supplemental</w:t>
            </w:r>
          </w:p>
        </w:tc>
        <w:tc>
          <w:tcPr>
            <w:tcW w:w="1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2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February 28, 2025</w:t>
            </w:r>
          </w:p>
        </w:tc>
        <w:tc>
          <w:tcPr>
            <w:tcW w:w="1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March 20, 2025</w:t>
            </w:r>
          </w:p>
        </w:tc>
        <w:tc>
          <w:tcPr>
            <w:tcW w:w="1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39,839</w:t>
            </w:r>
          </w:p>
        </w:tc>
        <w:tc>
          <w:tcPr>
            <w:tcW w:w="8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4C4C4E"/>
              </w:rPr>
              <w:t>February 13, 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14, 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31, 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263,083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April 30, 2025</w:t>
            </w:r>
          </w:p>
        </w:tc>
        <w:tc>
          <w:tcPr>
            <w:tcW w:w="10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1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8"/>
              </w:rPr>
              <w:t>Supplemental</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May 30, 2025</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June 20, 2025</w:t>
            </w:r>
          </w:p>
        </w:tc>
        <w:tc>
          <w:tcPr>
            <w:tcW w:w="18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34,339</w:t>
            </w:r>
          </w:p>
        </w:tc>
        <w:tc>
          <w:tcPr>
            <w:tcW w:w="8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4C4C4E"/>
              </w:rPr>
              <w:t>April 30, 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16, 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30, 2025</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E"/>
              </w:rPr>
              <w:t>241,651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July 30, 2025</w:t>
            </w:r>
          </w:p>
        </w:tc>
        <w:tc>
          <w:tcPr>
            <w:tcW w:w="10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1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8"/>
              </w:rPr>
              <w:t>Supplemental</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August 29, 2025</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September 19, 2025</w:t>
            </w:r>
          </w:p>
        </w:tc>
        <w:tc>
          <w:tcPr>
            <w:tcW w:w="18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24,157</w:t>
            </w:r>
          </w:p>
        </w:tc>
        <w:tc>
          <w:tcPr>
            <w:tcW w:w="8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4C4C4E"/>
              </w:rPr>
              <w:t>July 30, 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15, 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30, 2025</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E"/>
              </w:rPr>
              <w:t>229,420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November 4, 2025</w:t>
            </w:r>
          </w:p>
        </w:tc>
        <w:tc>
          <w:tcPr>
            <w:tcW w:w="10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1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8"/>
              </w:rPr>
              <w:t>Supplemental</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November 28, 2025</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December 19, 2025</w:t>
            </w:r>
          </w:p>
        </w:tc>
        <w:tc>
          <w:tcPr>
            <w:tcW w:w="18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13,125</w:t>
            </w:r>
          </w:p>
        </w:tc>
        <w:tc>
          <w:tcPr>
            <w:tcW w:w="8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4C4C4E"/>
              </w:rPr>
              <w:t>November 4, 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December 15, 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December 31, 2025</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E"/>
              </w:rPr>
              <w:t>198,100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260" w:type="dxa"/>
            <w:vAlign w:val="bottom"/>
            <w:tcBorders>
              <w:top w:val="single" w:sz="8" w:color="D8EEF4"/>
              <w:bottom w:val="single" w:sz="8" w:color="D8EEF4"/>
            </w:tcBorders>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Shares Issued</w:t>
            </w:r>
          </w:p>
        </w:tc>
        <w:tc>
          <w:tcPr>
            <w:tcW w:w="10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D8EEF4"/>
              <w:bottom w:val="single" w:sz="8" w:color="D8EEF4"/>
            </w:tcBorders>
            <w:shd w:val="clear" w:color="auto" w:fill="D8EEF4"/>
          </w:tcPr>
          <w:p>
            <w:pPr>
              <w:spacing w:after="0"/>
              <w:rPr>
                <w:sz w:val="22"/>
                <w:szCs w:val="22"/>
                <w:color w:val="auto"/>
              </w:rPr>
            </w:pPr>
          </w:p>
        </w:tc>
        <w:tc>
          <w:tcPr>
            <w:tcW w:w="1100" w:type="dxa"/>
            <w:vAlign w:val="bottom"/>
            <w:tcBorders>
              <w:top w:val="single" w:sz="8" w:color="D8EEF4"/>
              <w:bottom w:val="single" w:sz="8" w:color="D8EEF4"/>
            </w:tcBorders>
            <w:shd w:val="clear" w:color="auto" w:fill="D8EEF4"/>
          </w:tcPr>
          <w:p>
            <w:pPr>
              <w:spacing w:after="0"/>
              <w:rPr>
                <w:sz w:val="22"/>
                <w:szCs w:val="22"/>
                <w:color w:val="auto"/>
              </w:rPr>
            </w:pPr>
          </w:p>
        </w:tc>
        <w:tc>
          <w:tcPr>
            <w:tcW w:w="12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D8EEF4"/>
              <w:bottom w:val="single" w:sz="8" w:color="D8EEF4"/>
            </w:tcBorders>
            <w:shd w:val="clear" w:color="auto" w:fill="D8EEF4"/>
          </w:tcPr>
          <w:p>
            <w:pPr>
              <w:spacing w:after="0"/>
              <w:rPr>
                <w:sz w:val="22"/>
                <w:szCs w:val="22"/>
                <w:color w:val="auto"/>
              </w:rPr>
            </w:pPr>
          </w:p>
        </w:tc>
        <w:tc>
          <w:tcPr>
            <w:tcW w:w="2120" w:type="dxa"/>
            <w:vAlign w:val="bottom"/>
            <w:tcBorders>
              <w:top w:val="single" w:sz="8" w:color="D8EEF4"/>
              <w:bottom w:val="single" w:sz="8" w:color="D8EEF4"/>
            </w:tcBorders>
            <w:shd w:val="clear" w:color="auto" w:fill="D8EEF4"/>
          </w:tcPr>
          <w:p>
            <w:pPr>
              <w:spacing w:after="0"/>
              <w:rPr>
                <w:sz w:val="22"/>
                <w:szCs w:val="22"/>
                <w:color w:val="auto"/>
              </w:rPr>
            </w:pPr>
          </w:p>
        </w:tc>
        <w:tc>
          <w:tcPr>
            <w:tcW w:w="12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D8EEF4"/>
              <w:bottom w:val="single" w:sz="8" w:color="D8EEF4"/>
            </w:tcBorders>
            <w:shd w:val="clear" w:color="auto" w:fill="D8EEF4"/>
          </w:tcPr>
          <w:p>
            <w:pPr>
              <w:spacing w:after="0"/>
              <w:rPr>
                <w:sz w:val="22"/>
                <w:szCs w:val="22"/>
                <w:color w:val="auto"/>
              </w:rPr>
            </w:pPr>
          </w:p>
        </w:tc>
        <w:tc>
          <w:tcPr>
            <w:tcW w:w="1920" w:type="dxa"/>
            <w:vAlign w:val="bottom"/>
            <w:tcBorders>
              <w:top w:val="single" w:sz="8" w:color="D8EEF4"/>
              <w:bottom w:val="single" w:sz="8" w:color="D8EEF4"/>
            </w:tcBorders>
            <w:shd w:val="clear" w:color="auto" w:fill="D8EEF4"/>
          </w:tcPr>
          <w:p>
            <w:pPr>
              <w:spacing w:after="0"/>
              <w:rPr>
                <w:sz w:val="22"/>
                <w:szCs w:val="22"/>
                <w:color w:val="auto"/>
              </w:rPr>
            </w:pPr>
          </w:p>
        </w:tc>
        <w:tc>
          <w:tcPr>
            <w:tcW w:w="12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D8EEF4"/>
              <w:bottom w:val="single" w:sz="8" w:color="4C4C4E"/>
            </w:tcBorders>
            <w:shd w:val="clear" w:color="auto" w:fill="D8EEF4"/>
          </w:tcPr>
          <w:p>
            <w:pPr>
              <w:spacing w:after="0"/>
              <w:rPr>
                <w:sz w:val="22"/>
                <w:szCs w:val="22"/>
                <w:color w:val="auto"/>
              </w:rPr>
            </w:pPr>
          </w:p>
        </w:tc>
        <w:tc>
          <w:tcPr>
            <w:tcW w:w="17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1,043,714</w:t>
            </w: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4"/>
            <w:vMerge w:val="restart"/>
          </w:tcPr>
          <w:p>
            <w:pPr>
              <w:jc w:val="center"/>
              <w:ind w:left="485"/>
              <w:spacing w:after="0"/>
              <w:rPr>
                <w:sz w:val="20"/>
                <w:szCs w:val="20"/>
                <w:color w:val="auto"/>
              </w:rPr>
            </w:pPr>
            <w:r>
              <w:rPr>
                <w:rFonts w:ascii="Times New Roman" w:cs="Times New Roman" w:eastAsia="Times New Roman" w:hAnsi="Times New Roman"/>
                <w:sz w:val="16"/>
                <w:szCs w:val="16"/>
                <w:b w:val="1"/>
                <w:bCs w:val="1"/>
                <w:color w:val="4C4C4E"/>
                <w:w w:val="99"/>
              </w:rPr>
              <w:t>For the Year Ended</w:t>
            </w:r>
          </w:p>
        </w:tc>
        <w:tc>
          <w:tcPr>
            <w:tcW w:w="1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70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4"/>
          </w:tcPr>
          <w:p>
            <w:pPr>
              <w:jc w:val="center"/>
              <w:ind w:left="485"/>
              <w:spacing w:after="0"/>
              <w:rPr>
                <w:sz w:val="20"/>
                <w:szCs w:val="20"/>
                <w:color w:val="auto"/>
              </w:rPr>
            </w:pPr>
            <w:r>
              <w:rPr>
                <w:rFonts w:ascii="Times New Roman" w:cs="Times New Roman" w:eastAsia="Times New Roman" w:hAnsi="Times New Roman"/>
                <w:sz w:val="16"/>
                <w:szCs w:val="16"/>
                <w:b w:val="1"/>
                <w:bCs w:val="1"/>
                <w:color w:val="4C4C4E"/>
                <w:w w:val="98"/>
              </w:rPr>
              <w:t>December 31, 2024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w w:val="99"/>
              </w:rPr>
              <w:t>Date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16"/>
                <w:szCs w:val="16"/>
                <w:b w:val="1"/>
                <w:bCs w:val="1"/>
                <w:color w:val="4C4C4E"/>
              </w:rPr>
              <w:t>Date Declared</w:t>
            </w:r>
          </w:p>
        </w:tc>
        <w:tc>
          <w:tcPr>
            <w:tcW w:w="100" w:type="dxa"/>
            <w:vAlign w:val="bottom"/>
            <w:tcBorders>
              <w:bottom w:val="single" w:sz="8" w:color="D8EEF4"/>
            </w:tcBorders>
          </w:tcPr>
          <w:p>
            <w:pPr>
              <w:spacing w:after="0"/>
              <w:rPr>
                <w:sz w:val="17"/>
                <w:szCs w:val="17"/>
                <w:color w:val="auto"/>
              </w:rPr>
            </w:pPr>
          </w:p>
        </w:tc>
        <w:tc>
          <w:tcPr>
            <w:tcW w:w="20" w:type="dxa"/>
            <w:vAlign w:val="bottom"/>
            <w:tcBorders>
              <w:bottom w:val="single" w:sz="8" w:color="4C4C4E"/>
            </w:tcBorders>
          </w:tcPr>
          <w:p>
            <w:pPr>
              <w:spacing w:after="0"/>
              <w:rPr>
                <w:sz w:val="17"/>
                <w:szCs w:val="17"/>
                <w:color w:val="auto"/>
              </w:rPr>
            </w:pPr>
          </w:p>
        </w:tc>
        <w:tc>
          <w:tcPr>
            <w:tcW w:w="1100" w:type="dxa"/>
            <w:vAlign w:val="bottom"/>
            <w:tcBorders>
              <w:bottom w:val="single" w:sz="8" w:color="4C4C4E"/>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4C4C4E"/>
                <w:w w:val="95"/>
              </w:rPr>
              <w:t xml:space="preserve">Dividend </w:t>
            </w:r>
            <w:r>
              <w:rPr>
                <w:rFonts w:ascii="Times New Roman" w:cs="Times New Roman" w:eastAsia="Times New Roman" w:hAnsi="Times New Roman"/>
                <w:sz w:val="20"/>
                <w:szCs w:val="20"/>
                <w:b w:val="1"/>
                <w:bCs w:val="1"/>
                <w:color w:val="4C4C4E"/>
                <w:w w:val="95"/>
                <w:vertAlign w:val="superscript"/>
              </w:rPr>
              <w:t>(1)</w:t>
            </w:r>
          </w:p>
        </w:tc>
        <w:tc>
          <w:tcPr>
            <w:tcW w:w="120" w:type="dxa"/>
            <w:vAlign w:val="bottom"/>
            <w:tcBorders>
              <w:bottom w:val="single" w:sz="8" w:color="D8EEF4"/>
            </w:tcBorders>
          </w:tcPr>
          <w:p>
            <w:pPr>
              <w:spacing w:after="0"/>
              <w:rPr>
                <w:sz w:val="17"/>
                <w:szCs w:val="17"/>
                <w:color w:val="auto"/>
              </w:rPr>
            </w:pPr>
          </w:p>
        </w:tc>
        <w:tc>
          <w:tcPr>
            <w:tcW w:w="20" w:type="dxa"/>
            <w:vAlign w:val="bottom"/>
            <w:tcBorders>
              <w:bottom w:val="single" w:sz="8" w:color="4C4C4E"/>
            </w:tcBorders>
          </w:tcPr>
          <w:p>
            <w:pPr>
              <w:spacing w:after="0"/>
              <w:rPr>
                <w:sz w:val="17"/>
                <w:szCs w:val="17"/>
                <w:color w:val="auto"/>
              </w:rPr>
            </w:pPr>
          </w:p>
        </w:tc>
        <w:tc>
          <w:tcPr>
            <w:tcW w:w="2120" w:type="dxa"/>
            <w:vAlign w:val="bottom"/>
            <w:tcBorders>
              <w:bottom w:val="single" w:sz="8" w:color="4C4C4E"/>
            </w:tcBorders>
          </w:tcPr>
          <w:p>
            <w:pPr>
              <w:jc w:val="right"/>
              <w:ind w:right="545"/>
              <w:spacing w:after="0"/>
              <w:rPr>
                <w:sz w:val="20"/>
                <w:szCs w:val="20"/>
                <w:color w:val="auto"/>
              </w:rPr>
            </w:pPr>
            <w:r>
              <w:rPr>
                <w:rFonts w:ascii="Times New Roman" w:cs="Times New Roman" w:eastAsia="Times New Roman" w:hAnsi="Times New Roman"/>
                <w:sz w:val="16"/>
                <w:szCs w:val="16"/>
                <w:b w:val="1"/>
                <w:bCs w:val="1"/>
                <w:color w:val="4C4C4E"/>
              </w:rPr>
              <w:t>Record Date</w:t>
            </w:r>
          </w:p>
        </w:tc>
        <w:tc>
          <w:tcPr>
            <w:tcW w:w="120" w:type="dxa"/>
            <w:vAlign w:val="bottom"/>
            <w:tcBorders>
              <w:bottom w:val="single" w:sz="8" w:color="D8EEF4"/>
            </w:tcBorders>
          </w:tcPr>
          <w:p>
            <w:pPr>
              <w:spacing w:after="0"/>
              <w:rPr>
                <w:sz w:val="17"/>
                <w:szCs w:val="17"/>
                <w:color w:val="auto"/>
              </w:rPr>
            </w:pPr>
          </w:p>
        </w:tc>
        <w:tc>
          <w:tcPr>
            <w:tcW w:w="20" w:type="dxa"/>
            <w:vAlign w:val="bottom"/>
            <w:tcBorders>
              <w:bottom w:val="single" w:sz="8" w:color="4C4C4E"/>
            </w:tcBorders>
          </w:tcPr>
          <w:p>
            <w:pPr>
              <w:spacing w:after="0"/>
              <w:rPr>
                <w:sz w:val="17"/>
                <w:szCs w:val="17"/>
                <w:color w:val="auto"/>
              </w:rPr>
            </w:pPr>
          </w:p>
        </w:tc>
        <w:tc>
          <w:tcPr>
            <w:tcW w:w="192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6"/>
                <w:szCs w:val="16"/>
                <w:b w:val="1"/>
                <w:bCs w:val="1"/>
                <w:color w:val="4C4C4E"/>
              </w:rPr>
              <w:t>Shares Issued</w:t>
            </w:r>
          </w:p>
        </w:tc>
        <w:tc>
          <w:tcPr>
            <w:tcW w:w="120" w:type="dxa"/>
            <w:vAlign w:val="bottom"/>
            <w:tcBorders>
              <w:bottom w:val="single" w:sz="8" w:color="D8EEF4"/>
            </w:tcBorders>
          </w:tcPr>
          <w:p>
            <w:pPr>
              <w:spacing w:after="0"/>
              <w:rPr>
                <w:sz w:val="17"/>
                <w:szCs w:val="17"/>
                <w:color w:val="auto"/>
              </w:rPr>
            </w:pPr>
          </w:p>
        </w:tc>
        <w:tc>
          <w:tcPr>
            <w:tcW w:w="20" w:type="dxa"/>
            <w:vAlign w:val="bottom"/>
            <w:tcBorders>
              <w:bottom w:val="single" w:sz="8" w:color="4C4C4E"/>
            </w:tcBorders>
          </w:tcPr>
          <w:p>
            <w:pPr>
              <w:spacing w:after="0"/>
              <w:rPr>
                <w:sz w:val="17"/>
                <w:szCs w:val="17"/>
                <w:color w:val="auto"/>
              </w:rPr>
            </w:pPr>
          </w:p>
        </w:tc>
        <w:tc>
          <w:tcPr>
            <w:tcW w:w="1700" w:type="dxa"/>
            <w:vAlign w:val="bottom"/>
            <w:tcBorders>
              <w:bottom w:val="single" w:sz="8" w:color="4C4C4E"/>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4C4C4E"/>
              </w:rPr>
              <w:t>Shares Issued</w:t>
            </w:r>
          </w:p>
        </w:tc>
        <w:tc>
          <w:tcPr>
            <w:tcW w:w="8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February 15, 2024</w:t>
            </w:r>
          </w:p>
        </w:tc>
        <w:tc>
          <w:tcPr>
            <w:tcW w:w="10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1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8"/>
                <w:shd w:val="clear" w:color="auto" w:fill="D8EEF4"/>
              </w:rPr>
              <w:t>Supplemental</w:t>
            </w:r>
          </w:p>
        </w:tc>
        <w:tc>
          <w:tcPr>
            <w:tcW w:w="1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2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February 29, 2024</w:t>
            </w:r>
          </w:p>
        </w:tc>
        <w:tc>
          <w:tcPr>
            <w:tcW w:w="1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March 20, 2024</w:t>
            </w:r>
          </w:p>
        </w:tc>
        <w:tc>
          <w:tcPr>
            <w:tcW w:w="12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7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36,749</w:t>
            </w:r>
          </w:p>
        </w:tc>
        <w:tc>
          <w:tcPr>
            <w:tcW w:w="8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4C4C4E"/>
              </w:rPr>
              <w:t>February 15, 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15, 2024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28, 2024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255,308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May 1, 2024</w:t>
            </w:r>
          </w:p>
        </w:tc>
        <w:tc>
          <w:tcPr>
            <w:tcW w:w="10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1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8"/>
              </w:rPr>
              <w:t>Supplemental</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May 31, 2024</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June 20, 2024</w:t>
            </w:r>
          </w:p>
        </w:tc>
        <w:tc>
          <w:tcPr>
            <w:tcW w:w="18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34,318</w:t>
            </w:r>
          </w:p>
        </w:tc>
        <w:tc>
          <w:tcPr>
            <w:tcW w:w="8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4C4C4E"/>
              </w:rPr>
              <w:t>May 1, 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14, 2024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28, 2024</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E"/>
              </w:rPr>
              <w:t>261,331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July 31, 2024</w:t>
            </w:r>
          </w:p>
        </w:tc>
        <w:tc>
          <w:tcPr>
            <w:tcW w:w="10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1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8"/>
              </w:rPr>
              <w:t>Supplemental</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August 30, 2024</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September 20, 2024</w:t>
            </w:r>
          </w:p>
        </w:tc>
        <w:tc>
          <w:tcPr>
            <w:tcW w:w="18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33,887</w:t>
            </w:r>
          </w:p>
        </w:tc>
        <w:tc>
          <w:tcPr>
            <w:tcW w:w="8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4C4C4E"/>
              </w:rPr>
              <w:t>July 31, 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16, 2024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30, 2024</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E"/>
              </w:rPr>
              <w:t>266,529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November 5, 2024</w:t>
            </w:r>
          </w:p>
        </w:tc>
        <w:tc>
          <w:tcPr>
            <w:tcW w:w="10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10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8"/>
              </w:rPr>
              <w:t>Supplemental</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2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November 29, 2024</w:t>
            </w:r>
          </w:p>
        </w:tc>
        <w:tc>
          <w:tcPr>
            <w:tcW w:w="1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9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December 20, 2024</w:t>
            </w:r>
          </w:p>
        </w:tc>
        <w:tc>
          <w:tcPr>
            <w:tcW w:w="1840" w:type="dxa"/>
            <w:vAlign w:val="bottom"/>
            <w:gridSpan w:val="3"/>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28,498</w:t>
            </w:r>
          </w:p>
        </w:tc>
        <w:tc>
          <w:tcPr>
            <w:tcW w:w="8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4C4C4E"/>
              </w:rPr>
              <w:t>November 5, 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December 16, 2024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December 31, 2024</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C4C4E"/>
              </w:rPr>
              <w:t>315,317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260" w:type="dxa"/>
            <w:vAlign w:val="bottom"/>
            <w:tcBorders>
              <w:top w:val="single" w:sz="8" w:color="D8EEF4"/>
              <w:bottom w:val="single" w:sz="8" w:color="D8EEF4"/>
            </w:tcBorders>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Shares Issued</w:t>
            </w:r>
          </w:p>
        </w:tc>
        <w:tc>
          <w:tcPr>
            <w:tcW w:w="10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D8EEF4"/>
              <w:bottom w:val="single" w:sz="8" w:color="D8EEF4"/>
            </w:tcBorders>
            <w:shd w:val="clear" w:color="auto" w:fill="D8EEF4"/>
          </w:tcPr>
          <w:p>
            <w:pPr>
              <w:spacing w:after="0"/>
              <w:rPr>
                <w:sz w:val="22"/>
                <w:szCs w:val="22"/>
                <w:color w:val="auto"/>
              </w:rPr>
            </w:pPr>
          </w:p>
        </w:tc>
        <w:tc>
          <w:tcPr>
            <w:tcW w:w="1100" w:type="dxa"/>
            <w:vAlign w:val="bottom"/>
            <w:tcBorders>
              <w:top w:val="single" w:sz="8" w:color="D8EEF4"/>
              <w:bottom w:val="single" w:sz="8" w:color="D8EEF4"/>
            </w:tcBorders>
            <w:shd w:val="clear" w:color="auto" w:fill="D8EEF4"/>
          </w:tcPr>
          <w:p>
            <w:pPr>
              <w:spacing w:after="0"/>
              <w:rPr>
                <w:sz w:val="22"/>
                <w:szCs w:val="22"/>
                <w:color w:val="auto"/>
              </w:rPr>
            </w:pPr>
          </w:p>
        </w:tc>
        <w:tc>
          <w:tcPr>
            <w:tcW w:w="12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D8EEF4"/>
              <w:bottom w:val="single" w:sz="8" w:color="D8EEF4"/>
            </w:tcBorders>
            <w:shd w:val="clear" w:color="auto" w:fill="D8EEF4"/>
          </w:tcPr>
          <w:p>
            <w:pPr>
              <w:spacing w:after="0"/>
              <w:rPr>
                <w:sz w:val="22"/>
                <w:szCs w:val="22"/>
                <w:color w:val="auto"/>
              </w:rPr>
            </w:pPr>
          </w:p>
        </w:tc>
        <w:tc>
          <w:tcPr>
            <w:tcW w:w="2120" w:type="dxa"/>
            <w:vAlign w:val="bottom"/>
            <w:tcBorders>
              <w:top w:val="single" w:sz="8" w:color="D8EEF4"/>
              <w:bottom w:val="single" w:sz="8" w:color="D8EEF4"/>
            </w:tcBorders>
            <w:shd w:val="clear" w:color="auto" w:fill="D8EEF4"/>
          </w:tcPr>
          <w:p>
            <w:pPr>
              <w:spacing w:after="0"/>
              <w:rPr>
                <w:sz w:val="22"/>
                <w:szCs w:val="22"/>
                <w:color w:val="auto"/>
              </w:rPr>
            </w:pPr>
          </w:p>
        </w:tc>
        <w:tc>
          <w:tcPr>
            <w:tcW w:w="12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D8EEF4"/>
              <w:bottom w:val="single" w:sz="8" w:color="D8EEF4"/>
            </w:tcBorders>
            <w:shd w:val="clear" w:color="auto" w:fill="D8EEF4"/>
          </w:tcPr>
          <w:p>
            <w:pPr>
              <w:spacing w:after="0"/>
              <w:rPr>
                <w:sz w:val="22"/>
                <w:szCs w:val="22"/>
                <w:color w:val="auto"/>
              </w:rPr>
            </w:pPr>
          </w:p>
        </w:tc>
        <w:tc>
          <w:tcPr>
            <w:tcW w:w="1920" w:type="dxa"/>
            <w:vAlign w:val="bottom"/>
            <w:tcBorders>
              <w:top w:val="single" w:sz="8" w:color="D8EEF4"/>
              <w:bottom w:val="single" w:sz="8" w:color="D8EEF4"/>
            </w:tcBorders>
            <w:shd w:val="clear" w:color="auto" w:fill="D8EEF4"/>
          </w:tcPr>
          <w:p>
            <w:pPr>
              <w:spacing w:after="0"/>
              <w:rPr>
                <w:sz w:val="22"/>
                <w:szCs w:val="22"/>
                <w:color w:val="auto"/>
              </w:rPr>
            </w:pPr>
          </w:p>
        </w:tc>
        <w:tc>
          <w:tcPr>
            <w:tcW w:w="120" w:type="dxa"/>
            <w:vAlign w:val="bottom"/>
            <w:tcBorders>
              <w:top w:val="single" w:sz="8" w:color="D8EEF4"/>
              <w:bottom w:val="single" w:sz="8" w:color="D8EEF4"/>
            </w:tcBorders>
            <w:shd w:val="clear" w:color="auto" w:fill="D8EEF4"/>
          </w:tcPr>
          <w:p>
            <w:pPr>
              <w:spacing w:after="0"/>
              <w:rPr>
                <w:sz w:val="22"/>
                <w:szCs w:val="22"/>
                <w:color w:val="auto"/>
              </w:rPr>
            </w:pPr>
          </w:p>
        </w:tc>
        <w:tc>
          <w:tcPr>
            <w:tcW w:w="20" w:type="dxa"/>
            <w:vAlign w:val="bottom"/>
            <w:tcBorders>
              <w:top w:val="single" w:sz="8" w:color="4C4C4E"/>
              <w:bottom w:val="single" w:sz="8" w:color="4C4C4E"/>
            </w:tcBorders>
            <w:shd w:val="clear" w:color="auto" w:fill="D8EEF4"/>
          </w:tcPr>
          <w:p>
            <w:pPr>
              <w:spacing w:after="0"/>
              <w:rPr>
                <w:sz w:val="22"/>
                <w:szCs w:val="22"/>
                <w:color w:val="auto"/>
              </w:rPr>
            </w:pPr>
          </w:p>
        </w:tc>
        <w:tc>
          <w:tcPr>
            <w:tcW w:w="17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1,231,937</w:t>
            </w:r>
          </w:p>
        </w:tc>
        <w:tc>
          <w:tcPr>
            <w:tcW w:w="80" w:type="dxa"/>
            <w:vAlign w:val="bottom"/>
            <w:tcBorders>
              <w:top w:val="single" w:sz="8" w:color="D8EEF4"/>
              <w:bottom w:val="single" w:sz="8" w:color="D8EEF4"/>
            </w:tcBorders>
            <w:shd w:val="clear" w:color="auto" w:fill="D8EE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700" w:type="dxa"/>
            <w:vAlign w:val="bottom"/>
            <w:tcBorders>
              <w:bottom w:val="single" w:sz="8" w:color="4C4C4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-3846195</wp:posOffset>
            </wp:positionV>
            <wp:extent cx="466090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1">
                      <a:extLst>
                        <a:ext uri="{28A0092B-C50C-407E-A947-70E740481C1C}"/>
                      </a:extLst>
                    </a:blip>
                    <a:srcRect/>
                    <a:stretch>
                      <a:fillRect/>
                    </a:stretch>
                  </pic:blipFill>
                  <pic:spPr bwMode="auto">
                    <a:xfrm>
                      <a:off x="0" y="0"/>
                      <a:ext cx="4660900" cy="3810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-1717040</wp:posOffset>
            </wp:positionV>
            <wp:extent cx="466090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2">
                      <a:extLst>
                        <a:ext uri="{28A0092B-C50C-407E-A947-70E740481C1C}"/>
                      </a:extLst>
                    </a:blip>
                    <a:srcRect/>
                    <a:stretch>
                      <a:fillRect/>
                    </a:stretch>
                  </pic:blipFill>
                  <pic:spPr bwMode="auto">
                    <a:xfrm>
                      <a:off x="0" y="0"/>
                      <a:ext cx="4660900" cy="38100"/>
                    </a:xfrm>
                    <a:prstGeom prst="rect">
                      <a:avLst/>
                    </a:prstGeom>
                    <a:noFill/>
                  </pic:spPr>
                </pic:pic>
              </a:graphicData>
            </a:graphic>
          </wp:anchor>
        </w:drawing>
      </w:r>
    </w:p>
    <w:p>
      <w:pPr>
        <w:spacing w:after="0" w:line="81" w:lineRule="exact"/>
        <w:rPr>
          <w:sz w:val="20"/>
          <w:szCs w:val="20"/>
          <w:color w:val="auto"/>
        </w:rPr>
      </w:pPr>
    </w:p>
    <w:p>
      <w:pPr>
        <w:ind w:left="500" w:hanging="500"/>
        <w:spacing w:after="0"/>
        <w:tabs>
          <w:tab w:leader="none" w:pos="500" w:val="left"/>
        </w:tabs>
        <w:numPr>
          <w:ilvl w:val="0"/>
          <w:numId w:val="99"/>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See Note 11 for further information on base, supplemental and special dividends.</w:t>
      </w:r>
    </w:p>
    <w:p>
      <w:pPr>
        <w:spacing w:after="0" w:line="240" w:lineRule="exact"/>
        <w:rPr>
          <w:sz w:val="20"/>
          <w:szCs w:val="20"/>
          <w:color w:val="auto"/>
        </w:rPr>
      </w:pPr>
    </w:p>
    <w:p>
      <w:pPr>
        <w:jc w:val="both"/>
        <w:ind w:right="80" w:firstLine="245"/>
        <w:spacing w:after="0" w:line="258" w:lineRule="auto"/>
        <w:rPr>
          <w:sz w:val="20"/>
          <w:szCs w:val="20"/>
          <w:color w:val="auto"/>
        </w:rPr>
      </w:pPr>
      <w:r>
        <w:rPr>
          <w:rFonts w:ascii="Times New Roman" w:cs="Times New Roman" w:eastAsia="Times New Roman" w:hAnsi="Times New Roman"/>
          <w:sz w:val="20"/>
          <w:szCs w:val="20"/>
          <w:color w:val="4C4C4E"/>
        </w:rPr>
        <w:t>During the year ended December 31, 2025 and December 31, 2024, we issued 1,043,714 and 1,231,937 shares of the Company’s common stock, respectively, to investors who have not opted out of the Company’s dividend reinvestment plan for proceeds of $22.5 million and $24.7 million, respectively.</w:t>
      </w:r>
    </w:p>
    <w:p>
      <w:pPr>
        <w:spacing w:after="0" w:line="188" w:lineRule="exact"/>
        <w:rPr>
          <w:sz w:val="20"/>
          <w:szCs w:val="20"/>
          <w:color w:val="auto"/>
        </w:rPr>
      </w:pPr>
    </w:p>
    <w:p>
      <w:pPr>
        <w:ind w:right="100" w:firstLine="245"/>
        <w:spacing w:after="0" w:line="245" w:lineRule="auto"/>
        <w:rPr>
          <w:sz w:val="20"/>
          <w:szCs w:val="20"/>
          <w:color w:val="auto"/>
        </w:rPr>
      </w:pPr>
      <w:r>
        <w:rPr>
          <w:rFonts w:ascii="Times New Roman" w:cs="Times New Roman" w:eastAsia="Times New Roman" w:hAnsi="Times New Roman"/>
          <w:sz w:val="20"/>
          <w:szCs w:val="20"/>
          <w:color w:val="4C4C4E"/>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4, 2025 (expiring on May 31, 2026).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No shares were repurchased during the years ended December 31,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C4C4E"/>
        </w:rPr>
        <w:t>At the Market Offerings</w:t>
      </w:r>
    </w:p>
    <w:p>
      <w:pPr>
        <w:spacing w:after="0" w:line="238" w:lineRule="exact"/>
        <w:rPr>
          <w:sz w:val="20"/>
          <w:szCs w:val="20"/>
          <w:color w:val="auto"/>
        </w:rPr>
      </w:pPr>
    </w:p>
    <w:p>
      <w:pPr>
        <w:ind w:right="20" w:firstLine="245"/>
        <w:spacing w:after="0" w:line="270" w:lineRule="auto"/>
        <w:rPr>
          <w:sz w:val="20"/>
          <w:szCs w:val="20"/>
          <w:color w:val="auto"/>
        </w:rPr>
      </w:pPr>
      <w:r>
        <w:rPr>
          <w:rFonts w:ascii="Times New Roman" w:cs="Times New Roman" w:eastAsia="Times New Roman" w:hAnsi="Times New Roman"/>
          <w:sz w:val="19"/>
          <w:szCs w:val="19"/>
          <w:color w:val="4C4C4E"/>
        </w:rPr>
        <w:t>The Company is a party to equity distribution agreements with several banks (the “Equity Distribution Agreements”). The Equity Distribution Agreements provide that the Company may from time to time issue and sell, by means of “at the market” offerings, up to $100 million of the Company’s common stock. Subject to the terms and conditions of the Equity Distribution Agreements, sales of common stock, if any, may be made in transactions that are deemed to be “at the market” offerings as defined in Rule 415(a)(4) under</w:t>
      </w:r>
    </w:p>
    <w:p>
      <w:pPr>
        <w:sectPr>
          <w:pgSz w:w="11880" w:h="15480" w:orient="portrait"/>
          <w:cols w:equalWidth="0" w:num="1">
            <w:col w:w="10740"/>
          </w:cols>
          <w:pgMar w:left="540" w:top="741" w:right="600" w:bottom="6"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4C4C4E"/>
        </w:rPr>
        <w:t>F-49</w:t>
      </w:r>
    </w:p>
    <w:p>
      <w:pPr>
        <w:sectPr>
          <w:pgSz w:w="11880" w:h="15480" w:orient="portrait"/>
          <w:cols w:equalWidth="0" w:num="1">
            <w:col w:w="10740"/>
          </w:cols>
          <w:pgMar w:left="540" w:top="741" w:right="600" w:bottom="6" w:gutter="0" w:footer="0" w:header="0"/>
          <w:type w:val="continuous"/>
        </w:sectPr>
      </w:pPr>
    </w:p>
    <w:bookmarkStart w:id="138" w:name="page139"/>
    <w:bookmarkEnd w:id="138"/>
    <w:p>
      <w:pPr>
        <w:ind w:right="720"/>
        <w:spacing w:after="0" w:line="277" w:lineRule="auto"/>
        <w:rPr>
          <w:sz w:val="20"/>
          <w:szCs w:val="20"/>
          <w:color w:val="auto"/>
        </w:rPr>
      </w:pPr>
      <w:r>
        <w:rPr>
          <w:rFonts w:ascii="Times New Roman" w:cs="Times New Roman" w:eastAsia="Times New Roman" w:hAnsi="Times New Roman"/>
          <w:sz w:val="20"/>
          <w:szCs w:val="20"/>
          <w:color w:val="4C4C4E"/>
        </w:rPr>
        <w:t>the Securities Act of 1933, as amended. Under the currently effective Equity Distribution Agreements, common stock with an aggregate offering amount of $100 million remained available for issuance as of December 31, 2025.</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10. Earnings per share</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following table sets forth the computation of basic and diluted earnings per common share:</w:t>
      </w:r>
    </w:p>
    <w:p>
      <w:pPr>
        <w:spacing w:after="0" w:line="244" w:lineRule="exact"/>
        <w:rPr>
          <w:sz w:val="20"/>
          <w:szCs w:val="20"/>
          <w:color w:val="auto"/>
        </w:rPr>
      </w:pPr>
    </w:p>
    <w:tbl>
      <w:tblPr>
        <w:tblLayout w:type="fixed"/>
        <w:tblInd w:w="54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4C4C4E"/>
                <w:w w:val="99"/>
              </w:rPr>
              <w:t>Year Ended</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4C4C4E"/>
              </w:rPr>
              <w:t>December 31,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4C4C4E"/>
              </w:rPr>
              <w:t>December 31,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4C4C4E"/>
              </w:rPr>
              <w:t>December 31,</w:t>
            </w:r>
          </w:p>
        </w:tc>
        <w:tc>
          <w:tcPr>
            <w:tcW w:w="60" w:type="dxa"/>
            <w:vAlign w:val="bottom"/>
          </w:tcPr>
          <w:p>
            <w:pPr>
              <w:spacing w:after="0"/>
              <w:rPr>
                <w:sz w:val="16"/>
                <w:szCs w:val="16"/>
                <w:color w:val="auto"/>
              </w:rPr>
            </w:pPr>
          </w:p>
        </w:tc>
      </w:tr>
      <w:tr>
        <w:trPr>
          <w:trHeight w:val="203"/>
        </w:trPr>
        <w:tc>
          <w:tcPr>
            <w:tcW w:w="528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20" w:type="dxa"/>
            <w:vAlign w:val="bottom"/>
            <w:tcBorders>
              <w:bottom w:val="single" w:sz="8" w:color="4C4C4E"/>
            </w:tcBorders>
          </w:tcPr>
          <w:p>
            <w:pPr>
              <w:spacing w:after="0"/>
              <w:rPr>
                <w:sz w:val="17"/>
                <w:szCs w:val="17"/>
                <w:color w:val="auto"/>
              </w:rPr>
            </w:pPr>
          </w:p>
        </w:tc>
        <w:tc>
          <w:tcPr>
            <w:tcW w:w="1160" w:type="dxa"/>
            <w:vAlign w:val="bottom"/>
            <w:tcBorders>
              <w:bottom w:val="single" w:sz="8" w:color="4C4C4E"/>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4C4C4E"/>
              </w:rPr>
              <w:t>2025</w:t>
            </w:r>
          </w:p>
        </w:tc>
        <w:tc>
          <w:tcPr>
            <w:tcW w:w="24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00" w:type="dxa"/>
            <w:vAlign w:val="bottom"/>
            <w:tcBorders>
              <w:bottom w:val="single" w:sz="8" w:color="4C4C4E"/>
            </w:tcBorders>
          </w:tcPr>
          <w:p>
            <w:pPr>
              <w:spacing w:after="0"/>
              <w:rPr>
                <w:sz w:val="17"/>
                <w:szCs w:val="17"/>
                <w:color w:val="auto"/>
              </w:rPr>
            </w:pPr>
          </w:p>
        </w:tc>
        <w:tc>
          <w:tcPr>
            <w:tcW w:w="1160" w:type="dxa"/>
            <w:vAlign w:val="bottom"/>
            <w:tcBorders>
              <w:bottom w:val="single" w:sz="8" w:color="4C4C4E"/>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4C4C4E"/>
                <w:w w:val="99"/>
              </w:rPr>
              <w:t>2024</w:t>
            </w:r>
          </w:p>
        </w:tc>
        <w:tc>
          <w:tcPr>
            <w:tcW w:w="260" w:type="dxa"/>
            <w:vAlign w:val="bottom"/>
            <w:tcBorders>
              <w:bottom w:val="single" w:sz="8" w:color="D8EEF4"/>
            </w:tcBorders>
          </w:tcPr>
          <w:p>
            <w:pPr>
              <w:spacing w:after="0"/>
              <w:rPr>
                <w:sz w:val="17"/>
                <w:szCs w:val="17"/>
                <w:color w:val="auto"/>
              </w:rPr>
            </w:pPr>
          </w:p>
        </w:tc>
        <w:tc>
          <w:tcPr>
            <w:tcW w:w="20" w:type="dxa"/>
            <w:vAlign w:val="bottom"/>
            <w:tcBorders>
              <w:bottom w:val="single" w:sz="8" w:color="D8EEF4"/>
            </w:tcBorders>
          </w:tcPr>
          <w:p>
            <w:pPr>
              <w:spacing w:after="0"/>
              <w:rPr>
                <w:sz w:val="17"/>
                <w:szCs w:val="17"/>
                <w:color w:val="auto"/>
              </w:rPr>
            </w:pPr>
          </w:p>
        </w:tc>
        <w:tc>
          <w:tcPr>
            <w:tcW w:w="120" w:type="dxa"/>
            <w:vAlign w:val="bottom"/>
            <w:tcBorders>
              <w:bottom w:val="single" w:sz="8" w:color="4C4C4E"/>
            </w:tcBorders>
          </w:tcPr>
          <w:p>
            <w:pPr>
              <w:spacing w:after="0"/>
              <w:rPr>
                <w:sz w:val="17"/>
                <w:szCs w:val="17"/>
                <w:color w:val="auto"/>
              </w:rPr>
            </w:pPr>
          </w:p>
        </w:tc>
        <w:tc>
          <w:tcPr>
            <w:tcW w:w="1160" w:type="dxa"/>
            <w:vAlign w:val="bottom"/>
            <w:tcBorders>
              <w:bottom w:val="single" w:sz="8" w:color="4C4C4E"/>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4C4C4E"/>
              </w:rPr>
              <w:t>2023</w:t>
            </w:r>
          </w:p>
        </w:tc>
        <w:tc>
          <w:tcPr>
            <w:tcW w:w="60" w:type="dxa"/>
            <w:vAlign w:val="bottom"/>
            <w:tcBorders>
              <w:bottom w:val="single" w:sz="8" w:color="D8EEF4"/>
            </w:tcBorders>
          </w:tcPr>
          <w:p>
            <w:pPr>
              <w:spacing w:after="0"/>
              <w:rPr>
                <w:sz w:val="17"/>
                <w:szCs w:val="17"/>
                <w:color w:val="auto"/>
              </w:rPr>
            </w:pPr>
          </w:p>
        </w:tc>
      </w:tr>
      <w:tr>
        <w:trPr>
          <w:trHeight w:val="239"/>
        </w:trPr>
        <w:tc>
          <w:tcPr>
            <w:tcW w:w="528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Increase in net assets resulting from operations</w:t>
            </w:r>
          </w:p>
        </w:tc>
        <w:tc>
          <w:tcPr>
            <w:tcW w:w="20" w:type="dxa"/>
            <w:vAlign w:val="bottom"/>
            <w:shd w:val="clear" w:color="auto" w:fill="D8EEF4"/>
          </w:tcPr>
          <w:p>
            <w:pPr>
              <w:spacing w:after="0"/>
              <w:rPr>
                <w:sz w:val="20"/>
                <w:szCs w:val="20"/>
                <w:color w:val="auto"/>
              </w:rPr>
            </w:pPr>
          </w:p>
        </w:tc>
        <w:tc>
          <w:tcPr>
            <w:tcW w:w="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170,517</w:t>
            </w:r>
          </w:p>
        </w:tc>
        <w:tc>
          <w:tcPr>
            <w:tcW w:w="24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186,566</w:t>
            </w:r>
          </w:p>
        </w:tc>
        <w:tc>
          <w:tcPr>
            <w:tcW w:w="260" w:type="dxa"/>
            <w:vAlign w:val="bottom"/>
            <w:shd w:val="clear" w:color="auto" w:fill="D8EEF4"/>
          </w:tcPr>
          <w:p>
            <w:pPr>
              <w:spacing w:after="0"/>
              <w:rPr>
                <w:sz w:val="20"/>
                <w:szCs w:val="20"/>
                <w:color w:val="auto"/>
              </w:rPr>
            </w:pPr>
          </w:p>
        </w:tc>
        <w:tc>
          <w:tcPr>
            <w:tcW w:w="20" w:type="dxa"/>
            <w:vAlign w:val="bottom"/>
            <w:shd w:val="clear" w:color="auto" w:fill="D8EEF4"/>
          </w:tcPr>
          <w:p>
            <w:pPr>
              <w:spacing w:after="0"/>
              <w:rPr>
                <w:sz w:val="20"/>
                <w:szCs w:val="20"/>
                <w:color w:val="auto"/>
              </w:rPr>
            </w:pPr>
          </w:p>
        </w:tc>
        <w:tc>
          <w:tcPr>
            <w:tcW w:w="1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222,023</w:t>
            </w:r>
          </w:p>
        </w:tc>
        <w:tc>
          <w:tcPr>
            <w:tcW w:w="60" w:type="dxa"/>
            <w:vAlign w:val="bottom"/>
            <w:shd w:val="clear" w:color="auto" w:fill="D8EEF4"/>
          </w:tcPr>
          <w:p>
            <w:pPr>
              <w:spacing w:after="0"/>
              <w:rPr>
                <w:sz w:val="20"/>
                <w:szCs w:val="20"/>
                <w:color w:val="auto"/>
              </w:rPr>
            </w:pPr>
          </w:p>
        </w:tc>
      </w:tr>
      <w:tr>
        <w:trPr>
          <w:trHeight w:val="225"/>
        </w:trPr>
        <w:tc>
          <w:tcPr>
            <w:tcW w:w="52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4C4C4E"/>
              </w:rPr>
              <w:t>Weighted average shares of common stock outstanding—basic</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528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20"/>
                <w:szCs w:val="20"/>
                <w:color w:val="4C4C4E"/>
              </w:rPr>
              <w:t>and diluted</w:t>
            </w:r>
          </w:p>
        </w:tc>
        <w:tc>
          <w:tcPr>
            <w:tcW w:w="20" w:type="dxa"/>
            <w:vAlign w:val="bottom"/>
            <w:tcBorders>
              <w:bottom w:val="single" w:sz="8" w:color="D8EEF4"/>
            </w:tcBorders>
          </w:tcPr>
          <w:p>
            <w:pPr>
              <w:spacing w:after="0"/>
              <w:rPr>
                <w:sz w:val="21"/>
                <w:szCs w:val="21"/>
                <w:color w:val="auto"/>
              </w:rPr>
            </w:pPr>
          </w:p>
        </w:tc>
        <w:tc>
          <w:tcPr>
            <w:tcW w:w="120" w:type="dxa"/>
            <w:vAlign w:val="bottom"/>
            <w:tcBorders>
              <w:bottom w:val="single" w:sz="8" w:color="4C4C4E"/>
            </w:tcBorders>
          </w:tcPr>
          <w:p>
            <w:pPr>
              <w:spacing w:after="0"/>
              <w:rPr>
                <w:sz w:val="21"/>
                <w:szCs w:val="21"/>
                <w:color w:val="auto"/>
              </w:rPr>
            </w:pPr>
          </w:p>
        </w:tc>
        <w:tc>
          <w:tcPr>
            <w:tcW w:w="11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94,098,870</w:t>
            </w:r>
          </w:p>
        </w:tc>
        <w:tc>
          <w:tcPr>
            <w:tcW w:w="240" w:type="dxa"/>
            <w:vAlign w:val="bottom"/>
            <w:tcBorders>
              <w:bottom w:val="single" w:sz="8" w:color="D8EEF4"/>
            </w:tcBorders>
          </w:tcPr>
          <w:p>
            <w:pPr>
              <w:spacing w:after="0"/>
              <w:rPr>
                <w:sz w:val="21"/>
                <w:szCs w:val="21"/>
                <w:color w:val="auto"/>
              </w:rPr>
            </w:pPr>
          </w:p>
        </w:tc>
        <w:tc>
          <w:tcPr>
            <w:tcW w:w="20" w:type="dxa"/>
            <w:vAlign w:val="bottom"/>
            <w:tcBorders>
              <w:bottom w:val="single" w:sz="8" w:color="D8EEF4"/>
            </w:tcBorders>
          </w:tcPr>
          <w:p>
            <w:pPr>
              <w:spacing w:after="0"/>
              <w:rPr>
                <w:sz w:val="21"/>
                <w:szCs w:val="21"/>
                <w:color w:val="auto"/>
              </w:rPr>
            </w:pPr>
          </w:p>
        </w:tc>
        <w:tc>
          <w:tcPr>
            <w:tcW w:w="100" w:type="dxa"/>
            <w:vAlign w:val="bottom"/>
            <w:tcBorders>
              <w:bottom w:val="single" w:sz="8" w:color="4C4C4E"/>
            </w:tcBorders>
          </w:tcPr>
          <w:p>
            <w:pPr>
              <w:spacing w:after="0"/>
              <w:rPr>
                <w:sz w:val="21"/>
                <w:szCs w:val="21"/>
                <w:color w:val="auto"/>
              </w:rPr>
            </w:pPr>
          </w:p>
        </w:tc>
        <w:tc>
          <w:tcPr>
            <w:tcW w:w="11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92,035,165</w:t>
            </w:r>
          </w:p>
        </w:tc>
        <w:tc>
          <w:tcPr>
            <w:tcW w:w="260" w:type="dxa"/>
            <w:vAlign w:val="bottom"/>
            <w:tcBorders>
              <w:bottom w:val="single" w:sz="8" w:color="D8EEF4"/>
            </w:tcBorders>
          </w:tcPr>
          <w:p>
            <w:pPr>
              <w:spacing w:after="0"/>
              <w:rPr>
                <w:sz w:val="21"/>
                <w:szCs w:val="21"/>
                <w:color w:val="auto"/>
              </w:rPr>
            </w:pPr>
          </w:p>
        </w:tc>
        <w:tc>
          <w:tcPr>
            <w:tcW w:w="20" w:type="dxa"/>
            <w:vAlign w:val="bottom"/>
            <w:tcBorders>
              <w:bottom w:val="single" w:sz="8" w:color="D8EEF4"/>
            </w:tcBorders>
          </w:tcPr>
          <w:p>
            <w:pPr>
              <w:spacing w:after="0"/>
              <w:rPr>
                <w:sz w:val="21"/>
                <w:szCs w:val="21"/>
                <w:color w:val="auto"/>
              </w:rPr>
            </w:pPr>
          </w:p>
        </w:tc>
        <w:tc>
          <w:tcPr>
            <w:tcW w:w="120" w:type="dxa"/>
            <w:vAlign w:val="bottom"/>
            <w:tcBorders>
              <w:bottom w:val="single" w:sz="8" w:color="4C4C4E"/>
            </w:tcBorders>
          </w:tcPr>
          <w:p>
            <w:pPr>
              <w:spacing w:after="0"/>
              <w:rPr>
                <w:sz w:val="21"/>
                <w:szCs w:val="21"/>
                <w:color w:val="auto"/>
              </w:rPr>
            </w:pPr>
          </w:p>
        </w:tc>
        <w:tc>
          <w:tcPr>
            <w:tcW w:w="11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85,131,264</w:t>
            </w:r>
          </w:p>
        </w:tc>
        <w:tc>
          <w:tcPr>
            <w:tcW w:w="60" w:type="dxa"/>
            <w:vAlign w:val="bottom"/>
            <w:tcBorders>
              <w:bottom w:val="single" w:sz="8" w:color="D8EEF4"/>
            </w:tcBorders>
          </w:tcPr>
          <w:p>
            <w:pPr>
              <w:spacing w:after="0"/>
              <w:rPr>
                <w:sz w:val="21"/>
                <w:szCs w:val="21"/>
                <w:color w:val="auto"/>
              </w:rPr>
            </w:pPr>
          </w:p>
        </w:tc>
      </w:tr>
      <w:tr>
        <w:trPr>
          <w:trHeight w:val="259"/>
        </w:trPr>
        <w:tc>
          <w:tcPr>
            <w:tcW w:w="528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Earnings per common share—basic and diluted</w:t>
            </w:r>
          </w:p>
        </w:tc>
        <w:tc>
          <w:tcPr>
            <w:tcW w:w="20" w:type="dxa"/>
            <w:vAlign w:val="bottom"/>
            <w:tcBorders>
              <w:bottom w:val="single" w:sz="8" w:color="4C4C4E"/>
            </w:tcBorders>
            <w:shd w:val="clear" w:color="auto" w:fill="D8EEF4"/>
          </w:tcPr>
          <w:p>
            <w:pPr>
              <w:spacing w:after="0"/>
              <w:rPr>
                <w:sz w:val="22"/>
                <w:szCs w:val="22"/>
                <w:color w:val="auto"/>
              </w:rPr>
            </w:pPr>
          </w:p>
        </w:tc>
        <w:tc>
          <w:tcPr>
            <w:tcW w:w="1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1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1.81</w:t>
            </w:r>
          </w:p>
        </w:tc>
        <w:tc>
          <w:tcPr>
            <w:tcW w:w="240" w:type="dxa"/>
            <w:vAlign w:val="bottom"/>
            <w:tcBorders>
              <w:bottom w:val="single" w:sz="8" w:color="D8EEF4"/>
            </w:tcBorders>
            <w:shd w:val="clear" w:color="auto" w:fill="D8EEF4"/>
          </w:tcPr>
          <w:p>
            <w:pPr>
              <w:spacing w:after="0"/>
              <w:rPr>
                <w:sz w:val="22"/>
                <w:szCs w:val="22"/>
                <w:color w:val="auto"/>
              </w:rPr>
            </w:pPr>
          </w:p>
        </w:tc>
        <w:tc>
          <w:tcPr>
            <w:tcW w:w="20" w:type="dxa"/>
            <w:vAlign w:val="bottom"/>
            <w:tcBorders>
              <w:bottom w:val="single" w:sz="8" w:color="4C4C4E"/>
            </w:tcBorders>
            <w:shd w:val="clear" w:color="auto" w:fill="D8EEF4"/>
          </w:tcPr>
          <w:p>
            <w:pPr>
              <w:spacing w:after="0"/>
              <w:rPr>
                <w:sz w:val="22"/>
                <w:szCs w:val="22"/>
                <w:color w:val="auto"/>
              </w:rPr>
            </w:pPr>
          </w:p>
        </w:tc>
        <w:tc>
          <w:tcPr>
            <w:tcW w:w="10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1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2.03</w:t>
            </w:r>
          </w:p>
        </w:tc>
        <w:tc>
          <w:tcPr>
            <w:tcW w:w="260" w:type="dxa"/>
            <w:vAlign w:val="bottom"/>
            <w:tcBorders>
              <w:bottom w:val="single" w:sz="8" w:color="D8EEF4"/>
            </w:tcBorders>
            <w:shd w:val="clear" w:color="auto" w:fill="D8EEF4"/>
          </w:tcPr>
          <w:p>
            <w:pPr>
              <w:spacing w:after="0"/>
              <w:rPr>
                <w:sz w:val="22"/>
                <w:szCs w:val="22"/>
                <w:color w:val="auto"/>
              </w:rPr>
            </w:pPr>
          </w:p>
        </w:tc>
        <w:tc>
          <w:tcPr>
            <w:tcW w:w="20" w:type="dxa"/>
            <w:vAlign w:val="bottom"/>
            <w:tcBorders>
              <w:bottom w:val="single" w:sz="8" w:color="4C4C4E"/>
            </w:tcBorders>
            <w:shd w:val="clear" w:color="auto" w:fill="D8EEF4"/>
          </w:tcPr>
          <w:p>
            <w:pPr>
              <w:spacing w:after="0"/>
              <w:rPr>
                <w:sz w:val="22"/>
                <w:szCs w:val="22"/>
                <w:color w:val="auto"/>
              </w:rPr>
            </w:pPr>
          </w:p>
        </w:tc>
        <w:tc>
          <w:tcPr>
            <w:tcW w:w="12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1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2.61</w:t>
            </w:r>
          </w:p>
        </w:tc>
        <w:tc>
          <w:tcPr>
            <w:tcW w:w="60" w:type="dxa"/>
            <w:vAlign w:val="bottom"/>
            <w:tcBorders>
              <w:bottom w:val="single" w:sz="8" w:color="D8EEF4"/>
            </w:tcBorders>
            <w:shd w:val="clear" w:color="auto" w:fill="D8EEF4"/>
          </w:tcPr>
          <w:p>
            <w:pPr>
              <w:spacing w:after="0"/>
              <w:rPr>
                <w:sz w:val="22"/>
                <w:szCs w:val="22"/>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1160" w:type="dxa"/>
            <w:vAlign w:val="bottom"/>
            <w:tcBorders>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00" w:type="dxa"/>
            <w:vAlign w:val="bottom"/>
            <w:tcBorders>
              <w:bottom w:val="single" w:sz="8" w:color="4C4C4E"/>
            </w:tcBorders>
          </w:tcPr>
          <w:p>
            <w:pPr>
              <w:spacing w:after="0" w:line="20" w:lineRule="exact"/>
              <w:rPr>
                <w:sz w:val="1"/>
                <w:szCs w:val="1"/>
                <w:color w:val="auto"/>
              </w:rPr>
            </w:pPr>
          </w:p>
        </w:tc>
        <w:tc>
          <w:tcPr>
            <w:tcW w:w="1160" w:type="dxa"/>
            <w:vAlign w:val="bottom"/>
            <w:tcBorders>
              <w:bottom w:val="single" w:sz="8" w:color="4C4C4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120" w:type="dxa"/>
            <w:vAlign w:val="bottom"/>
            <w:tcBorders>
              <w:bottom w:val="single" w:sz="8" w:color="4C4C4E"/>
            </w:tcBorders>
          </w:tcPr>
          <w:p>
            <w:pPr>
              <w:spacing w:after="0" w:line="20" w:lineRule="exact"/>
              <w:rPr>
                <w:sz w:val="1"/>
                <w:szCs w:val="1"/>
                <w:color w:val="auto"/>
              </w:rPr>
            </w:pPr>
          </w:p>
        </w:tc>
        <w:tc>
          <w:tcPr>
            <w:tcW w:w="116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-923925</wp:posOffset>
            </wp:positionV>
            <wp:extent cx="281559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3">
                      <a:extLst>
                        <a:ext uri="{28A0092B-C50C-407E-A947-70E740481C1C}"/>
                      </a:extLst>
                    </a:blip>
                    <a:srcRect/>
                    <a:stretch>
                      <a:fillRect/>
                    </a:stretch>
                  </pic:blipFill>
                  <pic:spPr bwMode="auto">
                    <a:xfrm>
                      <a:off x="0" y="0"/>
                      <a:ext cx="2815590" cy="3810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11. Dividends</w:t>
      </w:r>
    </w:p>
    <w:p>
      <w:pPr>
        <w:spacing w:after="0" w:line="124" w:lineRule="exact"/>
        <w:rPr>
          <w:sz w:val="20"/>
          <w:szCs w:val="20"/>
          <w:color w:val="auto"/>
        </w:rPr>
      </w:pPr>
    </w:p>
    <w:p>
      <w:pPr>
        <w:jc w:val="both"/>
        <w:ind w:right="220" w:firstLine="245"/>
        <w:spacing w:after="0" w:line="258" w:lineRule="auto"/>
        <w:rPr>
          <w:sz w:val="20"/>
          <w:szCs w:val="20"/>
          <w:color w:val="auto"/>
        </w:rPr>
      </w:pPr>
      <w:r>
        <w:rPr>
          <w:rFonts w:ascii="Times New Roman" w:cs="Times New Roman" w:eastAsia="Times New Roman" w:hAnsi="Times New Roman"/>
          <w:sz w:val="20"/>
          <w:szCs w:val="20"/>
          <w:color w:val="4C4C4E"/>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following tables summarize dividends declared during the years ended December 31, 2025, December 31, 2024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
          </w:tcPr>
          <w:p>
            <w:pPr>
              <w:jc w:val="center"/>
              <w:ind w:left="485"/>
              <w:spacing w:after="0"/>
              <w:rPr>
                <w:sz w:val="20"/>
                <w:szCs w:val="20"/>
                <w:color w:val="auto"/>
              </w:rPr>
            </w:pPr>
            <w:r>
              <w:rPr>
                <w:rFonts w:ascii="Times New Roman" w:cs="Times New Roman" w:eastAsia="Times New Roman" w:hAnsi="Times New Roman"/>
                <w:sz w:val="16"/>
                <w:szCs w:val="16"/>
                <w:b w:val="1"/>
                <w:bCs w:val="1"/>
                <w:color w:val="4C4C4E"/>
                <w:w w:val="99"/>
              </w:rPr>
              <w:t>For the Year Ended</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gridSpan w:val="3"/>
          </w:tcPr>
          <w:p>
            <w:pPr>
              <w:jc w:val="center"/>
              <w:ind w:left="485"/>
              <w:spacing w:after="0"/>
              <w:rPr>
                <w:sz w:val="20"/>
                <w:szCs w:val="20"/>
                <w:color w:val="auto"/>
              </w:rPr>
            </w:pPr>
            <w:r>
              <w:rPr>
                <w:rFonts w:ascii="Times New Roman" w:cs="Times New Roman" w:eastAsia="Times New Roman" w:hAnsi="Times New Roman"/>
                <w:sz w:val="16"/>
                <w:szCs w:val="16"/>
                <w:b w:val="1"/>
                <w:bCs w:val="1"/>
                <w:color w:val="4C4C4E"/>
                <w:w w:val="98"/>
              </w:rPr>
              <w:t>December 31, 2025</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D8EEF4"/>
            </w:tcBorders>
            <w:gridSpan w:val="2"/>
          </w:tcPr>
          <w:p>
            <w:pPr>
              <w:spacing w:after="0"/>
              <w:rPr>
                <w:sz w:val="20"/>
                <w:szCs w:val="20"/>
                <w:color w:val="auto"/>
              </w:rPr>
            </w:pPr>
            <w:r>
              <w:rPr>
                <w:rFonts w:ascii="Times New Roman" w:cs="Times New Roman" w:eastAsia="Times New Roman" w:hAnsi="Times New Roman"/>
                <w:sz w:val="16"/>
                <w:szCs w:val="16"/>
                <w:b w:val="1"/>
                <w:bCs w:val="1"/>
                <w:color w:val="4C4C4E"/>
              </w:rPr>
              <w:t>Date Declared</w:t>
            </w:r>
          </w:p>
        </w:tc>
        <w:tc>
          <w:tcPr>
            <w:tcW w:w="112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6"/>
                <w:szCs w:val="16"/>
                <w:b w:val="1"/>
                <w:bCs w:val="1"/>
                <w:color w:val="4C4C4E"/>
              </w:rPr>
              <w:t>Dividend</w:t>
            </w:r>
          </w:p>
        </w:tc>
        <w:tc>
          <w:tcPr>
            <w:tcW w:w="140" w:type="dxa"/>
            <w:vAlign w:val="bottom"/>
            <w:tcBorders>
              <w:bottom w:val="single" w:sz="8" w:color="D8EEF4"/>
            </w:tcBorders>
          </w:tcPr>
          <w:p>
            <w:pPr>
              <w:spacing w:after="0"/>
              <w:rPr>
                <w:sz w:val="17"/>
                <w:szCs w:val="17"/>
                <w:color w:val="auto"/>
              </w:rPr>
            </w:pPr>
          </w:p>
        </w:tc>
        <w:tc>
          <w:tcPr>
            <w:tcW w:w="2040" w:type="dxa"/>
            <w:vAlign w:val="bottom"/>
            <w:tcBorders>
              <w:bottom w:val="single" w:sz="8" w:color="4C4C4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C4C4E"/>
              </w:rPr>
              <w:t>Record Date</w:t>
            </w:r>
          </w:p>
        </w:tc>
        <w:tc>
          <w:tcPr>
            <w:tcW w:w="120" w:type="dxa"/>
            <w:vAlign w:val="bottom"/>
            <w:tcBorders>
              <w:bottom w:val="single" w:sz="8" w:color="D8EEF4"/>
            </w:tcBorders>
          </w:tcPr>
          <w:p>
            <w:pPr>
              <w:spacing w:after="0"/>
              <w:rPr>
                <w:sz w:val="17"/>
                <w:szCs w:val="17"/>
                <w:color w:val="auto"/>
              </w:rPr>
            </w:pPr>
          </w:p>
        </w:tc>
        <w:tc>
          <w:tcPr>
            <w:tcW w:w="2180" w:type="dxa"/>
            <w:vAlign w:val="bottom"/>
            <w:tcBorders>
              <w:bottom w:val="single" w:sz="8" w:color="4C4C4E"/>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4C4C4E"/>
              </w:rPr>
              <w:t>Payment Date</w:t>
            </w:r>
          </w:p>
        </w:tc>
        <w:tc>
          <w:tcPr>
            <w:tcW w:w="420" w:type="dxa"/>
            <w:vAlign w:val="bottom"/>
            <w:tcBorders>
              <w:bottom w:val="single" w:sz="8" w:color="D8EEF4"/>
            </w:tcBorders>
          </w:tcPr>
          <w:p>
            <w:pPr>
              <w:spacing w:after="0"/>
              <w:rPr>
                <w:sz w:val="17"/>
                <w:szCs w:val="17"/>
                <w:color w:val="auto"/>
              </w:rPr>
            </w:pPr>
          </w:p>
        </w:tc>
        <w:tc>
          <w:tcPr>
            <w:tcW w:w="1460" w:type="dxa"/>
            <w:vAlign w:val="bottom"/>
            <w:tcBorders>
              <w:bottom w:val="single" w:sz="8" w:color="4C4C4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rPr>
              <w:t>Dividend per Share</w:t>
            </w:r>
          </w:p>
        </w:tc>
        <w:tc>
          <w:tcPr>
            <w:tcW w:w="60" w:type="dxa"/>
            <w:vAlign w:val="bottom"/>
            <w:tcBorders>
              <w:bottom w:val="single" w:sz="8" w:color="D8EEF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6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February 13, 2025</w:t>
            </w:r>
          </w:p>
        </w:tc>
        <w:tc>
          <w:tcPr>
            <w:tcW w:w="11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shd w:val="clear" w:color="auto" w:fill="D8EEF4"/>
              </w:rPr>
              <w:t>Supplemental</w:t>
            </w:r>
          </w:p>
        </w:tc>
        <w:tc>
          <w:tcPr>
            <w:tcW w:w="140" w:type="dxa"/>
            <w:vAlign w:val="bottom"/>
            <w:shd w:val="clear" w:color="auto" w:fill="D8EEF4"/>
          </w:tcPr>
          <w:p>
            <w:pPr>
              <w:spacing w:after="0"/>
              <w:rPr>
                <w:sz w:val="20"/>
                <w:szCs w:val="20"/>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February 28, 2025</w:t>
            </w:r>
          </w:p>
        </w:tc>
        <w:tc>
          <w:tcPr>
            <w:tcW w:w="120" w:type="dxa"/>
            <w:vAlign w:val="bottom"/>
            <w:shd w:val="clear" w:color="auto" w:fill="D8EEF4"/>
          </w:tcPr>
          <w:p>
            <w:pPr>
              <w:spacing w:after="0"/>
              <w:rPr>
                <w:sz w:val="20"/>
                <w:szCs w:val="20"/>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March 20, 2025</w:t>
            </w:r>
          </w:p>
        </w:tc>
        <w:tc>
          <w:tcPr>
            <w:tcW w:w="420" w:type="dxa"/>
            <w:vAlign w:val="bottom"/>
            <w:shd w:val="clear" w:color="auto" w:fill="D8EEF4"/>
          </w:tcPr>
          <w:p>
            <w:pPr>
              <w:spacing w:after="0"/>
              <w:rPr>
                <w:sz w:val="20"/>
                <w:szCs w:val="20"/>
                <w:color w:val="auto"/>
              </w:rPr>
            </w:pPr>
          </w:p>
        </w:tc>
        <w:tc>
          <w:tcPr>
            <w:tcW w:w="600" w:type="dxa"/>
            <w:vAlign w:val="bottom"/>
            <w:shd w:val="clear" w:color="auto" w:fill="D8EEF4"/>
          </w:tcPr>
          <w:p>
            <w:pPr>
              <w:jc w:val="right"/>
              <w:ind w:right="407"/>
              <w:spacing w:after="0"/>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0.07</w:t>
            </w:r>
          </w:p>
        </w:tc>
        <w:tc>
          <w:tcPr>
            <w:tcW w:w="60" w:type="dxa"/>
            <w:vAlign w:val="bottom"/>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260" w:type="dxa"/>
            <w:vAlign w:val="bottom"/>
            <w:gridSpan w:val="2"/>
          </w:tcPr>
          <w:p>
            <w:pPr>
              <w:spacing w:after="0"/>
              <w:rPr>
                <w:sz w:val="20"/>
                <w:szCs w:val="20"/>
                <w:color w:val="auto"/>
              </w:rPr>
            </w:pPr>
            <w:r>
              <w:rPr>
                <w:rFonts w:ascii="Times New Roman" w:cs="Times New Roman" w:eastAsia="Times New Roman" w:hAnsi="Times New Roman"/>
                <w:sz w:val="20"/>
                <w:szCs w:val="20"/>
                <w:color w:val="4C4C4E"/>
              </w:rPr>
              <w:t>February 13, 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14, 2025</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31, 2025</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April 30, 2025</w:t>
            </w:r>
          </w:p>
        </w:tc>
        <w:tc>
          <w:tcPr>
            <w:tcW w:w="11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Supplemental</w:t>
            </w:r>
          </w:p>
        </w:tc>
        <w:tc>
          <w:tcPr>
            <w:tcW w:w="140" w:type="dxa"/>
            <w:vAlign w:val="bottom"/>
            <w:shd w:val="clear" w:color="auto" w:fill="D8EEF4"/>
          </w:tcPr>
          <w:p>
            <w:pPr>
              <w:spacing w:after="0"/>
              <w:rPr>
                <w:sz w:val="21"/>
                <w:szCs w:val="21"/>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May 30, 2025</w:t>
            </w:r>
          </w:p>
        </w:tc>
        <w:tc>
          <w:tcPr>
            <w:tcW w:w="120" w:type="dxa"/>
            <w:vAlign w:val="bottom"/>
            <w:shd w:val="clear" w:color="auto" w:fill="D8EEF4"/>
          </w:tcPr>
          <w:p>
            <w:pPr>
              <w:spacing w:after="0"/>
              <w:rPr>
                <w:sz w:val="21"/>
                <w:szCs w:val="21"/>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June 20, 2025</w:t>
            </w:r>
          </w:p>
        </w:tc>
        <w:tc>
          <w:tcPr>
            <w:tcW w:w="420" w:type="dxa"/>
            <w:vAlign w:val="bottom"/>
            <w:shd w:val="clear" w:color="auto" w:fill="D8EEF4"/>
          </w:tcPr>
          <w:p>
            <w:pPr>
              <w:spacing w:after="0"/>
              <w:rPr>
                <w:sz w:val="21"/>
                <w:szCs w:val="21"/>
                <w:color w:val="auto"/>
              </w:rPr>
            </w:pPr>
          </w:p>
        </w:tc>
        <w:tc>
          <w:tcPr>
            <w:tcW w:w="60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0.06</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tcPr>
          <w:p>
            <w:pPr>
              <w:spacing w:after="0"/>
              <w:rPr>
                <w:sz w:val="20"/>
                <w:szCs w:val="20"/>
                <w:color w:val="auto"/>
              </w:rPr>
            </w:pPr>
            <w:r>
              <w:rPr>
                <w:rFonts w:ascii="Times New Roman" w:cs="Times New Roman" w:eastAsia="Times New Roman" w:hAnsi="Times New Roman"/>
                <w:sz w:val="20"/>
                <w:szCs w:val="20"/>
                <w:color w:val="4C4C4E"/>
              </w:rPr>
              <w:t>April 30, 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16, 2025</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30, 2025</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July 30, 2025</w:t>
            </w:r>
          </w:p>
        </w:tc>
        <w:tc>
          <w:tcPr>
            <w:tcW w:w="11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Supplemental</w:t>
            </w:r>
          </w:p>
        </w:tc>
        <w:tc>
          <w:tcPr>
            <w:tcW w:w="140" w:type="dxa"/>
            <w:vAlign w:val="bottom"/>
            <w:shd w:val="clear" w:color="auto" w:fill="D8EEF4"/>
          </w:tcPr>
          <w:p>
            <w:pPr>
              <w:spacing w:after="0"/>
              <w:rPr>
                <w:sz w:val="21"/>
                <w:szCs w:val="21"/>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August 29, 2025</w:t>
            </w:r>
          </w:p>
        </w:tc>
        <w:tc>
          <w:tcPr>
            <w:tcW w:w="120" w:type="dxa"/>
            <w:vAlign w:val="bottom"/>
            <w:shd w:val="clear" w:color="auto" w:fill="D8EEF4"/>
          </w:tcPr>
          <w:p>
            <w:pPr>
              <w:spacing w:after="0"/>
              <w:rPr>
                <w:sz w:val="21"/>
                <w:szCs w:val="21"/>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September 19, 2025</w:t>
            </w:r>
          </w:p>
        </w:tc>
        <w:tc>
          <w:tcPr>
            <w:tcW w:w="420" w:type="dxa"/>
            <w:vAlign w:val="bottom"/>
            <w:shd w:val="clear" w:color="auto" w:fill="D8EEF4"/>
          </w:tcPr>
          <w:p>
            <w:pPr>
              <w:spacing w:after="0"/>
              <w:rPr>
                <w:sz w:val="21"/>
                <w:szCs w:val="21"/>
                <w:color w:val="auto"/>
              </w:rPr>
            </w:pPr>
          </w:p>
        </w:tc>
        <w:tc>
          <w:tcPr>
            <w:tcW w:w="60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0.05</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tcPr>
          <w:p>
            <w:pPr>
              <w:spacing w:after="0"/>
              <w:rPr>
                <w:sz w:val="20"/>
                <w:szCs w:val="20"/>
                <w:color w:val="auto"/>
              </w:rPr>
            </w:pPr>
            <w:r>
              <w:rPr>
                <w:rFonts w:ascii="Times New Roman" w:cs="Times New Roman" w:eastAsia="Times New Roman" w:hAnsi="Times New Roman"/>
                <w:sz w:val="20"/>
                <w:szCs w:val="20"/>
                <w:color w:val="4C4C4E"/>
              </w:rPr>
              <w:t>July 30, 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15, 2025</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30, 2025</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November 4, 2025</w:t>
            </w:r>
          </w:p>
        </w:tc>
        <w:tc>
          <w:tcPr>
            <w:tcW w:w="11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Supplemental</w:t>
            </w:r>
          </w:p>
        </w:tc>
        <w:tc>
          <w:tcPr>
            <w:tcW w:w="140" w:type="dxa"/>
            <w:vAlign w:val="bottom"/>
            <w:shd w:val="clear" w:color="auto" w:fill="D8EEF4"/>
          </w:tcPr>
          <w:p>
            <w:pPr>
              <w:spacing w:after="0"/>
              <w:rPr>
                <w:sz w:val="21"/>
                <w:szCs w:val="21"/>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November 28, 2025</w:t>
            </w:r>
          </w:p>
        </w:tc>
        <w:tc>
          <w:tcPr>
            <w:tcW w:w="120" w:type="dxa"/>
            <w:vAlign w:val="bottom"/>
            <w:shd w:val="clear" w:color="auto" w:fill="D8EEF4"/>
          </w:tcPr>
          <w:p>
            <w:pPr>
              <w:spacing w:after="0"/>
              <w:rPr>
                <w:sz w:val="21"/>
                <w:szCs w:val="21"/>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December 19, 2025</w:t>
            </w:r>
          </w:p>
        </w:tc>
        <w:tc>
          <w:tcPr>
            <w:tcW w:w="420" w:type="dxa"/>
            <w:vAlign w:val="bottom"/>
            <w:shd w:val="clear" w:color="auto" w:fill="D8EEF4"/>
          </w:tcPr>
          <w:p>
            <w:pPr>
              <w:spacing w:after="0"/>
              <w:rPr>
                <w:sz w:val="21"/>
                <w:szCs w:val="21"/>
                <w:color w:val="auto"/>
              </w:rPr>
            </w:pPr>
          </w:p>
        </w:tc>
        <w:tc>
          <w:tcPr>
            <w:tcW w:w="60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0.03</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D8EEF4"/>
            </w:tcBorders>
            <w:gridSpan w:val="2"/>
          </w:tcPr>
          <w:p>
            <w:pPr>
              <w:spacing w:after="0"/>
              <w:rPr>
                <w:sz w:val="20"/>
                <w:szCs w:val="20"/>
                <w:color w:val="auto"/>
              </w:rPr>
            </w:pPr>
            <w:r>
              <w:rPr>
                <w:rFonts w:ascii="Times New Roman" w:cs="Times New Roman" w:eastAsia="Times New Roman" w:hAnsi="Times New Roman"/>
                <w:sz w:val="20"/>
                <w:szCs w:val="20"/>
                <w:color w:val="4C4C4E"/>
              </w:rPr>
              <w:t>November 4, 2025</w:t>
            </w:r>
          </w:p>
        </w:tc>
        <w:tc>
          <w:tcPr>
            <w:tcW w:w="1120" w:type="dxa"/>
            <w:vAlign w:val="bottom"/>
            <w:tcBorders>
              <w:bottom w:val="single" w:sz="8" w:color="D8EEF4"/>
            </w:tcBorders>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Borders>
              <w:bottom w:val="single" w:sz="8" w:color="D8EEF4"/>
            </w:tcBorders>
          </w:tcPr>
          <w:p>
            <w:pPr>
              <w:spacing w:after="0"/>
              <w:rPr>
                <w:sz w:val="21"/>
                <w:szCs w:val="21"/>
                <w:color w:val="auto"/>
              </w:rPr>
            </w:pPr>
          </w:p>
        </w:tc>
        <w:tc>
          <w:tcPr>
            <w:tcW w:w="2040" w:type="dxa"/>
            <w:vAlign w:val="bottom"/>
            <w:tcBorders>
              <w:bottom w:val="single" w:sz="8" w:color="D8EEF4"/>
            </w:tcBorders>
          </w:tcPr>
          <w:p>
            <w:pPr>
              <w:jc w:val="right"/>
              <w:spacing w:after="0"/>
              <w:rPr>
                <w:sz w:val="20"/>
                <w:szCs w:val="20"/>
                <w:color w:val="auto"/>
              </w:rPr>
            </w:pPr>
            <w:r>
              <w:rPr>
                <w:rFonts w:ascii="Times New Roman" w:cs="Times New Roman" w:eastAsia="Times New Roman" w:hAnsi="Times New Roman"/>
                <w:sz w:val="20"/>
                <w:szCs w:val="20"/>
                <w:color w:val="4C4C4E"/>
              </w:rPr>
              <w:t>December 15, 2025</w:t>
            </w:r>
          </w:p>
        </w:tc>
        <w:tc>
          <w:tcPr>
            <w:tcW w:w="120" w:type="dxa"/>
            <w:vAlign w:val="bottom"/>
            <w:tcBorders>
              <w:bottom w:val="single" w:sz="8" w:color="D8EEF4"/>
            </w:tcBorders>
          </w:tcPr>
          <w:p>
            <w:pPr>
              <w:spacing w:after="0"/>
              <w:rPr>
                <w:sz w:val="21"/>
                <w:szCs w:val="21"/>
                <w:color w:val="auto"/>
              </w:rPr>
            </w:pPr>
          </w:p>
        </w:tc>
        <w:tc>
          <w:tcPr>
            <w:tcW w:w="2180" w:type="dxa"/>
            <w:vAlign w:val="bottom"/>
            <w:tcBorders>
              <w:bottom w:val="single" w:sz="8" w:color="D8EEF4"/>
            </w:tcBorders>
          </w:tcPr>
          <w:p>
            <w:pPr>
              <w:jc w:val="right"/>
              <w:spacing w:after="0"/>
              <w:rPr>
                <w:sz w:val="20"/>
                <w:szCs w:val="20"/>
                <w:color w:val="auto"/>
              </w:rPr>
            </w:pPr>
            <w:r>
              <w:rPr>
                <w:rFonts w:ascii="Times New Roman" w:cs="Times New Roman" w:eastAsia="Times New Roman" w:hAnsi="Times New Roman"/>
                <w:sz w:val="20"/>
                <w:szCs w:val="20"/>
                <w:color w:val="4C4C4E"/>
              </w:rPr>
              <w:t>December 31, 2025</w:t>
            </w:r>
          </w:p>
        </w:tc>
        <w:tc>
          <w:tcPr>
            <w:tcW w:w="420" w:type="dxa"/>
            <w:vAlign w:val="bottom"/>
            <w:tcBorders>
              <w:bottom w:val="single" w:sz="8" w:color="D8EEF4"/>
            </w:tcBorders>
          </w:tcPr>
          <w:p>
            <w:pPr>
              <w:spacing w:after="0"/>
              <w:rPr>
                <w:sz w:val="21"/>
                <w:szCs w:val="21"/>
                <w:color w:val="auto"/>
              </w:rPr>
            </w:pPr>
          </w:p>
        </w:tc>
        <w:tc>
          <w:tcPr>
            <w:tcW w:w="600" w:type="dxa"/>
            <w:vAlign w:val="bottom"/>
            <w:tcBorders>
              <w:bottom w:val="single" w:sz="8" w:color="4C4C4E"/>
            </w:tcBorders>
          </w:tcPr>
          <w:p>
            <w:pPr>
              <w:spacing w:after="0"/>
              <w:rPr>
                <w:sz w:val="21"/>
                <w:szCs w:val="21"/>
                <w:color w:val="auto"/>
              </w:rPr>
            </w:pPr>
          </w:p>
        </w:tc>
        <w:tc>
          <w:tcPr>
            <w:tcW w:w="8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Borders>
              <w:bottom w:val="single" w:sz="8" w:color="D8EEF4"/>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60" w:type="dxa"/>
            <w:vAlign w:val="bottom"/>
            <w:tcBorders>
              <w:bottom w:val="single" w:sz="8" w:color="D8EEF4"/>
            </w:tcBorders>
            <w:gridSpan w:val="2"/>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Dividends Declared</w:t>
            </w:r>
          </w:p>
        </w:tc>
        <w:tc>
          <w:tcPr>
            <w:tcW w:w="1120" w:type="dxa"/>
            <w:vAlign w:val="bottom"/>
            <w:tcBorders>
              <w:bottom w:val="single" w:sz="8" w:color="D8EEF4"/>
            </w:tcBorders>
            <w:shd w:val="clear" w:color="auto" w:fill="D8EEF4"/>
          </w:tcPr>
          <w:p>
            <w:pPr>
              <w:spacing w:after="0"/>
              <w:rPr>
                <w:sz w:val="22"/>
                <w:szCs w:val="22"/>
                <w:color w:val="auto"/>
              </w:rPr>
            </w:pPr>
          </w:p>
        </w:tc>
        <w:tc>
          <w:tcPr>
            <w:tcW w:w="140" w:type="dxa"/>
            <w:vAlign w:val="bottom"/>
            <w:tcBorders>
              <w:bottom w:val="single" w:sz="8" w:color="D8EEF4"/>
            </w:tcBorders>
            <w:shd w:val="clear" w:color="auto" w:fill="D8EEF4"/>
          </w:tcPr>
          <w:p>
            <w:pPr>
              <w:spacing w:after="0"/>
              <w:rPr>
                <w:sz w:val="22"/>
                <w:szCs w:val="22"/>
                <w:color w:val="auto"/>
              </w:rPr>
            </w:pPr>
          </w:p>
        </w:tc>
        <w:tc>
          <w:tcPr>
            <w:tcW w:w="2040" w:type="dxa"/>
            <w:vAlign w:val="bottom"/>
            <w:tcBorders>
              <w:bottom w:val="single" w:sz="8" w:color="D8EEF4"/>
            </w:tcBorders>
            <w:shd w:val="clear" w:color="auto" w:fill="D8EEF4"/>
          </w:tcPr>
          <w:p>
            <w:pPr>
              <w:spacing w:after="0"/>
              <w:rPr>
                <w:sz w:val="22"/>
                <w:szCs w:val="22"/>
                <w:color w:val="auto"/>
              </w:rPr>
            </w:pPr>
          </w:p>
        </w:tc>
        <w:tc>
          <w:tcPr>
            <w:tcW w:w="120" w:type="dxa"/>
            <w:vAlign w:val="bottom"/>
            <w:tcBorders>
              <w:bottom w:val="single" w:sz="8" w:color="D8EEF4"/>
            </w:tcBorders>
            <w:shd w:val="clear" w:color="auto" w:fill="D8EEF4"/>
          </w:tcPr>
          <w:p>
            <w:pPr>
              <w:spacing w:after="0"/>
              <w:rPr>
                <w:sz w:val="22"/>
                <w:szCs w:val="22"/>
                <w:color w:val="auto"/>
              </w:rPr>
            </w:pPr>
          </w:p>
        </w:tc>
        <w:tc>
          <w:tcPr>
            <w:tcW w:w="2180" w:type="dxa"/>
            <w:vAlign w:val="bottom"/>
            <w:tcBorders>
              <w:bottom w:val="single" w:sz="8" w:color="D8EEF4"/>
            </w:tcBorders>
            <w:shd w:val="clear" w:color="auto" w:fill="D8EEF4"/>
          </w:tcPr>
          <w:p>
            <w:pPr>
              <w:spacing w:after="0"/>
              <w:rPr>
                <w:sz w:val="22"/>
                <w:szCs w:val="22"/>
                <w:color w:val="auto"/>
              </w:rPr>
            </w:pPr>
          </w:p>
        </w:tc>
        <w:tc>
          <w:tcPr>
            <w:tcW w:w="420" w:type="dxa"/>
            <w:vAlign w:val="bottom"/>
            <w:tcBorders>
              <w:bottom w:val="single" w:sz="8" w:color="D8EEF4"/>
            </w:tcBorders>
            <w:shd w:val="clear" w:color="auto" w:fill="D8EEF4"/>
          </w:tcPr>
          <w:p>
            <w:pPr>
              <w:spacing w:after="0"/>
              <w:rPr>
                <w:sz w:val="22"/>
                <w:szCs w:val="22"/>
                <w:color w:val="auto"/>
              </w:rPr>
            </w:pPr>
          </w:p>
        </w:tc>
        <w:tc>
          <w:tcPr>
            <w:tcW w:w="600" w:type="dxa"/>
            <w:vAlign w:val="bottom"/>
            <w:tcBorders>
              <w:bottom w:val="single" w:sz="8" w:color="4C4C4E"/>
            </w:tcBorders>
            <w:shd w:val="clear" w:color="auto" w:fill="D8EEF4"/>
          </w:tcPr>
          <w:p>
            <w:pPr>
              <w:jc w:val="right"/>
              <w:ind w:right="407"/>
              <w:spacing w:after="0"/>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2.05</w:t>
            </w:r>
          </w:p>
        </w:tc>
        <w:tc>
          <w:tcPr>
            <w:tcW w:w="60" w:type="dxa"/>
            <w:vAlign w:val="bottom"/>
            <w:tcBorders>
              <w:bottom w:val="single" w:sz="8" w:color="D8EEF4"/>
            </w:tcBorders>
            <w:shd w:val="clear" w:color="auto" w:fill="D8EE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gridSpan w:val="3"/>
            <w:vMerge w:val="restart"/>
          </w:tcPr>
          <w:p>
            <w:pPr>
              <w:jc w:val="center"/>
              <w:ind w:left="485"/>
              <w:spacing w:after="0"/>
              <w:rPr>
                <w:sz w:val="20"/>
                <w:szCs w:val="20"/>
                <w:color w:val="auto"/>
              </w:rPr>
            </w:pPr>
            <w:r>
              <w:rPr>
                <w:rFonts w:ascii="Times New Roman" w:cs="Times New Roman" w:eastAsia="Times New Roman" w:hAnsi="Times New Roman"/>
                <w:sz w:val="16"/>
                <w:szCs w:val="16"/>
                <w:b w:val="1"/>
                <w:bCs w:val="1"/>
                <w:color w:val="4C4C4E"/>
                <w:w w:val="99"/>
              </w:rPr>
              <w:t>For the Year Ended</w:t>
            </w:r>
          </w:p>
        </w:tc>
        <w:tc>
          <w:tcPr>
            <w:tcW w:w="420" w:type="dxa"/>
            <w:vAlign w:val="bottom"/>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86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gridSpan w:val="3"/>
          </w:tcPr>
          <w:p>
            <w:pPr>
              <w:jc w:val="center"/>
              <w:ind w:left="485"/>
              <w:spacing w:after="0"/>
              <w:rPr>
                <w:sz w:val="20"/>
                <w:szCs w:val="20"/>
                <w:color w:val="auto"/>
              </w:rPr>
            </w:pPr>
            <w:r>
              <w:rPr>
                <w:rFonts w:ascii="Times New Roman" w:cs="Times New Roman" w:eastAsia="Times New Roman" w:hAnsi="Times New Roman"/>
                <w:sz w:val="16"/>
                <w:szCs w:val="16"/>
                <w:b w:val="1"/>
                <w:bCs w:val="1"/>
                <w:color w:val="4C4C4E"/>
                <w:w w:val="98"/>
              </w:rPr>
              <w:t>December 31, 2024</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4C4C4E"/>
              </w:rPr>
              <w:t>Date Declared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C4C4E"/>
              </w:rPr>
              <w:t>Dividend</w:t>
            </w:r>
          </w:p>
        </w:tc>
        <w:tc>
          <w:tcPr>
            <w:tcW w:w="140" w:type="dxa"/>
            <w:vAlign w:val="bottom"/>
          </w:tcPr>
          <w:p>
            <w:pPr>
              <w:spacing w:after="0"/>
              <w:rPr>
                <w:sz w:val="17"/>
                <w:szCs w:val="17"/>
                <w:color w:val="auto"/>
              </w:rPr>
            </w:pPr>
          </w:p>
        </w:tc>
        <w:tc>
          <w:tcPr>
            <w:tcW w:w="2040" w:type="dxa"/>
            <w:vAlign w:val="bottom"/>
          </w:tcPr>
          <w:p>
            <w:pPr>
              <w:jc w:val="right"/>
              <w:ind w:right="505"/>
              <w:spacing w:after="0"/>
              <w:rPr>
                <w:sz w:val="20"/>
                <w:szCs w:val="20"/>
                <w:color w:val="auto"/>
              </w:rPr>
            </w:pPr>
            <w:r>
              <w:rPr>
                <w:rFonts w:ascii="Times New Roman" w:cs="Times New Roman" w:eastAsia="Times New Roman" w:hAnsi="Times New Roman"/>
                <w:sz w:val="16"/>
                <w:szCs w:val="16"/>
                <w:b w:val="1"/>
                <w:bCs w:val="1"/>
                <w:color w:val="4C4C4E"/>
              </w:rPr>
              <w:t>Record Date</w:t>
            </w:r>
          </w:p>
        </w:tc>
        <w:tc>
          <w:tcPr>
            <w:tcW w:w="120" w:type="dxa"/>
            <w:vAlign w:val="bottom"/>
          </w:tcPr>
          <w:p>
            <w:pPr>
              <w:spacing w:after="0"/>
              <w:rPr>
                <w:sz w:val="17"/>
                <w:szCs w:val="17"/>
                <w:color w:val="auto"/>
              </w:rPr>
            </w:pPr>
          </w:p>
        </w:tc>
        <w:tc>
          <w:tcPr>
            <w:tcW w:w="21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4C4C4E"/>
              </w:rPr>
              <w:t>Payment Date</w:t>
            </w:r>
          </w:p>
        </w:tc>
        <w:tc>
          <w:tcPr>
            <w:tcW w:w="42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rPr>
              <w:t>Dividend per Share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40" w:type="dxa"/>
            <w:vAlign w:val="bottom"/>
            <w:tcBorders>
              <w:top w:val="single" w:sz="8" w:color="D8EEF4"/>
            </w:tcBorders>
            <w:shd w:val="clear" w:color="auto" w:fill="D8EEF4"/>
          </w:tcPr>
          <w:p>
            <w:pPr>
              <w:spacing w:after="0"/>
              <w:rPr>
                <w:sz w:val="20"/>
                <w:szCs w:val="20"/>
                <w:color w:val="auto"/>
              </w:rPr>
            </w:pPr>
            <w:r>
              <w:rPr>
                <w:rFonts w:ascii="Times New Roman" w:cs="Times New Roman" w:eastAsia="Times New Roman" w:hAnsi="Times New Roman"/>
                <w:sz w:val="20"/>
                <w:szCs w:val="20"/>
                <w:color w:val="4C4C4E"/>
              </w:rPr>
              <w:t>February 15, 2024</w:t>
            </w:r>
          </w:p>
        </w:tc>
        <w:tc>
          <w:tcPr>
            <w:tcW w:w="20" w:type="dxa"/>
            <w:vAlign w:val="bottom"/>
            <w:tcBorders>
              <w:top w:val="single" w:sz="8" w:color="4C4C4E"/>
            </w:tcBorders>
            <w:shd w:val="clear" w:color="auto" w:fill="D8EEF4"/>
          </w:tcPr>
          <w:p>
            <w:pPr>
              <w:spacing w:after="0"/>
              <w:rPr>
                <w:sz w:val="20"/>
                <w:szCs w:val="20"/>
                <w:color w:val="auto"/>
              </w:rPr>
            </w:pPr>
          </w:p>
        </w:tc>
        <w:tc>
          <w:tcPr>
            <w:tcW w:w="1120" w:type="dxa"/>
            <w:vAlign w:val="bottom"/>
            <w:tcBorders>
              <w:top w:val="single" w:sz="8" w:color="4C4C4E"/>
            </w:tcBorders>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shd w:val="clear" w:color="auto" w:fill="D8EEF4"/>
              </w:rPr>
              <w:t>Supplemental</w:t>
            </w:r>
          </w:p>
        </w:tc>
        <w:tc>
          <w:tcPr>
            <w:tcW w:w="140" w:type="dxa"/>
            <w:vAlign w:val="bottom"/>
            <w:tcBorders>
              <w:top w:val="single" w:sz="8" w:color="D8EEF4"/>
            </w:tcBorders>
            <w:shd w:val="clear" w:color="auto" w:fill="D8EEF4"/>
          </w:tcPr>
          <w:p>
            <w:pPr>
              <w:spacing w:after="0"/>
              <w:rPr>
                <w:sz w:val="20"/>
                <w:szCs w:val="20"/>
                <w:color w:val="auto"/>
              </w:rPr>
            </w:pPr>
          </w:p>
        </w:tc>
        <w:tc>
          <w:tcPr>
            <w:tcW w:w="20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February 29, 2024</w:t>
            </w:r>
          </w:p>
        </w:tc>
        <w:tc>
          <w:tcPr>
            <w:tcW w:w="120" w:type="dxa"/>
            <w:vAlign w:val="bottom"/>
            <w:tcBorders>
              <w:top w:val="single" w:sz="8" w:color="D8EEF4"/>
            </w:tcBorders>
            <w:shd w:val="clear" w:color="auto" w:fill="D8EEF4"/>
          </w:tcPr>
          <w:p>
            <w:pPr>
              <w:spacing w:after="0"/>
              <w:rPr>
                <w:sz w:val="20"/>
                <w:szCs w:val="20"/>
                <w:color w:val="auto"/>
              </w:rPr>
            </w:pPr>
          </w:p>
        </w:tc>
        <w:tc>
          <w:tcPr>
            <w:tcW w:w="21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March 20, 2024</w:t>
            </w:r>
          </w:p>
        </w:tc>
        <w:tc>
          <w:tcPr>
            <w:tcW w:w="420" w:type="dxa"/>
            <w:vAlign w:val="bottom"/>
            <w:tcBorders>
              <w:top w:val="single" w:sz="8" w:color="D8EEF4"/>
            </w:tcBorders>
            <w:shd w:val="clear" w:color="auto" w:fill="D8EEF4"/>
          </w:tcPr>
          <w:p>
            <w:pPr>
              <w:spacing w:after="0"/>
              <w:rPr>
                <w:sz w:val="20"/>
                <w:szCs w:val="20"/>
                <w:color w:val="auto"/>
              </w:rPr>
            </w:pPr>
          </w:p>
        </w:tc>
        <w:tc>
          <w:tcPr>
            <w:tcW w:w="600" w:type="dxa"/>
            <w:vAlign w:val="bottom"/>
            <w:tcBorders>
              <w:top w:val="single" w:sz="8" w:color="4C4C4E"/>
            </w:tcBorders>
            <w:shd w:val="clear" w:color="auto" w:fill="D8EEF4"/>
          </w:tcPr>
          <w:p>
            <w:pPr>
              <w:jc w:val="right"/>
              <w:ind w:right="407"/>
              <w:spacing w:after="0"/>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0.08</w:t>
            </w:r>
          </w:p>
        </w:tc>
        <w:tc>
          <w:tcPr>
            <w:tcW w:w="60" w:type="dxa"/>
            <w:vAlign w:val="bottom"/>
            <w:tcBorders>
              <w:top w:val="single" w:sz="8" w:color="D8EEF4"/>
            </w:tcBorders>
            <w:shd w:val="clear" w:color="auto" w:fill="D8EE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4C4C4E"/>
              </w:rPr>
              <w:t>February 15, 2024</w:t>
            </w:r>
          </w:p>
        </w:tc>
        <w:tc>
          <w:tcPr>
            <w:tcW w:w="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15, 2024</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28, 2024</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May 1, 2024</w:t>
            </w:r>
          </w:p>
        </w:tc>
        <w:tc>
          <w:tcPr>
            <w:tcW w:w="11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Supplemental</w:t>
            </w:r>
          </w:p>
        </w:tc>
        <w:tc>
          <w:tcPr>
            <w:tcW w:w="140" w:type="dxa"/>
            <w:vAlign w:val="bottom"/>
            <w:shd w:val="clear" w:color="auto" w:fill="D8EEF4"/>
          </w:tcPr>
          <w:p>
            <w:pPr>
              <w:spacing w:after="0"/>
              <w:rPr>
                <w:sz w:val="21"/>
                <w:szCs w:val="21"/>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May 31, 2024</w:t>
            </w:r>
          </w:p>
        </w:tc>
        <w:tc>
          <w:tcPr>
            <w:tcW w:w="120" w:type="dxa"/>
            <w:vAlign w:val="bottom"/>
            <w:shd w:val="clear" w:color="auto" w:fill="D8EEF4"/>
          </w:tcPr>
          <w:p>
            <w:pPr>
              <w:spacing w:after="0"/>
              <w:rPr>
                <w:sz w:val="21"/>
                <w:szCs w:val="21"/>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June 20, 2024</w:t>
            </w:r>
          </w:p>
        </w:tc>
        <w:tc>
          <w:tcPr>
            <w:tcW w:w="420" w:type="dxa"/>
            <w:vAlign w:val="bottom"/>
            <w:shd w:val="clear" w:color="auto" w:fill="D8EEF4"/>
          </w:tcPr>
          <w:p>
            <w:pPr>
              <w:spacing w:after="0"/>
              <w:rPr>
                <w:sz w:val="21"/>
                <w:szCs w:val="21"/>
                <w:color w:val="auto"/>
              </w:rPr>
            </w:pPr>
          </w:p>
        </w:tc>
        <w:tc>
          <w:tcPr>
            <w:tcW w:w="60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0.06</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tcPr>
          <w:p>
            <w:pPr>
              <w:spacing w:after="0"/>
              <w:rPr>
                <w:sz w:val="20"/>
                <w:szCs w:val="20"/>
                <w:color w:val="auto"/>
              </w:rPr>
            </w:pPr>
            <w:r>
              <w:rPr>
                <w:rFonts w:ascii="Times New Roman" w:cs="Times New Roman" w:eastAsia="Times New Roman" w:hAnsi="Times New Roman"/>
                <w:sz w:val="20"/>
                <w:szCs w:val="20"/>
                <w:color w:val="4C4C4E"/>
              </w:rPr>
              <w:t>May 1,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14, 2024</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28, 2024</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July 31, 2024</w:t>
            </w:r>
          </w:p>
        </w:tc>
        <w:tc>
          <w:tcPr>
            <w:tcW w:w="11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Supplemental</w:t>
            </w:r>
          </w:p>
        </w:tc>
        <w:tc>
          <w:tcPr>
            <w:tcW w:w="140" w:type="dxa"/>
            <w:vAlign w:val="bottom"/>
            <w:shd w:val="clear" w:color="auto" w:fill="D8EEF4"/>
          </w:tcPr>
          <w:p>
            <w:pPr>
              <w:spacing w:after="0"/>
              <w:rPr>
                <w:sz w:val="21"/>
                <w:szCs w:val="21"/>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August 30, 2024</w:t>
            </w:r>
          </w:p>
        </w:tc>
        <w:tc>
          <w:tcPr>
            <w:tcW w:w="120" w:type="dxa"/>
            <w:vAlign w:val="bottom"/>
            <w:shd w:val="clear" w:color="auto" w:fill="D8EEF4"/>
          </w:tcPr>
          <w:p>
            <w:pPr>
              <w:spacing w:after="0"/>
              <w:rPr>
                <w:sz w:val="21"/>
                <w:szCs w:val="21"/>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September 20, 2024</w:t>
            </w:r>
          </w:p>
        </w:tc>
        <w:tc>
          <w:tcPr>
            <w:tcW w:w="420" w:type="dxa"/>
            <w:vAlign w:val="bottom"/>
            <w:shd w:val="clear" w:color="auto" w:fill="D8EEF4"/>
          </w:tcPr>
          <w:p>
            <w:pPr>
              <w:spacing w:after="0"/>
              <w:rPr>
                <w:sz w:val="21"/>
                <w:szCs w:val="21"/>
                <w:color w:val="auto"/>
              </w:rPr>
            </w:pPr>
          </w:p>
        </w:tc>
        <w:tc>
          <w:tcPr>
            <w:tcW w:w="60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0.06</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tcPr>
          <w:p>
            <w:pPr>
              <w:spacing w:after="0"/>
              <w:rPr>
                <w:sz w:val="20"/>
                <w:szCs w:val="20"/>
                <w:color w:val="auto"/>
              </w:rPr>
            </w:pPr>
            <w:r>
              <w:rPr>
                <w:rFonts w:ascii="Times New Roman" w:cs="Times New Roman" w:eastAsia="Times New Roman" w:hAnsi="Times New Roman"/>
                <w:sz w:val="20"/>
                <w:szCs w:val="20"/>
                <w:color w:val="4C4C4E"/>
              </w:rPr>
              <w:t>July 31,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16, 2024</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30, 2024</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November 5, 2024</w:t>
            </w:r>
          </w:p>
        </w:tc>
        <w:tc>
          <w:tcPr>
            <w:tcW w:w="112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Supplemental</w:t>
            </w:r>
          </w:p>
        </w:tc>
        <w:tc>
          <w:tcPr>
            <w:tcW w:w="140" w:type="dxa"/>
            <w:vAlign w:val="bottom"/>
            <w:shd w:val="clear" w:color="auto" w:fill="D8EEF4"/>
          </w:tcPr>
          <w:p>
            <w:pPr>
              <w:spacing w:after="0"/>
              <w:rPr>
                <w:sz w:val="21"/>
                <w:szCs w:val="21"/>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November 29, 2024</w:t>
            </w:r>
          </w:p>
        </w:tc>
        <w:tc>
          <w:tcPr>
            <w:tcW w:w="120" w:type="dxa"/>
            <w:vAlign w:val="bottom"/>
            <w:shd w:val="clear" w:color="auto" w:fill="D8EEF4"/>
          </w:tcPr>
          <w:p>
            <w:pPr>
              <w:spacing w:after="0"/>
              <w:rPr>
                <w:sz w:val="21"/>
                <w:szCs w:val="21"/>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December 20, 2024</w:t>
            </w:r>
          </w:p>
        </w:tc>
        <w:tc>
          <w:tcPr>
            <w:tcW w:w="420" w:type="dxa"/>
            <w:vAlign w:val="bottom"/>
            <w:shd w:val="clear" w:color="auto" w:fill="D8EEF4"/>
          </w:tcPr>
          <w:p>
            <w:pPr>
              <w:spacing w:after="0"/>
              <w:rPr>
                <w:sz w:val="21"/>
                <w:szCs w:val="21"/>
                <w:color w:val="auto"/>
              </w:rPr>
            </w:pPr>
          </w:p>
        </w:tc>
        <w:tc>
          <w:tcPr>
            <w:tcW w:w="60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0.05</w:t>
            </w:r>
          </w:p>
        </w:tc>
        <w:tc>
          <w:tcPr>
            <w:tcW w:w="60" w:type="dxa"/>
            <w:vAlign w:val="bottom"/>
            <w:shd w:val="clear" w:color="auto" w:fill="D8EE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D8EEF4"/>
            </w:tcBorders>
            <w:gridSpan w:val="2"/>
          </w:tcPr>
          <w:p>
            <w:pPr>
              <w:spacing w:after="0"/>
              <w:rPr>
                <w:sz w:val="20"/>
                <w:szCs w:val="20"/>
                <w:color w:val="auto"/>
              </w:rPr>
            </w:pPr>
            <w:r>
              <w:rPr>
                <w:rFonts w:ascii="Times New Roman" w:cs="Times New Roman" w:eastAsia="Times New Roman" w:hAnsi="Times New Roman"/>
                <w:sz w:val="20"/>
                <w:szCs w:val="20"/>
                <w:color w:val="4C4C4E"/>
              </w:rPr>
              <w:t>November 5, 2024</w:t>
            </w:r>
          </w:p>
        </w:tc>
        <w:tc>
          <w:tcPr>
            <w:tcW w:w="1120" w:type="dxa"/>
            <w:vAlign w:val="bottom"/>
            <w:tcBorders>
              <w:bottom w:val="single" w:sz="8" w:color="D8EEF4"/>
            </w:tcBorders>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Borders>
              <w:bottom w:val="single" w:sz="8" w:color="D8EEF4"/>
            </w:tcBorders>
          </w:tcPr>
          <w:p>
            <w:pPr>
              <w:spacing w:after="0"/>
              <w:rPr>
                <w:sz w:val="21"/>
                <w:szCs w:val="21"/>
                <w:color w:val="auto"/>
              </w:rPr>
            </w:pPr>
          </w:p>
        </w:tc>
        <w:tc>
          <w:tcPr>
            <w:tcW w:w="2040" w:type="dxa"/>
            <w:vAlign w:val="bottom"/>
            <w:tcBorders>
              <w:bottom w:val="single" w:sz="8" w:color="D8EEF4"/>
            </w:tcBorders>
          </w:tcPr>
          <w:p>
            <w:pPr>
              <w:jc w:val="right"/>
              <w:spacing w:after="0"/>
              <w:rPr>
                <w:sz w:val="20"/>
                <w:szCs w:val="20"/>
                <w:color w:val="auto"/>
              </w:rPr>
            </w:pPr>
            <w:r>
              <w:rPr>
                <w:rFonts w:ascii="Times New Roman" w:cs="Times New Roman" w:eastAsia="Times New Roman" w:hAnsi="Times New Roman"/>
                <w:sz w:val="20"/>
                <w:szCs w:val="20"/>
                <w:color w:val="4C4C4E"/>
              </w:rPr>
              <w:t>December 16, 2024</w:t>
            </w:r>
          </w:p>
        </w:tc>
        <w:tc>
          <w:tcPr>
            <w:tcW w:w="120" w:type="dxa"/>
            <w:vAlign w:val="bottom"/>
            <w:tcBorders>
              <w:bottom w:val="single" w:sz="8" w:color="D8EEF4"/>
            </w:tcBorders>
          </w:tcPr>
          <w:p>
            <w:pPr>
              <w:spacing w:after="0"/>
              <w:rPr>
                <w:sz w:val="21"/>
                <w:szCs w:val="21"/>
                <w:color w:val="auto"/>
              </w:rPr>
            </w:pPr>
          </w:p>
        </w:tc>
        <w:tc>
          <w:tcPr>
            <w:tcW w:w="2180" w:type="dxa"/>
            <w:vAlign w:val="bottom"/>
            <w:tcBorders>
              <w:bottom w:val="single" w:sz="8" w:color="D8EEF4"/>
            </w:tcBorders>
          </w:tcPr>
          <w:p>
            <w:pPr>
              <w:jc w:val="right"/>
              <w:spacing w:after="0"/>
              <w:rPr>
                <w:sz w:val="20"/>
                <w:szCs w:val="20"/>
                <w:color w:val="auto"/>
              </w:rPr>
            </w:pPr>
            <w:r>
              <w:rPr>
                <w:rFonts w:ascii="Times New Roman" w:cs="Times New Roman" w:eastAsia="Times New Roman" w:hAnsi="Times New Roman"/>
                <w:sz w:val="20"/>
                <w:szCs w:val="20"/>
                <w:color w:val="4C4C4E"/>
              </w:rPr>
              <w:t>December 31, 2024</w:t>
            </w:r>
          </w:p>
        </w:tc>
        <w:tc>
          <w:tcPr>
            <w:tcW w:w="420" w:type="dxa"/>
            <w:vAlign w:val="bottom"/>
            <w:tcBorders>
              <w:bottom w:val="single" w:sz="8" w:color="D8EEF4"/>
            </w:tcBorders>
          </w:tcPr>
          <w:p>
            <w:pPr>
              <w:spacing w:after="0"/>
              <w:rPr>
                <w:sz w:val="21"/>
                <w:szCs w:val="21"/>
                <w:color w:val="auto"/>
              </w:rPr>
            </w:pPr>
          </w:p>
        </w:tc>
        <w:tc>
          <w:tcPr>
            <w:tcW w:w="600" w:type="dxa"/>
            <w:vAlign w:val="bottom"/>
            <w:tcBorders>
              <w:bottom w:val="single" w:sz="8" w:color="4C4C4E"/>
            </w:tcBorders>
          </w:tcPr>
          <w:p>
            <w:pPr>
              <w:spacing w:after="0"/>
              <w:rPr>
                <w:sz w:val="21"/>
                <w:szCs w:val="21"/>
                <w:color w:val="auto"/>
              </w:rPr>
            </w:pPr>
          </w:p>
        </w:tc>
        <w:tc>
          <w:tcPr>
            <w:tcW w:w="8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Borders>
              <w:bottom w:val="single" w:sz="8" w:color="D8EEF4"/>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60" w:type="dxa"/>
            <w:vAlign w:val="bottom"/>
            <w:tcBorders>
              <w:bottom w:val="single" w:sz="8" w:color="D8EEF4"/>
            </w:tcBorders>
            <w:gridSpan w:val="2"/>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Dividends Declared</w:t>
            </w:r>
          </w:p>
        </w:tc>
        <w:tc>
          <w:tcPr>
            <w:tcW w:w="1120" w:type="dxa"/>
            <w:vAlign w:val="bottom"/>
            <w:tcBorders>
              <w:bottom w:val="single" w:sz="8" w:color="D8EEF4"/>
            </w:tcBorders>
            <w:shd w:val="clear" w:color="auto" w:fill="D8EEF4"/>
          </w:tcPr>
          <w:p>
            <w:pPr>
              <w:spacing w:after="0"/>
              <w:rPr>
                <w:sz w:val="22"/>
                <w:szCs w:val="22"/>
                <w:color w:val="auto"/>
              </w:rPr>
            </w:pPr>
          </w:p>
        </w:tc>
        <w:tc>
          <w:tcPr>
            <w:tcW w:w="140" w:type="dxa"/>
            <w:vAlign w:val="bottom"/>
            <w:tcBorders>
              <w:bottom w:val="single" w:sz="8" w:color="D8EEF4"/>
            </w:tcBorders>
            <w:shd w:val="clear" w:color="auto" w:fill="D8EEF4"/>
          </w:tcPr>
          <w:p>
            <w:pPr>
              <w:spacing w:after="0"/>
              <w:rPr>
                <w:sz w:val="22"/>
                <w:szCs w:val="22"/>
                <w:color w:val="auto"/>
              </w:rPr>
            </w:pPr>
          </w:p>
        </w:tc>
        <w:tc>
          <w:tcPr>
            <w:tcW w:w="2040" w:type="dxa"/>
            <w:vAlign w:val="bottom"/>
            <w:tcBorders>
              <w:bottom w:val="single" w:sz="8" w:color="D8EEF4"/>
            </w:tcBorders>
            <w:shd w:val="clear" w:color="auto" w:fill="D8EEF4"/>
          </w:tcPr>
          <w:p>
            <w:pPr>
              <w:spacing w:after="0"/>
              <w:rPr>
                <w:sz w:val="22"/>
                <w:szCs w:val="22"/>
                <w:color w:val="auto"/>
              </w:rPr>
            </w:pPr>
          </w:p>
        </w:tc>
        <w:tc>
          <w:tcPr>
            <w:tcW w:w="120" w:type="dxa"/>
            <w:vAlign w:val="bottom"/>
            <w:tcBorders>
              <w:bottom w:val="single" w:sz="8" w:color="D8EEF4"/>
            </w:tcBorders>
            <w:shd w:val="clear" w:color="auto" w:fill="D8EEF4"/>
          </w:tcPr>
          <w:p>
            <w:pPr>
              <w:spacing w:after="0"/>
              <w:rPr>
                <w:sz w:val="22"/>
                <w:szCs w:val="22"/>
                <w:color w:val="auto"/>
              </w:rPr>
            </w:pPr>
          </w:p>
        </w:tc>
        <w:tc>
          <w:tcPr>
            <w:tcW w:w="2180" w:type="dxa"/>
            <w:vAlign w:val="bottom"/>
            <w:tcBorders>
              <w:bottom w:val="single" w:sz="8" w:color="D8EEF4"/>
            </w:tcBorders>
            <w:shd w:val="clear" w:color="auto" w:fill="D8EEF4"/>
          </w:tcPr>
          <w:p>
            <w:pPr>
              <w:spacing w:after="0"/>
              <w:rPr>
                <w:sz w:val="22"/>
                <w:szCs w:val="22"/>
                <w:color w:val="auto"/>
              </w:rPr>
            </w:pPr>
          </w:p>
        </w:tc>
        <w:tc>
          <w:tcPr>
            <w:tcW w:w="420" w:type="dxa"/>
            <w:vAlign w:val="bottom"/>
            <w:tcBorders>
              <w:bottom w:val="single" w:sz="8" w:color="D8EEF4"/>
            </w:tcBorders>
            <w:shd w:val="clear" w:color="auto" w:fill="D8EEF4"/>
          </w:tcPr>
          <w:p>
            <w:pPr>
              <w:spacing w:after="0"/>
              <w:rPr>
                <w:sz w:val="22"/>
                <w:szCs w:val="22"/>
                <w:color w:val="auto"/>
              </w:rPr>
            </w:pPr>
          </w:p>
        </w:tc>
        <w:tc>
          <w:tcPr>
            <w:tcW w:w="600" w:type="dxa"/>
            <w:vAlign w:val="bottom"/>
            <w:tcBorders>
              <w:bottom w:val="single" w:sz="8" w:color="4C4C4E"/>
            </w:tcBorders>
            <w:shd w:val="clear" w:color="auto" w:fill="D8EEF4"/>
          </w:tcPr>
          <w:p>
            <w:pPr>
              <w:jc w:val="right"/>
              <w:ind w:right="407"/>
              <w:spacing w:after="0"/>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2.09</w:t>
            </w:r>
          </w:p>
        </w:tc>
        <w:tc>
          <w:tcPr>
            <w:tcW w:w="60" w:type="dxa"/>
            <w:vAlign w:val="bottom"/>
            <w:tcBorders>
              <w:bottom w:val="single" w:sz="8" w:color="D8EEF4"/>
            </w:tcBorders>
            <w:shd w:val="clear" w:color="auto" w:fill="D8EE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86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-3594735</wp:posOffset>
            </wp:positionV>
            <wp:extent cx="48018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4">
                      <a:extLst>
                        <a:ext uri="{28A0092B-C50C-407E-A947-70E740481C1C}"/>
                      </a:extLst>
                    </a:blip>
                    <a:srcRect/>
                    <a:stretch>
                      <a:fillRect/>
                    </a:stretch>
                  </pic:blipFill>
                  <pic:spPr bwMode="auto">
                    <a:xfrm>
                      <a:off x="0" y="0"/>
                      <a:ext cx="4801870" cy="3810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-1590675</wp:posOffset>
            </wp:positionV>
            <wp:extent cx="480187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5">
                      <a:extLst>
                        <a:ext uri="{28A0092B-C50C-407E-A947-70E740481C1C}"/>
                      </a:extLst>
                    </a:blip>
                    <a:srcRect/>
                    <a:stretch>
                      <a:fillRect/>
                    </a:stretch>
                  </pic:blipFill>
                  <pic:spPr bwMode="auto">
                    <a:xfrm>
                      <a:off x="0" y="0"/>
                      <a:ext cx="4801870" cy="38100"/>
                    </a:xfrm>
                    <a:prstGeom prst="rect">
                      <a:avLst/>
                    </a:prstGeom>
                    <a:noFill/>
                  </pic:spPr>
                </pic:pic>
              </a:graphicData>
            </a:graphic>
          </wp:anchor>
        </w:drawing>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F-50</w:t>
      </w:r>
    </w:p>
    <w:p>
      <w:pPr>
        <w:sectPr>
          <w:pgSz w:w="11880" w:h="15480" w:orient="portrait"/>
          <w:cols w:equalWidth="0" w:num="1">
            <w:col w:w="10800"/>
          </w:cols>
          <w:pgMar w:left="540" w:top="750" w:right="540" w:bottom="6"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98"/>
        </w:trPr>
        <w:tc>
          <w:tcPr>
            <w:tcW w:w="3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
          </w:tcPr>
          <w:p>
            <w:pPr>
              <w:jc w:val="right"/>
              <w:ind w:right="1102"/>
              <w:spacing w:after="0"/>
              <w:rPr>
                <w:sz w:val="20"/>
                <w:szCs w:val="20"/>
                <w:color w:val="auto"/>
              </w:rPr>
            </w:pPr>
            <w:r>
              <w:rPr>
                <w:rFonts w:ascii="Times New Roman" w:cs="Times New Roman" w:eastAsia="Times New Roman" w:hAnsi="Times New Roman"/>
                <w:sz w:val="16"/>
                <w:szCs w:val="16"/>
                <w:b w:val="1"/>
                <w:bCs w:val="1"/>
                <w:color w:val="4C4C4E"/>
              </w:rPr>
              <w:t>For the Year Ended</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gridSpan w:val="3"/>
          </w:tcPr>
          <w:p>
            <w:pPr>
              <w:jc w:val="right"/>
              <w:ind w:right="1142"/>
              <w:spacing w:after="0"/>
              <w:rPr>
                <w:sz w:val="20"/>
                <w:szCs w:val="20"/>
                <w:color w:val="auto"/>
              </w:rPr>
            </w:pPr>
            <w:r>
              <w:rPr>
                <w:rFonts w:ascii="Times New Roman" w:cs="Times New Roman" w:eastAsia="Times New Roman" w:hAnsi="Times New Roman"/>
                <w:sz w:val="16"/>
                <w:szCs w:val="16"/>
                <w:b w:val="1"/>
                <w:bCs w:val="1"/>
                <w:color w:val="4C4C4E"/>
              </w:rPr>
              <w:t>December 31, 2023</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24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16"/>
                <w:szCs w:val="16"/>
                <w:b w:val="1"/>
                <w:bCs w:val="1"/>
                <w:color w:val="4C4C4E"/>
              </w:rPr>
              <w:t>Date Declared</w:t>
            </w:r>
          </w:p>
        </w:tc>
        <w:tc>
          <w:tcPr>
            <w:tcW w:w="1140" w:type="dxa"/>
            <w:vAlign w:val="bottom"/>
            <w:tcBorders>
              <w:bottom w:val="single" w:sz="8" w:color="4C4C4E"/>
            </w:tcBorders>
          </w:tcPr>
          <w:p>
            <w:pPr>
              <w:jc w:val="center"/>
              <w:spacing w:after="0"/>
              <w:rPr>
                <w:sz w:val="20"/>
                <w:szCs w:val="20"/>
                <w:color w:val="auto"/>
              </w:rPr>
            </w:pPr>
            <w:r>
              <w:rPr>
                <w:rFonts w:ascii="Times New Roman" w:cs="Times New Roman" w:eastAsia="Times New Roman" w:hAnsi="Times New Roman"/>
                <w:sz w:val="16"/>
                <w:szCs w:val="16"/>
                <w:b w:val="1"/>
                <w:bCs w:val="1"/>
                <w:color w:val="4C4C4E"/>
              </w:rPr>
              <w:t>Dividend</w:t>
            </w:r>
          </w:p>
        </w:tc>
        <w:tc>
          <w:tcPr>
            <w:tcW w:w="140" w:type="dxa"/>
            <w:vAlign w:val="bottom"/>
            <w:tcBorders>
              <w:bottom w:val="single" w:sz="8" w:color="D8EEF4"/>
            </w:tcBorders>
          </w:tcPr>
          <w:p>
            <w:pPr>
              <w:spacing w:after="0"/>
              <w:rPr>
                <w:sz w:val="17"/>
                <w:szCs w:val="17"/>
                <w:color w:val="auto"/>
              </w:rPr>
            </w:pPr>
          </w:p>
        </w:tc>
        <w:tc>
          <w:tcPr>
            <w:tcW w:w="2040" w:type="dxa"/>
            <w:vAlign w:val="bottom"/>
            <w:tcBorders>
              <w:bottom w:val="single" w:sz="8" w:color="4C4C4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C4C4E"/>
              </w:rPr>
              <w:t>Record Date</w:t>
            </w:r>
          </w:p>
        </w:tc>
        <w:tc>
          <w:tcPr>
            <w:tcW w:w="120" w:type="dxa"/>
            <w:vAlign w:val="bottom"/>
            <w:tcBorders>
              <w:bottom w:val="single" w:sz="8" w:color="D8EEF4"/>
            </w:tcBorders>
          </w:tcPr>
          <w:p>
            <w:pPr>
              <w:spacing w:after="0"/>
              <w:rPr>
                <w:sz w:val="17"/>
                <w:szCs w:val="17"/>
                <w:color w:val="auto"/>
              </w:rPr>
            </w:pPr>
          </w:p>
        </w:tc>
        <w:tc>
          <w:tcPr>
            <w:tcW w:w="2180" w:type="dxa"/>
            <w:vAlign w:val="bottom"/>
            <w:tcBorders>
              <w:bottom w:val="single" w:sz="8" w:color="4C4C4E"/>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4C4C4E"/>
              </w:rPr>
              <w:t>Payment Date</w:t>
            </w:r>
          </w:p>
        </w:tc>
        <w:tc>
          <w:tcPr>
            <w:tcW w:w="420" w:type="dxa"/>
            <w:vAlign w:val="bottom"/>
            <w:tcBorders>
              <w:bottom w:val="single" w:sz="8" w:color="D8EEF4"/>
            </w:tcBorders>
          </w:tcPr>
          <w:p>
            <w:pPr>
              <w:spacing w:after="0"/>
              <w:rPr>
                <w:sz w:val="17"/>
                <w:szCs w:val="17"/>
                <w:color w:val="auto"/>
              </w:rPr>
            </w:pPr>
          </w:p>
        </w:tc>
        <w:tc>
          <w:tcPr>
            <w:tcW w:w="1460" w:type="dxa"/>
            <w:vAlign w:val="bottom"/>
            <w:tcBorders>
              <w:bottom w:val="single" w:sz="8" w:color="4C4C4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rPr>
              <w:t>Dividend per Share</w:t>
            </w:r>
          </w:p>
        </w:tc>
        <w:tc>
          <w:tcPr>
            <w:tcW w:w="60" w:type="dxa"/>
            <w:vAlign w:val="bottom"/>
            <w:tcBorders>
              <w:bottom w:val="single" w:sz="8" w:color="D8EEF4"/>
            </w:tcBorders>
          </w:tcPr>
          <w:p>
            <w:pPr>
              <w:spacing w:after="0"/>
              <w:rPr>
                <w:sz w:val="17"/>
                <w:szCs w:val="17"/>
                <w:color w:val="auto"/>
              </w:rPr>
            </w:pPr>
          </w:p>
        </w:tc>
      </w:tr>
      <w:tr>
        <w:trPr>
          <w:trHeight w:val="239"/>
        </w:trPr>
        <w:tc>
          <w:tcPr>
            <w:tcW w:w="32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February 16, 2023</w:t>
            </w:r>
          </w:p>
        </w:tc>
        <w:tc>
          <w:tcPr>
            <w:tcW w:w="114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shd w:val="clear" w:color="auto" w:fill="D8EEF4"/>
              </w:rPr>
              <w:t>Supplemental</w:t>
            </w:r>
          </w:p>
        </w:tc>
        <w:tc>
          <w:tcPr>
            <w:tcW w:w="140" w:type="dxa"/>
            <w:vAlign w:val="bottom"/>
            <w:shd w:val="clear" w:color="auto" w:fill="D8EEF4"/>
          </w:tcPr>
          <w:p>
            <w:pPr>
              <w:spacing w:after="0"/>
              <w:rPr>
                <w:sz w:val="20"/>
                <w:szCs w:val="20"/>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February 28, 2023</w:t>
            </w:r>
          </w:p>
        </w:tc>
        <w:tc>
          <w:tcPr>
            <w:tcW w:w="120" w:type="dxa"/>
            <w:vAlign w:val="bottom"/>
            <w:shd w:val="clear" w:color="auto" w:fill="D8EEF4"/>
          </w:tcPr>
          <w:p>
            <w:pPr>
              <w:spacing w:after="0"/>
              <w:rPr>
                <w:sz w:val="20"/>
                <w:szCs w:val="20"/>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March 20, 2023</w:t>
            </w:r>
          </w:p>
        </w:tc>
        <w:tc>
          <w:tcPr>
            <w:tcW w:w="420" w:type="dxa"/>
            <w:vAlign w:val="bottom"/>
            <w:shd w:val="clear" w:color="auto" w:fill="D8EEF4"/>
          </w:tcPr>
          <w:p>
            <w:pPr>
              <w:spacing w:after="0"/>
              <w:rPr>
                <w:sz w:val="20"/>
                <w:szCs w:val="20"/>
                <w:color w:val="auto"/>
              </w:rPr>
            </w:pPr>
          </w:p>
        </w:tc>
        <w:tc>
          <w:tcPr>
            <w:tcW w:w="600" w:type="dxa"/>
            <w:vAlign w:val="bottom"/>
            <w:shd w:val="clear" w:color="auto" w:fill="D8EEF4"/>
          </w:tcPr>
          <w:p>
            <w:pPr>
              <w:jc w:val="right"/>
              <w:ind w:right="407"/>
              <w:spacing w:after="0"/>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0.09</w:t>
            </w:r>
          </w:p>
        </w:tc>
        <w:tc>
          <w:tcPr>
            <w:tcW w:w="60" w:type="dxa"/>
            <w:vAlign w:val="bottom"/>
            <w:shd w:val="clear" w:color="auto" w:fill="D8EEF4"/>
          </w:tcPr>
          <w:p>
            <w:pPr>
              <w:spacing w:after="0"/>
              <w:rPr>
                <w:sz w:val="20"/>
                <w:szCs w:val="20"/>
                <w:color w:val="auto"/>
              </w:rPr>
            </w:pPr>
          </w:p>
        </w:tc>
      </w:tr>
      <w:tr>
        <w:trPr>
          <w:trHeight w:val="244"/>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4C4C4E"/>
              </w:rPr>
              <w:t>February 16,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15, 2023</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March 31, 2023</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Pr>
          <w:p>
            <w:pPr>
              <w:spacing w:after="0"/>
              <w:rPr>
                <w:sz w:val="21"/>
                <w:szCs w:val="21"/>
                <w:color w:val="auto"/>
              </w:rPr>
            </w:pPr>
          </w:p>
        </w:tc>
      </w:tr>
      <w:tr>
        <w:trPr>
          <w:trHeight w:val="244"/>
        </w:trPr>
        <w:tc>
          <w:tcPr>
            <w:tcW w:w="32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May 8, 2023</w:t>
            </w:r>
          </w:p>
        </w:tc>
        <w:tc>
          <w:tcPr>
            <w:tcW w:w="114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Supplemental</w:t>
            </w:r>
          </w:p>
        </w:tc>
        <w:tc>
          <w:tcPr>
            <w:tcW w:w="140" w:type="dxa"/>
            <w:vAlign w:val="bottom"/>
            <w:shd w:val="clear" w:color="auto" w:fill="D8EEF4"/>
          </w:tcPr>
          <w:p>
            <w:pPr>
              <w:spacing w:after="0"/>
              <w:rPr>
                <w:sz w:val="21"/>
                <w:szCs w:val="21"/>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May 31, 2023</w:t>
            </w:r>
          </w:p>
        </w:tc>
        <w:tc>
          <w:tcPr>
            <w:tcW w:w="120" w:type="dxa"/>
            <w:vAlign w:val="bottom"/>
            <w:shd w:val="clear" w:color="auto" w:fill="D8EEF4"/>
          </w:tcPr>
          <w:p>
            <w:pPr>
              <w:spacing w:after="0"/>
              <w:rPr>
                <w:sz w:val="21"/>
                <w:szCs w:val="21"/>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June 20, 2023</w:t>
            </w:r>
          </w:p>
        </w:tc>
        <w:tc>
          <w:tcPr>
            <w:tcW w:w="420" w:type="dxa"/>
            <w:vAlign w:val="bottom"/>
            <w:shd w:val="clear" w:color="auto" w:fill="D8EEF4"/>
          </w:tcPr>
          <w:p>
            <w:pPr>
              <w:spacing w:after="0"/>
              <w:rPr>
                <w:sz w:val="21"/>
                <w:szCs w:val="21"/>
                <w:color w:val="auto"/>
              </w:rPr>
            </w:pPr>
          </w:p>
        </w:tc>
        <w:tc>
          <w:tcPr>
            <w:tcW w:w="60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0.04</w:t>
            </w:r>
          </w:p>
        </w:tc>
        <w:tc>
          <w:tcPr>
            <w:tcW w:w="60" w:type="dxa"/>
            <w:vAlign w:val="bottom"/>
            <w:shd w:val="clear" w:color="auto" w:fill="D8EEF4"/>
          </w:tcPr>
          <w:p>
            <w:pPr>
              <w:spacing w:after="0"/>
              <w:rPr>
                <w:sz w:val="21"/>
                <w:szCs w:val="21"/>
                <w:color w:val="auto"/>
              </w:rPr>
            </w:pPr>
          </w:p>
        </w:tc>
      </w:tr>
      <w:tr>
        <w:trPr>
          <w:trHeight w:val="244"/>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4C4C4E"/>
              </w:rPr>
              <w:t>May 8,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15, 2023</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June 30, 2023</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Pr>
          <w:p>
            <w:pPr>
              <w:spacing w:after="0"/>
              <w:rPr>
                <w:sz w:val="21"/>
                <w:szCs w:val="21"/>
                <w:color w:val="auto"/>
              </w:rPr>
            </w:pPr>
          </w:p>
        </w:tc>
      </w:tr>
      <w:tr>
        <w:trPr>
          <w:trHeight w:val="244"/>
        </w:trPr>
        <w:tc>
          <w:tcPr>
            <w:tcW w:w="32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August 3, 2023</w:t>
            </w:r>
          </w:p>
        </w:tc>
        <w:tc>
          <w:tcPr>
            <w:tcW w:w="114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Supplemental</w:t>
            </w:r>
          </w:p>
        </w:tc>
        <w:tc>
          <w:tcPr>
            <w:tcW w:w="140" w:type="dxa"/>
            <w:vAlign w:val="bottom"/>
            <w:shd w:val="clear" w:color="auto" w:fill="D8EEF4"/>
          </w:tcPr>
          <w:p>
            <w:pPr>
              <w:spacing w:after="0"/>
              <w:rPr>
                <w:sz w:val="21"/>
                <w:szCs w:val="21"/>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August 31, 2023</w:t>
            </w:r>
          </w:p>
        </w:tc>
        <w:tc>
          <w:tcPr>
            <w:tcW w:w="120" w:type="dxa"/>
            <w:vAlign w:val="bottom"/>
            <w:shd w:val="clear" w:color="auto" w:fill="D8EEF4"/>
          </w:tcPr>
          <w:p>
            <w:pPr>
              <w:spacing w:after="0"/>
              <w:rPr>
                <w:sz w:val="21"/>
                <w:szCs w:val="21"/>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September 20, 2023</w:t>
            </w:r>
          </w:p>
        </w:tc>
        <w:tc>
          <w:tcPr>
            <w:tcW w:w="420" w:type="dxa"/>
            <w:vAlign w:val="bottom"/>
            <w:shd w:val="clear" w:color="auto" w:fill="D8EEF4"/>
          </w:tcPr>
          <w:p>
            <w:pPr>
              <w:spacing w:after="0"/>
              <w:rPr>
                <w:sz w:val="21"/>
                <w:szCs w:val="21"/>
                <w:color w:val="auto"/>
              </w:rPr>
            </w:pPr>
          </w:p>
        </w:tc>
        <w:tc>
          <w:tcPr>
            <w:tcW w:w="60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0.06</w:t>
            </w:r>
          </w:p>
        </w:tc>
        <w:tc>
          <w:tcPr>
            <w:tcW w:w="60" w:type="dxa"/>
            <w:vAlign w:val="bottom"/>
            <w:shd w:val="clear" w:color="auto" w:fill="D8EEF4"/>
          </w:tcPr>
          <w:p>
            <w:pPr>
              <w:spacing w:after="0"/>
              <w:rPr>
                <w:sz w:val="21"/>
                <w:szCs w:val="21"/>
                <w:color w:val="auto"/>
              </w:rPr>
            </w:pPr>
          </w:p>
        </w:tc>
      </w:tr>
      <w:tr>
        <w:trPr>
          <w:trHeight w:val="244"/>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4C4C4E"/>
              </w:rPr>
              <w:t>August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15, 2023</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September 29, 2023</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Pr>
          <w:p>
            <w:pPr>
              <w:spacing w:after="0"/>
              <w:rPr>
                <w:sz w:val="21"/>
                <w:szCs w:val="21"/>
                <w:color w:val="auto"/>
              </w:rPr>
            </w:pPr>
          </w:p>
        </w:tc>
      </w:tr>
      <w:tr>
        <w:trPr>
          <w:trHeight w:val="244"/>
        </w:trPr>
        <w:tc>
          <w:tcPr>
            <w:tcW w:w="32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November 2, 2023</w:t>
            </w:r>
          </w:p>
        </w:tc>
        <w:tc>
          <w:tcPr>
            <w:tcW w:w="1140" w:type="dxa"/>
            <w:vAlign w:val="bottom"/>
            <w:shd w:val="clear" w:color="auto" w:fill="D8EEF4"/>
          </w:tcPr>
          <w:p>
            <w:pPr>
              <w:jc w:val="center"/>
              <w:spacing w:after="0"/>
              <w:rPr>
                <w:sz w:val="20"/>
                <w:szCs w:val="20"/>
                <w:color w:val="auto"/>
              </w:rPr>
            </w:pPr>
            <w:r>
              <w:rPr>
                <w:rFonts w:ascii="Times New Roman" w:cs="Times New Roman" w:eastAsia="Times New Roman" w:hAnsi="Times New Roman"/>
                <w:sz w:val="20"/>
                <w:szCs w:val="20"/>
                <w:color w:val="4C4C4E"/>
                <w:w w:val="99"/>
              </w:rPr>
              <w:t>Supplemental</w:t>
            </w:r>
          </w:p>
        </w:tc>
        <w:tc>
          <w:tcPr>
            <w:tcW w:w="140" w:type="dxa"/>
            <w:vAlign w:val="bottom"/>
            <w:shd w:val="clear" w:color="auto" w:fill="D8EEF4"/>
          </w:tcPr>
          <w:p>
            <w:pPr>
              <w:spacing w:after="0"/>
              <w:rPr>
                <w:sz w:val="21"/>
                <w:szCs w:val="21"/>
                <w:color w:val="auto"/>
              </w:rPr>
            </w:pPr>
          </w:p>
        </w:tc>
        <w:tc>
          <w:tcPr>
            <w:tcW w:w="20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November 30, 2023</w:t>
            </w:r>
          </w:p>
        </w:tc>
        <w:tc>
          <w:tcPr>
            <w:tcW w:w="120" w:type="dxa"/>
            <w:vAlign w:val="bottom"/>
            <w:shd w:val="clear" w:color="auto" w:fill="D8EEF4"/>
          </w:tcPr>
          <w:p>
            <w:pPr>
              <w:spacing w:after="0"/>
              <w:rPr>
                <w:sz w:val="21"/>
                <w:szCs w:val="21"/>
                <w:color w:val="auto"/>
              </w:rPr>
            </w:pPr>
          </w:p>
        </w:tc>
        <w:tc>
          <w:tcPr>
            <w:tcW w:w="2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December 20, 2023</w:t>
            </w:r>
          </w:p>
        </w:tc>
        <w:tc>
          <w:tcPr>
            <w:tcW w:w="420" w:type="dxa"/>
            <w:vAlign w:val="bottom"/>
            <w:shd w:val="clear" w:color="auto" w:fill="D8EEF4"/>
          </w:tcPr>
          <w:p>
            <w:pPr>
              <w:spacing w:after="0"/>
              <w:rPr>
                <w:sz w:val="21"/>
                <w:szCs w:val="21"/>
                <w:color w:val="auto"/>
              </w:rPr>
            </w:pPr>
          </w:p>
        </w:tc>
        <w:tc>
          <w:tcPr>
            <w:tcW w:w="600" w:type="dxa"/>
            <w:vAlign w:val="bottom"/>
            <w:shd w:val="clear" w:color="auto" w:fill="D8EEF4"/>
          </w:tcPr>
          <w:p>
            <w:pPr>
              <w:spacing w:after="0"/>
              <w:rPr>
                <w:sz w:val="21"/>
                <w:szCs w:val="21"/>
                <w:color w:val="auto"/>
              </w:rPr>
            </w:pPr>
          </w:p>
        </w:tc>
        <w:tc>
          <w:tcPr>
            <w:tcW w:w="8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0.07</w:t>
            </w:r>
          </w:p>
        </w:tc>
        <w:tc>
          <w:tcPr>
            <w:tcW w:w="60" w:type="dxa"/>
            <w:vAlign w:val="bottom"/>
            <w:shd w:val="clear" w:color="auto" w:fill="D8EEF4"/>
          </w:tcPr>
          <w:p>
            <w:pPr>
              <w:spacing w:after="0"/>
              <w:rPr>
                <w:sz w:val="21"/>
                <w:szCs w:val="21"/>
                <w:color w:val="auto"/>
              </w:rPr>
            </w:pPr>
          </w:p>
        </w:tc>
      </w:tr>
      <w:tr>
        <w:trPr>
          <w:trHeight w:val="244"/>
        </w:trPr>
        <w:tc>
          <w:tcPr>
            <w:tcW w:w="3240" w:type="dxa"/>
            <w:vAlign w:val="bottom"/>
            <w:tcBorders>
              <w:bottom w:val="single" w:sz="8" w:color="D8EEF4"/>
            </w:tcBorders>
          </w:tcPr>
          <w:p>
            <w:pPr>
              <w:spacing w:after="0"/>
              <w:rPr>
                <w:sz w:val="20"/>
                <w:szCs w:val="20"/>
                <w:color w:val="auto"/>
              </w:rPr>
            </w:pPr>
            <w:r>
              <w:rPr>
                <w:rFonts w:ascii="Times New Roman" w:cs="Times New Roman" w:eastAsia="Times New Roman" w:hAnsi="Times New Roman"/>
                <w:sz w:val="20"/>
                <w:szCs w:val="20"/>
                <w:color w:val="4C4C4E"/>
              </w:rPr>
              <w:t>November 2, 2023</w:t>
            </w:r>
          </w:p>
        </w:tc>
        <w:tc>
          <w:tcPr>
            <w:tcW w:w="1140" w:type="dxa"/>
            <w:vAlign w:val="bottom"/>
            <w:tcBorders>
              <w:bottom w:val="single" w:sz="8" w:color="D8EEF4"/>
            </w:tcBorders>
          </w:tcPr>
          <w:p>
            <w:pPr>
              <w:jc w:val="center"/>
              <w:spacing w:after="0"/>
              <w:rPr>
                <w:sz w:val="20"/>
                <w:szCs w:val="20"/>
                <w:color w:val="auto"/>
              </w:rPr>
            </w:pPr>
            <w:r>
              <w:rPr>
                <w:rFonts w:ascii="Times New Roman" w:cs="Times New Roman" w:eastAsia="Times New Roman" w:hAnsi="Times New Roman"/>
                <w:sz w:val="20"/>
                <w:szCs w:val="20"/>
                <w:color w:val="4C4C4E"/>
              </w:rPr>
              <w:t>Base</w:t>
            </w:r>
          </w:p>
        </w:tc>
        <w:tc>
          <w:tcPr>
            <w:tcW w:w="140" w:type="dxa"/>
            <w:vAlign w:val="bottom"/>
            <w:tcBorders>
              <w:bottom w:val="single" w:sz="8" w:color="D8EEF4"/>
            </w:tcBorders>
          </w:tcPr>
          <w:p>
            <w:pPr>
              <w:spacing w:after="0"/>
              <w:rPr>
                <w:sz w:val="21"/>
                <w:szCs w:val="21"/>
                <w:color w:val="auto"/>
              </w:rPr>
            </w:pPr>
          </w:p>
        </w:tc>
        <w:tc>
          <w:tcPr>
            <w:tcW w:w="2040" w:type="dxa"/>
            <w:vAlign w:val="bottom"/>
            <w:tcBorders>
              <w:bottom w:val="single" w:sz="8" w:color="D8EEF4"/>
            </w:tcBorders>
          </w:tcPr>
          <w:p>
            <w:pPr>
              <w:jc w:val="right"/>
              <w:spacing w:after="0"/>
              <w:rPr>
                <w:sz w:val="20"/>
                <w:szCs w:val="20"/>
                <w:color w:val="auto"/>
              </w:rPr>
            </w:pPr>
            <w:r>
              <w:rPr>
                <w:rFonts w:ascii="Times New Roman" w:cs="Times New Roman" w:eastAsia="Times New Roman" w:hAnsi="Times New Roman"/>
                <w:sz w:val="20"/>
                <w:szCs w:val="20"/>
                <w:color w:val="4C4C4E"/>
              </w:rPr>
              <w:t>December 15, 2023</w:t>
            </w:r>
          </w:p>
        </w:tc>
        <w:tc>
          <w:tcPr>
            <w:tcW w:w="120" w:type="dxa"/>
            <w:vAlign w:val="bottom"/>
            <w:tcBorders>
              <w:bottom w:val="single" w:sz="8" w:color="D8EEF4"/>
            </w:tcBorders>
          </w:tcPr>
          <w:p>
            <w:pPr>
              <w:spacing w:after="0"/>
              <w:rPr>
                <w:sz w:val="21"/>
                <w:szCs w:val="21"/>
                <w:color w:val="auto"/>
              </w:rPr>
            </w:pPr>
          </w:p>
        </w:tc>
        <w:tc>
          <w:tcPr>
            <w:tcW w:w="2180" w:type="dxa"/>
            <w:vAlign w:val="bottom"/>
            <w:tcBorders>
              <w:bottom w:val="single" w:sz="8" w:color="D8EEF4"/>
            </w:tcBorders>
          </w:tcPr>
          <w:p>
            <w:pPr>
              <w:jc w:val="right"/>
              <w:spacing w:after="0"/>
              <w:rPr>
                <w:sz w:val="20"/>
                <w:szCs w:val="20"/>
                <w:color w:val="auto"/>
              </w:rPr>
            </w:pPr>
            <w:r>
              <w:rPr>
                <w:rFonts w:ascii="Times New Roman" w:cs="Times New Roman" w:eastAsia="Times New Roman" w:hAnsi="Times New Roman"/>
                <w:sz w:val="20"/>
                <w:szCs w:val="20"/>
                <w:color w:val="4C4C4E"/>
              </w:rPr>
              <w:t>December 29, 2023</w:t>
            </w:r>
          </w:p>
        </w:tc>
        <w:tc>
          <w:tcPr>
            <w:tcW w:w="420" w:type="dxa"/>
            <w:vAlign w:val="bottom"/>
            <w:tcBorders>
              <w:bottom w:val="single" w:sz="8" w:color="D8EEF4"/>
            </w:tcBorders>
          </w:tcPr>
          <w:p>
            <w:pPr>
              <w:spacing w:after="0"/>
              <w:rPr>
                <w:sz w:val="21"/>
                <w:szCs w:val="21"/>
                <w:color w:val="auto"/>
              </w:rPr>
            </w:pPr>
          </w:p>
        </w:tc>
        <w:tc>
          <w:tcPr>
            <w:tcW w:w="600" w:type="dxa"/>
            <w:vAlign w:val="bottom"/>
            <w:tcBorders>
              <w:bottom w:val="single" w:sz="8" w:color="4C4C4E"/>
            </w:tcBorders>
          </w:tcPr>
          <w:p>
            <w:pPr>
              <w:spacing w:after="0"/>
              <w:rPr>
                <w:sz w:val="21"/>
                <w:szCs w:val="21"/>
                <w:color w:val="auto"/>
              </w:rPr>
            </w:pPr>
          </w:p>
        </w:tc>
        <w:tc>
          <w:tcPr>
            <w:tcW w:w="8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0.46</w:t>
            </w:r>
          </w:p>
        </w:tc>
        <w:tc>
          <w:tcPr>
            <w:tcW w:w="60" w:type="dxa"/>
            <w:vAlign w:val="bottom"/>
            <w:tcBorders>
              <w:bottom w:val="single" w:sz="8" w:color="D8EEF4"/>
            </w:tcBorders>
          </w:tcPr>
          <w:p>
            <w:pPr>
              <w:spacing w:after="0"/>
              <w:rPr>
                <w:sz w:val="21"/>
                <w:szCs w:val="21"/>
                <w:color w:val="auto"/>
              </w:rPr>
            </w:pPr>
          </w:p>
        </w:tc>
      </w:tr>
      <w:tr>
        <w:trPr>
          <w:trHeight w:val="259"/>
        </w:trPr>
        <w:tc>
          <w:tcPr>
            <w:tcW w:w="3240" w:type="dxa"/>
            <w:vAlign w:val="bottom"/>
            <w:tcBorders>
              <w:bottom w:val="single" w:sz="8" w:color="D8EEF4"/>
            </w:tcBorders>
            <w:shd w:val="clear" w:color="auto" w:fill="D8EEF4"/>
          </w:tcPr>
          <w:p>
            <w:pPr>
              <w:ind w:left="200"/>
              <w:spacing w:after="0"/>
              <w:rPr>
                <w:sz w:val="20"/>
                <w:szCs w:val="20"/>
                <w:color w:val="auto"/>
              </w:rPr>
            </w:pPr>
            <w:r>
              <w:rPr>
                <w:rFonts w:ascii="Times New Roman" w:cs="Times New Roman" w:eastAsia="Times New Roman" w:hAnsi="Times New Roman"/>
                <w:sz w:val="20"/>
                <w:szCs w:val="20"/>
                <w:b w:val="1"/>
                <w:bCs w:val="1"/>
                <w:color w:val="4C4C4E"/>
              </w:rPr>
              <w:t>Total Dividends Declared</w:t>
            </w:r>
          </w:p>
        </w:tc>
        <w:tc>
          <w:tcPr>
            <w:tcW w:w="1140" w:type="dxa"/>
            <w:vAlign w:val="bottom"/>
            <w:tcBorders>
              <w:bottom w:val="single" w:sz="8" w:color="D8EEF4"/>
            </w:tcBorders>
            <w:shd w:val="clear" w:color="auto" w:fill="D8EEF4"/>
          </w:tcPr>
          <w:p>
            <w:pPr>
              <w:spacing w:after="0"/>
              <w:rPr>
                <w:sz w:val="22"/>
                <w:szCs w:val="22"/>
                <w:color w:val="auto"/>
              </w:rPr>
            </w:pPr>
          </w:p>
        </w:tc>
        <w:tc>
          <w:tcPr>
            <w:tcW w:w="140" w:type="dxa"/>
            <w:vAlign w:val="bottom"/>
            <w:tcBorders>
              <w:bottom w:val="single" w:sz="8" w:color="D8EEF4"/>
            </w:tcBorders>
            <w:shd w:val="clear" w:color="auto" w:fill="D8EEF4"/>
          </w:tcPr>
          <w:p>
            <w:pPr>
              <w:spacing w:after="0"/>
              <w:rPr>
                <w:sz w:val="22"/>
                <w:szCs w:val="22"/>
                <w:color w:val="auto"/>
              </w:rPr>
            </w:pPr>
          </w:p>
        </w:tc>
        <w:tc>
          <w:tcPr>
            <w:tcW w:w="2040" w:type="dxa"/>
            <w:vAlign w:val="bottom"/>
            <w:tcBorders>
              <w:bottom w:val="single" w:sz="8" w:color="D8EEF4"/>
            </w:tcBorders>
            <w:shd w:val="clear" w:color="auto" w:fill="D8EEF4"/>
          </w:tcPr>
          <w:p>
            <w:pPr>
              <w:spacing w:after="0"/>
              <w:rPr>
                <w:sz w:val="22"/>
                <w:szCs w:val="22"/>
                <w:color w:val="auto"/>
              </w:rPr>
            </w:pPr>
          </w:p>
        </w:tc>
        <w:tc>
          <w:tcPr>
            <w:tcW w:w="120" w:type="dxa"/>
            <w:vAlign w:val="bottom"/>
            <w:tcBorders>
              <w:bottom w:val="single" w:sz="8" w:color="D8EEF4"/>
            </w:tcBorders>
            <w:shd w:val="clear" w:color="auto" w:fill="D8EEF4"/>
          </w:tcPr>
          <w:p>
            <w:pPr>
              <w:spacing w:after="0"/>
              <w:rPr>
                <w:sz w:val="22"/>
                <w:szCs w:val="22"/>
                <w:color w:val="auto"/>
              </w:rPr>
            </w:pPr>
          </w:p>
        </w:tc>
        <w:tc>
          <w:tcPr>
            <w:tcW w:w="2180" w:type="dxa"/>
            <w:vAlign w:val="bottom"/>
            <w:tcBorders>
              <w:bottom w:val="single" w:sz="8" w:color="D8EEF4"/>
            </w:tcBorders>
            <w:shd w:val="clear" w:color="auto" w:fill="D8EEF4"/>
          </w:tcPr>
          <w:p>
            <w:pPr>
              <w:spacing w:after="0"/>
              <w:rPr>
                <w:sz w:val="22"/>
                <w:szCs w:val="22"/>
                <w:color w:val="auto"/>
              </w:rPr>
            </w:pPr>
          </w:p>
        </w:tc>
        <w:tc>
          <w:tcPr>
            <w:tcW w:w="420" w:type="dxa"/>
            <w:vAlign w:val="bottom"/>
            <w:tcBorders>
              <w:bottom w:val="single" w:sz="8" w:color="D8EEF4"/>
            </w:tcBorders>
            <w:shd w:val="clear" w:color="auto" w:fill="D8EEF4"/>
          </w:tcPr>
          <w:p>
            <w:pPr>
              <w:spacing w:after="0"/>
              <w:rPr>
                <w:sz w:val="22"/>
                <w:szCs w:val="22"/>
                <w:color w:val="auto"/>
              </w:rPr>
            </w:pPr>
          </w:p>
        </w:tc>
        <w:tc>
          <w:tcPr>
            <w:tcW w:w="600" w:type="dxa"/>
            <w:vAlign w:val="bottom"/>
            <w:tcBorders>
              <w:bottom w:val="single" w:sz="8" w:color="4C4C4E"/>
            </w:tcBorders>
            <w:shd w:val="clear" w:color="auto" w:fill="D8EEF4"/>
          </w:tcPr>
          <w:p>
            <w:pPr>
              <w:jc w:val="right"/>
              <w:ind w:right="407"/>
              <w:spacing w:after="0"/>
              <w:rPr>
                <w:sz w:val="20"/>
                <w:szCs w:val="20"/>
                <w:color w:val="auto"/>
              </w:rPr>
            </w:pPr>
            <w:r>
              <w:rPr>
                <w:rFonts w:ascii="Times New Roman" w:cs="Times New Roman" w:eastAsia="Times New Roman" w:hAnsi="Times New Roman"/>
                <w:sz w:val="20"/>
                <w:szCs w:val="20"/>
                <w:color w:val="4C4C4E"/>
                <w:w w:val="79"/>
              </w:rPr>
              <w:t>$</w:t>
            </w:r>
          </w:p>
        </w:tc>
        <w:tc>
          <w:tcPr>
            <w:tcW w:w="860" w:type="dxa"/>
            <w:vAlign w:val="bottom"/>
            <w:tcBorders>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2.10</w:t>
            </w:r>
          </w:p>
        </w:tc>
        <w:tc>
          <w:tcPr>
            <w:tcW w:w="60" w:type="dxa"/>
            <w:vAlign w:val="bottom"/>
            <w:tcBorders>
              <w:bottom w:val="single" w:sz="8" w:color="D8EEF4"/>
            </w:tcBorders>
            <w:shd w:val="clear" w:color="auto" w:fill="D8EEF4"/>
          </w:tcPr>
          <w:p>
            <w:pPr>
              <w:spacing w:after="0"/>
              <w:rPr>
                <w:sz w:val="22"/>
                <w:szCs w:val="22"/>
                <w:color w:val="auto"/>
              </w:rPr>
            </w:pPr>
          </w:p>
        </w:tc>
      </w:tr>
      <w:tr>
        <w:trPr>
          <w:trHeight w:val="20"/>
        </w:trPr>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860" w:type="dxa"/>
            <w:vAlign w:val="bottom"/>
            <w:tcBorders>
              <w:bottom w:val="single" w:sz="8" w:color="4C4C4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-1590675</wp:posOffset>
            </wp:positionV>
            <wp:extent cx="480187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6">
                      <a:extLst>
                        <a:ext uri="{28A0092B-C50C-407E-A947-70E740481C1C}"/>
                      </a:extLst>
                    </a:blip>
                    <a:srcRect/>
                    <a:stretch>
                      <a:fillRect/>
                    </a:stretch>
                  </pic:blipFill>
                  <pic:spPr bwMode="auto">
                    <a:xfrm>
                      <a:off x="0" y="0"/>
                      <a:ext cx="4801870" cy="38100"/>
                    </a:xfrm>
                    <a:prstGeom prst="rect">
                      <a:avLst/>
                    </a:prstGeom>
                    <a:noFill/>
                  </pic:spPr>
                </pic:pic>
              </a:graphicData>
            </a:graphic>
          </wp:anchor>
        </w:drawing>
      </w:r>
    </w:p>
    <w:p>
      <w:pPr>
        <w:spacing w:after="0" w:line="201" w:lineRule="exact"/>
        <w:rPr>
          <w:sz w:val="20"/>
          <w:szCs w:val="20"/>
          <w:color w:val="auto"/>
        </w:rPr>
      </w:pPr>
    </w:p>
    <w:p>
      <w:pPr>
        <w:ind w:right="40" w:firstLine="245"/>
        <w:spacing w:after="0" w:line="277" w:lineRule="auto"/>
        <w:rPr>
          <w:sz w:val="20"/>
          <w:szCs w:val="20"/>
          <w:color w:val="auto"/>
        </w:rPr>
      </w:pPr>
      <w:r>
        <w:rPr>
          <w:rFonts w:ascii="Times New Roman" w:cs="Times New Roman" w:eastAsia="Times New Roman" w:hAnsi="Times New Roman"/>
          <w:sz w:val="20"/>
          <w:szCs w:val="20"/>
          <w:color w:val="4C4C4E"/>
        </w:rPr>
        <w:t>The dividends declared during the years ended December 31, 2025, December 31, 2024 and December 31, 2023 were derived from net investment income and long-term capital gains, determined on a tax basis.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12. Income Taxes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tax character of shareholder distributions attributable to the fiscal years ended December 31, 2025, December 31, 2024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December 31, 2023 were as follows:</w:t>
      </w:r>
    </w:p>
    <w:p>
      <w:pPr>
        <w:spacing w:after="0" w:line="248"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428"/>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4C4C4E"/>
                <w:w w:val="99"/>
              </w:rPr>
              <w:t>Year Ended</w:t>
            </w:r>
          </w:p>
        </w:tc>
        <w:tc>
          <w:tcPr>
            <w:tcW w:w="20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4C4C4E"/>
                <w:w w:val="99"/>
              </w:rPr>
              <w:t>Year Ended</w:t>
            </w:r>
          </w:p>
        </w:tc>
      </w:tr>
      <w:tr>
        <w:trPr>
          <w:trHeight w:val="203"/>
        </w:trPr>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188"/>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20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4C4C4E"/>
              </w:rPr>
              <w:t>December 31, 2023</w:t>
            </w:r>
          </w:p>
        </w:tc>
      </w:tr>
      <w:tr>
        <w:trPr>
          <w:trHeight w:val="225"/>
        </w:trPr>
        <w:tc>
          <w:tcPr>
            <w:tcW w:w="3760" w:type="dxa"/>
            <w:vAlign w:val="bottom"/>
            <w:tcBorders>
              <w:top w:val="single" w:sz="8" w:color="D8EEF4"/>
            </w:tcBorders>
            <w:gridSpan w:val="2"/>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 xml:space="preserve">Ordinary Income </w:t>
            </w:r>
            <w:r>
              <w:rPr>
                <w:rFonts w:ascii="Times New Roman" w:cs="Times New Roman" w:eastAsia="Times New Roman" w:hAnsi="Times New Roman"/>
                <w:sz w:val="26"/>
                <w:szCs w:val="26"/>
                <w:color w:val="4C4C4E"/>
                <w:vertAlign w:val="superscript"/>
              </w:rPr>
              <w:t>(1)</w:t>
            </w:r>
          </w:p>
        </w:tc>
        <w:tc>
          <w:tcPr>
            <w:tcW w:w="180" w:type="dxa"/>
            <w:vAlign w:val="bottom"/>
            <w:tcBorders>
              <w:top w:val="single" w:sz="8" w:color="4C4C4E"/>
            </w:tcBorders>
            <w:shd w:val="clear" w:color="auto" w:fill="D8EEF4"/>
          </w:tcPr>
          <w:p>
            <w:pPr>
              <w:jc w:val="right"/>
              <w:ind w:right="15"/>
              <w:spacing w:after="0"/>
              <w:rPr>
                <w:sz w:val="20"/>
                <w:szCs w:val="20"/>
                <w:color w:val="auto"/>
              </w:rPr>
            </w:pPr>
            <w:r>
              <w:rPr>
                <w:rFonts w:ascii="Times New Roman" w:cs="Times New Roman" w:eastAsia="Times New Roman" w:hAnsi="Times New Roman"/>
                <w:sz w:val="17"/>
                <w:szCs w:val="17"/>
                <w:color w:val="4C4C4E"/>
                <w:w w:val="70"/>
              </w:rPr>
              <w:t>$</w:t>
            </w:r>
          </w:p>
        </w:tc>
        <w:tc>
          <w:tcPr>
            <w:tcW w:w="16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181,964</w:t>
            </w:r>
          </w:p>
        </w:tc>
        <w:tc>
          <w:tcPr>
            <w:tcW w:w="220" w:type="dxa"/>
            <w:vAlign w:val="bottom"/>
            <w:tcBorders>
              <w:top w:val="single" w:sz="8" w:color="D8EEF4"/>
            </w:tcBorders>
            <w:shd w:val="clear" w:color="auto" w:fill="D8EEF4"/>
          </w:tcPr>
          <w:p>
            <w:pPr>
              <w:spacing w:after="0"/>
              <w:rPr>
                <w:sz w:val="19"/>
                <w:szCs w:val="19"/>
                <w:color w:val="auto"/>
              </w:rPr>
            </w:pPr>
          </w:p>
        </w:tc>
        <w:tc>
          <w:tcPr>
            <w:tcW w:w="1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6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186,880</w:t>
            </w:r>
          </w:p>
        </w:tc>
        <w:tc>
          <w:tcPr>
            <w:tcW w:w="220" w:type="dxa"/>
            <w:vAlign w:val="bottom"/>
            <w:tcBorders>
              <w:top w:val="single" w:sz="8" w:color="D8EEF4"/>
            </w:tcBorders>
            <w:shd w:val="clear" w:color="auto" w:fill="D8EEF4"/>
          </w:tcPr>
          <w:p>
            <w:pPr>
              <w:spacing w:after="0"/>
              <w:rPr>
                <w:sz w:val="19"/>
                <w:szCs w:val="19"/>
                <w:color w:val="auto"/>
              </w:rPr>
            </w:pPr>
          </w:p>
        </w:tc>
        <w:tc>
          <w:tcPr>
            <w:tcW w:w="2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7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151,336</w:t>
            </w:r>
          </w:p>
        </w:tc>
        <w:tc>
          <w:tcPr>
            <w:tcW w:w="80" w:type="dxa"/>
            <w:vAlign w:val="bottom"/>
            <w:tcBorders>
              <w:top w:val="single" w:sz="8" w:color="D8EEF4"/>
            </w:tcBorders>
            <w:shd w:val="clear" w:color="auto" w:fill="D8EEF4"/>
          </w:tcPr>
          <w:p>
            <w:pPr>
              <w:spacing w:after="0"/>
              <w:rPr>
                <w:sz w:val="19"/>
                <w:szCs w:val="19"/>
                <w:color w:val="auto"/>
              </w:rPr>
            </w:pPr>
          </w:p>
        </w:tc>
      </w:tr>
      <w:tr>
        <w:trPr>
          <w:trHeight w:val="230"/>
        </w:trPr>
        <w:tc>
          <w:tcPr>
            <w:tcW w:w="3760" w:type="dxa"/>
            <w:vAlign w:val="bottom"/>
            <w:tcBorders>
              <w:bottom w:val="single" w:sz="8" w:color="D8EEF4"/>
            </w:tcBorders>
            <w:gridSpan w:val="2"/>
          </w:tcPr>
          <w:p>
            <w:pPr>
              <w:spacing w:after="0"/>
              <w:rPr>
                <w:sz w:val="20"/>
                <w:szCs w:val="20"/>
                <w:color w:val="auto"/>
              </w:rPr>
            </w:pPr>
            <w:r>
              <w:rPr>
                <w:rFonts w:ascii="Times New Roman" w:cs="Times New Roman" w:eastAsia="Times New Roman" w:hAnsi="Times New Roman"/>
                <w:sz w:val="20"/>
                <w:szCs w:val="20"/>
                <w:color w:val="4C4C4E"/>
              </w:rPr>
              <w:t>Long Term Capital Gains</w:t>
            </w:r>
          </w:p>
        </w:tc>
        <w:tc>
          <w:tcPr>
            <w:tcW w:w="180" w:type="dxa"/>
            <w:vAlign w:val="bottom"/>
            <w:tcBorders>
              <w:bottom w:val="single" w:sz="8" w:color="4C4C4E"/>
            </w:tcBorders>
          </w:tcPr>
          <w:p>
            <w:pPr>
              <w:spacing w:after="0"/>
              <w:rPr>
                <w:sz w:val="19"/>
                <w:szCs w:val="19"/>
                <w:color w:val="auto"/>
              </w:rPr>
            </w:pPr>
          </w:p>
        </w:tc>
        <w:tc>
          <w:tcPr>
            <w:tcW w:w="166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10,903</w:t>
            </w:r>
          </w:p>
        </w:tc>
        <w:tc>
          <w:tcPr>
            <w:tcW w:w="220" w:type="dxa"/>
            <w:vAlign w:val="bottom"/>
            <w:tcBorders>
              <w:bottom w:val="single" w:sz="8" w:color="D8EEF4"/>
            </w:tcBorders>
          </w:tcPr>
          <w:p>
            <w:pPr>
              <w:spacing w:after="0"/>
              <w:rPr>
                <w:sz w:val="19"/>
                <w:szCs w:val="19"/>
                <w:color w:val="auto"/>
              </w:rPr>
            </w:pPr>
          </w:p>
        </w:tc>
        <w:tc>
          <w:tcPr>
            <w:tcW w:w="180" w:type="dxa"/>
            <w:vAlign w:val="bottom"/>
            <w:tcBorders>
              <w:bottom w:val="single" w:sz="8" w:color="4C4C4E"/>
            </w:tcBorders>
          </w:tcPr>
          <w:p>
            <w:pPr>
              <w:spacing w:after="0"/>
              <w:rPr>
                <w:sz w:val="19"/>
                <w:szCs w:val="19"/>
                <w:color w:val="auto"/>
              </w:rPr>
            </w:pPr>
          </w:p>
        </w:tc>
        <w:tc>
          <w:tcPr>
            <w:tcW w:w="164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6,563</w:t>
            </w:r>
          </w:p>
        </w:tc>
        <w:tc>
          <w:tcPr>
            <w:tcW w:w="220" w:type="dxa"/>
            <w:vAlign w:val="bottom"/>
            <w:tcBorders>
              <w:bottom w:val="single" w:sz="8" w:color="D8EEF4"/>
            </w:tcBorders>
          </w:tcPr>
          <w:p>
            <w:pPr>
              <w:spacing w:after="0"/>
              <w:rPr>
                <w:sz w:val="19"/>
                <w:szCs w:val="19"/>
                <w:color w:val="auto"/>
              </w:rPr>
            </w:pPr>
          </w:p>
        </w:tc>
        <w:tc>
          <w:tcPr>
            <w:tcW w:w="200" w:type="dxa"/>
            <w:vAlign w:val="bottom"/>
            <w:tcBorders>
              <w:bottom w:val="single" w:sz="8" w:color="4C4C4E"/>
            </w:tcBorders>
          </w:tcPr>
          <w:p>
            <w:pPr>
              <w:spacing w:after="0"/>
              <w:rPr>
                <w:sz w:val="19"/>
                <w:szCs w:val="19"/>
                <w:color w:val="auto"/>
              </w:rPr>
            </w:pPr>
          </w:p>
        </w:tc>
        <w:tc>
          <w:tcPr>
            <w:tcW w:w="1700" w:type="dxa"/>
            <w:vAlign w:val="bottom"/>
            <w:tcBorders>
              <w:bottom w:val="single" w:sz="8" w:color="4C4C4E"/>
            </w:tcBorders>
          </w:tcPr>
          <w:p>
            <w:pPr>
              <w:jc w:val="right"/>
              <w:spacing w:after="0"/>
              <w:rPr>
                <w:sz w:val="20"/>
                <w:szCs w:val="20"/>
                <w:color w:val="auto"/>
              </w:rPr>
            </w:pPr>
            <w:r>
              <w:rPr>
                <w:rFonts w:ascii="Times New Roman" w:cs="Times New Roman" w:eastAsia="Times New Roman" w:hAnsi="Times New Roman"/>
                <w:sz w:val="20"/>
                <w:szCs w:val="20"/>
                <w:color w:val="4C4C4E"/>
              </w:rPr>
              <w:t>28,630</w:t>
            </w:r>
          </w:p>
        </w:tc>
        <w:tc>
          <w:tcPr>
            <w:tcW w:w="80" w:type="dxa"/>
            <w:vAlign w:val="bottom"/>
            <w:tcBorders>
              <w:bottom w:val="single" w:sz="8" w:color="D8EEF4"/>
            </w:tcBorders>
          </w:tcPr>
          <w:p>
            <w:pPr>
              <w:spacing w:after="0"/>
              <w:rPr>
                <w:sz w:val="19"/>
                <w:szCs w:val="19"/>
                <w:color w:val="auto"/>
              </w:rPr>
            </w:pPr>
          </w:p>
        </w:tc>
      </w:tr>
      <w:tr>
        <w:trPr>
          <w:trHeight w:val="245"/>
        </w:trPr>
        <w:tc>
          <w:tcPr>
            <w:tcW w:w="3760" w:type="dxa"/>
            <w:vAlign w:val="bottom"/>
            <w:gridSpan w:val="2"/>
            <w:shd w:val="clear" w:color="auto" w:fill="D8EEF4"/>
          </w:tcPr>
          <w:p>
            <w:pPr>
              <w:spacing w:after="0" w:line="225" w:lineRule="exact"/>
              <w:rPr>
                <w:sz w:val="20"/>
                <w:szCs w:val="20"/>
                <w:color w:val="auto"/>
              </w:rPr>
            </w:pPr>
            <w:r>
              <w:rPr>
                <w:rFonts w:ascii="Times New Roman" w:cs="Times New Roman" w:eastAsia="Times New Roman" w:hAnsi="Times New Roman"/>
                <w:sz w:val="20"/>
                <w:szCs w:val="20"/>
                <w:b w:val="1"/>
                <w:bCs w:val="1"/>
                <w:color w:val="4C4C4E"/>
              </w:rPr>
              <w:t>Total</w:t>
            </w:r>
          </w:p>
        </w:tc>
        <w:tc>
          <w:tcPr>
            <w:tcW w:w="180" w:type="dxa"/>
            <w:vAlign w:val="bottom"/>
            <w:shd w:val="clear" w:color="auto" w:fill="D8EEF4"/>
          </w:tcPr>
          <w:p>
            <w:pPr>
              <w:jc w:val="right"/>
              <w:ind w:right="15"/>
              <w:spacing w:after="0"/>
              <w:rPr>
                <w:sz w:val="20"/>
                <w:szCs w:val="20"/>
                <w:color w:val="auto"/>
              </w:rPr>
            </w:pPr>
            <w:r>
              <w:rPr>
                <w:rFonts w:ascii="Times New Roman" w:cs="Times New Roman" w:eastAsia="Times New Roman" w:hAnsi="Times New Roman"/>
                <w:sz w:val="17"/>
                <w:szCs w:val="17"/>
                <w:color w:val="4C4C4E"/>
                <w:w w:val="70"/>
              </w:rPr>
              <w:t>$</w:t>
            </w:r>
          </w:p>
        </w:tc>
        <w:tc>
          <w:tcPr>
            <w:tcW w:w="1660" w:type="dxa"/>
            <w:vAlign w:val="bottom"/>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192,867</w:t>
            </w:r>
          </w:p>
        </w:tc>
        <w:tc>
          <w:tcPr>
            <w:tcW w:w="220" w:type="dxa"/>
            <w:vAlign w:val="bottom"/>
            <w:shd w:val="clear" w:color="auto" w:fill="D8EEF4"/>
          </w:tcPr>
          <w:p>
            <w:pPr>
              <w:spacing w:after="0"/>
              <w:rPr>
                <w:sz w:val="21"/>
                <w:szCs w:val="21"/>
                <w:color w:val="auto"/>
              </w:rPr>
            </w:pPr>
          </w:p>
        </w:tc>
        <w:tc>
          <w:tcPr>
            <w:tcW w:w="180" w:type="dxa"/>
            <w:vAlign w:val="bottom"/>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640" w:type="dxa"/>
            <w:vAlign w:val="bottom"/>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193,443</w:t>
            </w:r>
          </w:p>
        </w:tc>
        <w:tc>
          <w:tcPr>
            <w:tcW w:w="220" w:type="dxa"/>
            <w:vAlign w:val="bottom"/>
            <w:shd w:val="clear" w:color="auto" w:fill="D8EEF4"/>
          </w:tcPr>
          <w:p>
            <w:pPr>
              <w:spacing w:after="0"/>
              <w:rPr>
                <w:sz w:val="21"/>
                <w:szCs w:val="21"/>
                <w:color w:val="auto"/>
              </w:rPr>
            </w:pPr>
          </w:p>
        </w:tc>
        <w:tc>
          <w:tcPr>
            <w:tcW w:w="200" w:type="dxa"/>
            <w:vAlign w:val="bottom"/>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1700" w:type="dxa"/>
            <w:vAlign w:val="bottom"/>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179,966</w:t>
            </w:r>
          </w:p>
        </w:tc>
        <w:tc>
          <w:tcPr>
            <w:tcW w:w="80" w:type="dxa"/>
            <w:vAlign w:val="bottom"/>
            <w:shd w:val="clear" w:color="auto" w:fill="D8EEF4"/>
          </w:tcPr>
          <w:p>
            <w:pPr>
              <w:spacing w:after="0"/>
              <w:rPr>
                <w:sz w:val="21"/>
                <w:szCs w:val="21"/>
                <w:color w:val="auto"/>
              </w:rPr>
            </w:pPr>
          </w:p>
        </w:tc>
      </w:tr>
      <w:tr>
        <w:trPr>
          <w:trHeight w:val="20"/>
        </w:trPr>
        <w:tc>
          <w:tcPr>
            <w:tcW w:w="3740" w:type="dxa"/>
            <w:vAlign w:val="bottom"/>
            <w:tcBorders>
              <w:top w:val="single" w:sz="8" w:color="D8EEF4"/>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180" w:type="dxa"/>
            <w:vAlign w:val="bottom"/>
            <w:tcBorders>
              <w:top w:val="single" w:sz="8" w:color="4C4C4E"/>
              <w:bottom w:val="single" w:sz="8" w:color="4C4C4E"/>
            </w:tcBorders>
          </w:tcPr>
          <w:p>
            <w:pPr>
              <w:spacing w:after="0" w:line="20" w:lineRule="exact"/>
              <w:rPr>
                <w:sz w:val="1"/>
                <w:szCs w:val="1"/>
                <w:color w:val="auto"/>
              </w:rPr>
            </w:pPr>
          </w:p>
        </w:tc>
        <w:tc>
          <w:tcPr>
            <w:tcW w:w="1660" w:type="dxa"/>
            <w:vAlign w:val="bottom"/>
            <w:tcBorders>
              <w:top w:val="single" w:sz="8" w:color="4C4C4E"/>
              <w:bottom w:val="single" w:sz="8" w:color="4C4C4E"/>
            </w:tcBorders>
          </w:tcPr>
          <w:p>
            <w:pPr>
              <w:spacing w:after="0" w:line="20" w:lineRule="exact"/>
              <w:rPr>
                <w:sz w:val="1"/>
                <w:szCs w:val="1"/>
                <w:color w:val="auto"/>
              </w:rPr>
            </w:pPr>
          </w:p>
        </w:tc>
        <w:tc>
          <w:tcPr>
            <w:tcW w:w="220" w:type="dxa"/>
            <w:vAlign w:val="bottom"/>
            <w:tcBorders>
              <w:top w:val="single" w:sz="8" w:color="D8EEF4"/>
            </w:tcBorders>
          </w:tcPr>
          <w:p>
            <w:pPr>
              <w:spacing w:after="0" w:line="20" w:lineRule="exact"/>
              <w:rPr>
                <w:sz w:val="1"/>
                <w:szCs w:val="1"/>
                <w:color w:val="auto"/>
              </w:rPr>
            </w:pPr>
          </w:p>
        </w:tc>
        <w:tc>
          <w:tcPr>
            <w:tcW w:w="180" w:type="dxa"/>
            <w:vAlign w:val="bottom"/>
            <w:tcBorders>
              <w:top w:val="single" w:sz="8" w:color="4C4C4E"/>
              <w:bottom w:val="single" w:sz="8" w:color="4C4C4E"/>
            </w:tcBorders>
          </w:tcPr>
          <w:p>
            <w:pPr>
              <w:spacing w:after="0" w:line="20" w:lineRule="exact"/>
              <w:rPr>
                <w:sz w:val="1"/>
                <w:szCs w:val="1"/>
                <w:color w:val="auto"/>
              </w:rPr>
            </w:pPr>
          </w:p>
        </w:tc>
        <w:tc>
          <w:tcPr>
            <w:tcW w:w="1640" w:type="dxa"/>
            <w:vAlign w:val="bottom"/>
            <w:tcBorders>
              <w:top w:val="single" w:sz="8" w:color="4C4C4E"/>
              <w:bottom w:val="single" w:sz="8" w:color="4C4C4E"/>
            </w:tcBorders>
          </w:tcPr>
          <w:p>
            <w:pPr>
              <w:spacing w:after="0" w:line="20" w:lineRule="exact"/>
              <w:rPr>
                <w:sz w:val="1"/>
                <w:szCs w:val="1"/>
                <w:color w:val="auto"/>
              </w:rPr>
            </w:pPr>
          </w:p>
        </w:tc>
        <w:tc>
          <w:tcPr>
            <w:tcW w:w="220" w:type="dxa"/>
            <w:vAlign w:val="bottom"/>
            <w:tcBorders>
              <w:top w:val="single" w:sz="8" w:color="D8EEF4"/>
            </w:tcBorders>
          </w:tcPr>
          <w:p>
            <w:pPr>
              <w:spacing w:after="0" w:line="20" w:lineRule="exact"/>
              <w:rPr>
                <w:sz w:val="1"/>
                <w:szCs w:val="1"/>
                <w:color w:val="auto"/>
              </w:rPr>
            </w:pPr>
          </w:p>
        </w:tc>
        <w:tc>
          <w:tcPr>
            <w:tcW w:w="200" w:type="dxa"/>
            <w:vAlign w:val="bottom"/>
            <w:tcBorders>
              <w:top w:val="single" w:sz="8" w:color="4C4C4E"/>
              <w:bottom w:val="single" w:sz="8" w:color="4C4C4E"/>
            </w:tcBorders>
          </w:tcPr>
          <w:p>
            <w:pPr>
              <w:spacing w:after="0" w:line="20" w:lineRule="exact"/>
              <w:rPr>
                <w:sz w:val="1"/>
                <w:szCs w:val="1"/>
                <w:color w:val="auto"/>
              </w:rPr>
            </w:pPr>
          </w:p>
        </w:tc>
        <w:tc>
          <w:tcPr>
            <w:tcW w:w="1700" w:type="dxa"/>
            <w:vAlign w:val="bottom"/>
            <w:tcBorders>
              <w:top w:val="single" w:sz="8" w:color="4C4C4E"/>
              <w:bottom w:val="single" w:sz="8" w:color="4C4C4E"/>
            </w:tcBorders>
          </w:tcPr>
          <w:p>
            <w:pPr>
              <w:spacing w:after="0" w:line="20" w:lineRule="exact"/>
              <w:rPr>
                <w:sz w:val="1"/>
                <w:szCs w:val="1"/>
                <w:color w:val="auto"/>
              </w:rPr>
            </w:pPr>
          </w:p>
        </w:tc>
        <w:tc>
          <w:tcPr>
            <w:tcW w:w="80" w:type="dxa"/>
            <w:vAlign w:val="bottom"/>
            <w:tcBorders>
              <w:top w:val="single" w:sz="8" w:color="D8EEF4"/>
            </w:tcBorders>
          </w:tcPr>
          <w:p>
            <w:pPr>
              <w:spacing w:after="0" w:line="20" w:lineRule="exact"/>
              <w:rPr>
                <w:sz w:val="1"/>
                <w:szCs w:val="1"/>
                <w:color w:val="auto"/>
              </w:rPr>
            </w:pPr>
          </w:p>
        </w:tc>
      </w:tr>
    </w:tbl>
    <w:p>
      <w:pPr>
        <w:spacing w:after="0" w:line="237" w:lineRule="exact"/>
        <w:rPr>
          <w:sz w:val="20"/>
          <w:szCs w:val="20"/>
          <w:color w:val="auto"/>
        </w:rPr>
      </w:pPr>
    </w:p>
    <w:p>
      <w:pPr>
        <w:ind w:left="500" w:right="100" w:hanging="500"/>
        <w:spacing w:after="0" w:line="294" w:lineRule="auto"/>
        <w:tabs>
          <w:tab w:leader="none" w:pos="500" w:val="left"/>
        </w:tabs>
        <w:numPr>
          <w:ilvl w:val="0"/>
          <w:numId w:val="100"/>
        </w:numPr>
        <w:rPr>
          <w:rFonts w:ascii="Times New Roman" w:cs="Times New Roman" w:eastAsia="Times New Roman" w:hAnsi="Times New Roman"/>
          <w:sz w:val="19"/>
          <w:szCs w:val="19"/>
          <w:color w:val="4C4C4E"/>
        </w:rPr>
      </w:pPr>
      <w:r>
        <w:rPr>
          <w:rFonts w:ascii="Times New Roman" w:cs="Times New Roman" w:eastAsia="Times New Roman" w:hAnsi="Times New Roman"/>
          <w:sz w:val="19"/>
          <w:szCs w:val="19"/>
          <w:color w:val="4C4C4E"/>
        </w:rPr>
        <w:t>For the years ended December 31, 2025, December 31, 2024 and December 31, 2023, 83.51%, 86.81% and 87.01% of ordinary income qualified as interest related dividend which is exempt from U.S. withholding tax applicable to non-U.S. shareholders.</w:t>
      </w:r>
    </w:p>
    <w:p>
      <w:pPr>
        <w:spacing w:after="0" w:line="210" w:lineRule="exact"/>
        <w:rPr>
          <w:sz w:val="20"/>
          <w:szCs w:val="20"/>
          <w:color w:val="auto"/>
        </w:rPr>
      </w:pPr>
    </w:p>
    <w:p>
      <w:pPr>
        <w:ind w:right="100" w:firstLine="245"/>
        <w:spacing w:after="0" w:line="267" w:lineRule="auto"/>
        <w:rPr>
          <w:sz w:val="20"/>
          <w:szCs w:val="20"/>
          <w:color w:val="auto"/>
        </w:rPr>
      </w:pPr>
      <w:r>
        <w:rPr>
          <w:rFonts w:ascii="Times New Roman" w:cs="Times New Roman" w:eastAsia="Times New Roman" w:hAnsi="Times New Roman"/>
          <w:sz w:val="20"/>
          <w:szCs w:val="20"/>
          <w:color w:val="4C4C4E"/>
        </w:rPr>
        <w:t>The tax basis components of distributable earnings for the years ended December 31, 2025, December 31, 2024 and December 31, 2023 were as follows:</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98"/>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140" w:type="dxa"/>
            <w:vAlign w:val="bottom"/>
          </w:tcPr>
          <w:p>
            <w:pPr>
              <w:spacing w:after="0"/>
              <w:rPr>
                <w:sz w:val="17"/>
                <w:szCs w:val="17"/>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160" w:type="dxa"/>
            <w:vAlign w:val="bottom"/>
          </w:tcPr>
          <w:p>
            <w:pPr>
              <w:spacing w:after="0"/>
              <w:rPr>
                <w:sz w:val="17"/>
                <w:szCs w:val="17"/>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4C4C4E"/>
              </w:rPr>
              <w:t>Year Ended</w:t>
            </w:r>
          </w:p>
        </w:tc>
      </w:tr>
      <w:tr>
        <w:trPr>
          <w:trHeight w:val="203"/>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4C4C4E"/>
              </w:rPr>
              <w:t>December 31, 2025</w:t>
            </w:r>
          </w:p>
        </w:tc>
        <w:tc>
          <w:tcPr>
            <w:tcW w:w="140" w:type="dxa"/>
            <w:vAlign w:val="bottom"/>
          </w:tcPr>
          <w:p>
            <w:pPr>
              <w:spacing w:after="0"/>
              <w:rPr>
                <w:sz w:val="17"/>
                <w:szCs w:val="17"/>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16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4C4C4E"/>
              </w:rPr>
              <w:t>December 31, 2023</w:t>
            </w:r>
          </w:p>
        </w:tc>
      </w:tr>
      <w:tr>
        <w:trPr>
          <w:trHeight w:val="239"/>
        </w:trPr>
        <w:tc>
          <w:tcPr>
            <w:tcW w:w="4560" w:type="dxa"/>
            <w:vAlign w:val="bottom"/>
            <w:tcBorders>
              <w:top w:val="single" w:sz="8" w:color="D8EEF4"/>
            </w:tcBorders>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Undistributed net investment income - tax basis</w:t>
            </w:r>
          </w:p>
        </w:tc>
        <w:tc>
          <w:tcPr>
            <w:tcW w:w="1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5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114,693</w:t>
            </w:r>
          </w:p>
        </w:tc>
        <w:tc>
          <w:tcPr>
            <w:tcW w:w="240" w:type="dxa"/>
            <w:vAlign w:val="bottom"/>
            <w:tcBorders>
              <w:top w:val="single" w:sz="8" w:color="D8EEF4"/>
            </w:tcBorders>
            <w:shd w:val="clear" w:color="auto" w:fill="D8EEF4"/>
          </w:tcPr>
          <w:p>
            <w:pPr>
              <w:spacing w:after="0"/>
              <w:rPr>
                <w:sz w:val="20"/>
                <w:szCs w:val="20"/>
                <w:color w:val="auto"/>
              </w:rPr>
            </w:pPr>
          </w:p>
        </w:tc>
        <w:tc>
          <w:tcPr>
            <w:tcW w:w="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5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105,332</w:t>
            </w:r>
          </w:p>
        </w:tc>
        <w:tc>
          <w:tcPr>
            <w:tcW w:w="220" w:type="dxa"/>
            <w:vAlign w:val="bottom"/>
            <w:tcBorders>
              <w:top w:val="single" w:sz="8" w:color="D8EEF4"/>
            </w:tcBorders>
            <w:shd w:val="clear" w:color="auto" w:fill="D8EEF4"/>
          </w:tcPr>
          <w:p>
            <w:pPr>
              <w:spacing w:after="0"/>
              <w:rPr>
                <w:sz w:val="20"/>
                <w:szCs w:val="20"/>
                <w:color w:val="auto"/>
              </w:rPr>
            </w:pPr>
          </w:p>
        </w:tc>
        <w:tc>
          <w:tcPr>
            <w:tcW w:w="1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5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85,002</w:t>
            </w:r>
          </w:p>
        </w:tc>
        <w:tc>
          <w:tcPr>
            <w:tcW w:w="80" w:type="dxa"/>
            <w:vAlign w:val="bottom"/>
            <w:tcBorders>
              <w:top w:val="single" w:sz="8" w:color="D8EEF4"/>
            </w:tcBorders>
            <w:shd w:val="clear" w:color="auto" w:fill="D8EEF4"/>
          </w:tcPr>
          <w:p>
            <w:pPr>
              <w:spacing w:after="0"/>
              <w:rPr>
                <w:sz w:val="20"/>
                <w:szCs w:val="20"/>
                <w:color w:val="auto"/>
              </w:rPr>
            </w:pPr>
          </w:p>
        </w:tc>
      </w:tr>
      <w:tr>
        <w:trPr>
          <w:trHeight w:val="244"/>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4C4C4E"/>
              </w:rPr>
              <w:t>Undistributed net realized gains (losses) - tax basis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(16,798)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10,903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6,562</w:t>
            </w:r>
          </w:p>
        </w:tc>
        <w:tc>
          <w:tcPr>
            <w:tcW w:w="80" w:type="dxa"/>
            <w:vAlign w:val="bottom"/>
          </w:tcPr>
          <w:p>
            <w:pPr>
              <w:spacing w:after="0"/>
              <w:rPr>
                <w:sz w:val="21"/>
                <w:szCs w:val="21"/>
                <w:color w:val="auto"/>
              </w:rPr>
            </w:pPr>
          </w:p>
        </w:tc>
      </w:tr>
      <w:tr>
        <w:trPr>
          <w:trHeight w:val="244"/>
        </w:trPr>
        <w:tc>
          <w:tcPr>
            <w:tcW w:w="456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Net unrealized gains (losses) on investments</w:t>
            </w:r>
          </w:p>
        </w:tc>
        <w:tc>
          <w:tcPr>
            <w:tcW w:w="120" w:type="dxa"/>
            <w:vAlign w:val="bottom"/>
            <w:shd w:val="clear" w:color="auto" w:fill="D8EEF4"/>
          </w:tcPr>
          <w:p>
            <w:pPr>
              <w:spacing w:after="0"/>
              <w:rPr>
                <w:sz w:val="21"/>
                <w:szCs w:val="21"/>
                <w:color w:val="auto"/>
              </w:rPr>
            </w:pPr>
          </w:p>
        </w:tc>
        <w:tc>
          <w:tcPr>
            <w:tcW w:w="1760" w:type="dxa"/>
            <w:vAlign w:val="bottom"/>
            <w:gridSpan w:val="2"/>
            <w:shd w:val="clear" w:color="auto" w:fill="D8EEF4"/>
          </w:tcPr>
          <w:p>
            <w:pPr>
              <w:jc w:val="right"/>
              <w:ind w:right="180"/>
              <w:spacing w:after="0"/>
              <w:rPr>
                <w:sz w:val="20"/>
                <w:szCs w:val="20"/>
                <w:color w:val="auto"/>
              </w:rPr>
            </w:pPr>
            <w:r>
              <w:rPr>
                <w:rFonts w:ascii="Times New Roman" w:cs="Times New Roman" w:eastAsia="Times New Roman" w:hAnsi="Times New Roman"/>
                <w:sz w:val="20"/>
                <w:szCs w:val="20"/>
                <w:color w:val="4C4C4E"/>
              </w:rPr>
              <w:t>(12,435)</w:t>
            </w:r>
          </w:p>
        </w:tc>
        <w:tc>
          <w:tcPr>
            <w:tcW w:w="140" w:type="dxa"/>
            <w:vAlign w:val="bottom"/>
            <w:shd w:val="clear" w:color="auto" w:fill="D8EEF4"/>
          </w:tcPr>
          <w:p>
            <w:pPr>
              <w:spacing w:after="0"/>
              <w:rPr>
                <w:sz w:val="21"/>
                <w:szCs w:val="21"/>
                <w:color w:val="auto"/>
              </w:rPr>
            </w:pPr>
          </w:p>
        </w:tc>
        <w:tc>
          <w:tcPr>
            <w:tcW w:w="176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20"/>
                <w:szCs w:val="20"/>
                <w:color w:val="4C4C4E"/>
              </w:rPr>
              <w:t>(9,540)</w:t>
            </w:r>
          </w:p>
        </w:tc>
        <w:tc>
          <w:tcPr>
            <w:tcW w:w="160" w:type="dxa"/>
            <w:vAlign w:val="bottom"/>
            <w:shd w:val="clear" w:color="auto" w:fill="D8EEF4"/>
          </w:tcPr>
          <w:p>
            <w:pPr>
              <w:spacing w:after="0"/>
              <w:rPr>
                <w:sz w:val="21"/>
                <w:szCs w:val="21"/>
                <w:color w:val="auto"/>
              </w:rPr>
            </w:pPr>
          </w:p>
        </w:tc>
        <w:tc>
          <w:tcPr>
            <w:tcW w:w="15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23,675</w:t>
            </w:r>
          </w:p>
        </w:tc>
        <w:tc>
          <w:tcPr>
            <w:tcW w:w="80" w:type="dxa"/>
            <w:vAlign w:val="bottom"/>
            <w:shd w:val="clear" w:color="auto" w:fill="D8EEF4"/>
          </w:tcPr>
          <w:p>
            <w:pPr>
              <w:spacing w:after="0"/>
              <w:rPr>
                <w:sz w:val="21"/>
                <w:szCs w:val="21"/>
                <w:color w:val="auto"/>
              </w:rPr>
            </w:pPr>
          </w:p>
        </w:tc>
      </w:tr>
      <w:tr>
        <w:trPr>
          <w:trHeight w:val="244"/>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4C4C4E"/>
              </w:rPr>
              <w:t>Other temporary differences</w:t>
            </w:r>
          </w:p>
        </w:tc>
        <w:tc>
          <w:tcPr>
            <w:tcW w:w="12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C4C4E"/>
              </w:rPr>
              <w:t>(3,817)</w:t>
            </w:r>
          </w:p>
        </w:tc>
        <w:tc>
          <w:tcPr>
            <w:tcW w:w="14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C4C4E"/>
              </w:rPr>
              <w:t>(8,987)</w:t>
            </w:r>
          </w:p>
        </w:tc>
        <w:tc>
          <w:tcPr>
            <w:tcW w:w="160" w:type="dxa"/>
            <w:vAlign w:val="bottom"/>
          </w:tcPr>
          <w:p>
            <w:pPr>
              <w:spacing w:after="0"/>
              <w:rPr>
                <w:sz w:val="21"/>
                <w:szCs w:val="21"/>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(14,463)</w:t>
            </w:r>
          </w:p>
        </w:tc>
      </w:tr>
      <w:tr>
        <w:trPr>
          <w:trHeight w:val="259"/>
        </w:trPr>
        <w:tc>
          <w:tcPr>
            <w:tcW w:w="4560" w:type="dxa"/>
            <w:vAlign w:val="bottom"/>
            <w:tcBorders>
              <w:top w:val="single" w:sz="8" w:color="D8EEF4"/>
            </w:tcBorders>
            <w:gridSpan w:val="2"/>
            <w:shd w:val="clear" w:color="auto" w:fill="D8EEF4"/>
          </w:tcPr>
          <w:p>
            <w:pPr>
              <w:ind w:left="400"/>
              <w:spacing w:after="0"/>
              <w:rPr>
                <w:sz w:val="20"/>
                <w:szCs w:val="20"/>
                <w:color w:val="auto"/>
              </w:rPr>
            </w:pPr>
            <w:r>
              <w:rPr>
                <w:rFonts w:ascii="Times New Roman" w:cs="Times New Roman" w:eastAsia="Times New Roman" w:hAnsi="Times New Roman"/>
                <w:sz w:val="20"/>
                <w:szCs w:val="20"/>
                <w:b w:val="1"/>
                <w:bCs w:val="1"/>
                <w:color w:val="4C4C4E"/>
              </w:rPr>
              <w:t>Total distributable earnings - book basis</w:t>
            </w:r>
          </w:p>
        </w:tc>
        <w:tc>
          <w:tcPr>
            <w:tcW w:w="1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52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81,643</w:t>
            </w:r>
          </w:p>
        </w:tc>
        <w:tc>
          <w:tcPr>
            <w:tcW w:w="240" w:type="dxa"/>
            <w:vAlign w:val="bottom"/>
            <w:tcBorders>
              <w:top w:val="single" w:sz="8" w:color="D8EEF4"/>
            </w:tcBorders>
            <w:shd w:val="clear" w:color="auto" w:fill="D8EEF4"/>
          </w:tcPr>
          <w:p>
            <w:pPr>
              <w:spacing w:after="0"/>
              <w:rPr>
                <w:sz w:val="22"/>
                <w:szCs w:val="22"/>
                <w:color w:val="auto"/>
              </w:rPr>
            </w:pPr>
          </w:p>
        </w:tc>
        <w:tc>
          <w:tcPr>
            <w:tcW w:w="1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54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97,708</w:t>
            </w:r>
          </w:p>
        </w:tc>
        <w:tc>
          <w:tcPr>
            <w:tcW w:w="220" w:type="dxa"/>
            <w:vAlign w:val="bottom"/>
            <w:tcBorders>
              <w:top w:val="single" w:sz="8" w:color="D8EEF4"/>
            </w:tcBorders>
            <w:shd w:val="clear" w:color="auto" w:fill="D8EEF4"/>
          </w:tcPr>
          <w:p>
            <w:pPr>
              <w:spacing w:after="0"/>
              <w:rPr>
                <w:sz w:val="22"/>
                <w:szCs w:val="22"/>
                <w:color w:val="auto"/>
              </w:rPr>
            </w:pPr>
          </w:p>
        </w:tc>
        <w:tc>
          <w:tcPr>
            <w:tcW w:w="16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580" w:type="dxa"/>
            <w:vAlign w:val="bottom"/>
            <w:tcBorders>
              <w:top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100,776</w:t>
            </w:r>
          </w:p>
        </w:tc>
        <w:tc>
          <w:tcPr>
            <w:tcW w:w="80" w:type="dxa"/>
            <w:vAlign w:val="bottom"/>
            <w:tcBorders>
              <w:top w:val="single" w:sz="8" w:color="D8EEF4"/>
            </w:tcBorders>
            <w:shd w:val="clear" w:color="auto" w:fill="D8EEF4"/>
          </w:tcPr>
          <w:p>
            <w:pPr>
              <w:spacing w:after="0"/>
              <w:rPr>
                <w:sz w:val="22"/>
                <w:szCs w:val="22"/>
                <w:color w:val="auto"/>
              </w:rPr>
            </w:pPr>
          </w:p>
        </w:tc>
      </w:tr>
      <w:tr>
        <w:trPr>
          <w:trHeight w:val="20"/>
        </w:trPr>
        <w:tc>
          <w:tcPr>
            <w:tcW w:w="4540" w:type="dxa"/>
            <w:vAlign w:val="bottom"/>
            <w:tcBorders>
              <w:top w:val="single" w:sz="8" w:color="D8EEF4"/>
            </w:tcBorders>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120" w:type="dxa"/>
            <w:vAlign w:val="bottom"/>
            <w:tcBorders>
              <w:top w:val="single" w:sz="8" w:color="4C4C4E"/>
              <w:bottom w:val="single" w:sz="8" w:color="4C4C4E"/>
            </w:tcBorders>
          </w:tcPr>
          <w:p>
            <w:pPr>
              <w:spacing w:after="0" w:line="20" w:lineRule="exact"/>
              <w:rPr>
                <w:sz w:val="1"/>
                <w:szCs w:val="1"/>
                <w:color w:val="auto"/>
              </w:rPr>
            </w:pPr>
          </w:p>
        </w:tc>
        <w:tc>
          <w:tcPr>
            <w:tcW w:w="1520" w:type="dxa"/>
            <w:vAlign w:val="bottom"/>
            <w:tcBorders>
              <w:top w:val="single" w:sz="8" w:color="4C4C4E"/>
              <w:bottom w:val="single" w:sz="8" w:color="4C4C4E"/>
            </w:tcBorders>
          </w:tcPr>
          <w:p>
            <w:pPr>
              <w:spacing w:after="0" w:line="20" w:lineRule="exact"/>
              <w:rPr>
                <w:sz w:val="1"/>
                <w:szCs w:val="1"/>
                <w:color w:val="auto"/>
              </w:rPr>
            </w:pPr>
          </w:p>
        </w:tc>
        <w:tc>
          <w:tcPr>
            <w:tcW w:w="240" w:type="dxa"/>
            <w:vAlign w:val="bottom"/>
            <w:tcBorders>
              <w:top w:val="single" w:sz="8" w:color="D8EEF4"/>
            </w:tcBorders>
          </w:tcPr>
          <w:p>
            <w:pPr>
              <w:spacing w:after="0" w:line="20" w:lineRule="exact"/>
              <w:rPr>
                <w:sz w:val="1"/>
                <w:szCs w:val="1"/>
                <w:color w:val="auto"/>
              </w:rPr>
            </w:pPr>
          </w:p>
        </w:tc>
        <w:tc>
          <w:tcPr>
            <w:tcW w:w="140" w:type="dxa"/>
            <w:vAlign w:val="bottom"/>
            <w:tcBorders>
              <w:top w:val="single" w:sz="8" w:color="4C4C4E"/>
              <w:bottom w:val="single" w:sz="8" w:color="4C4C4E"/>
            </w:tcBorders>
          </w:tcPr>
          <w:p>
            <w:pPr>
              <w:spacing w:after="0" w:line="20" w:lineRule="exact"/>
              <w:rPr>
                <w:sz w:val="1"/>
                <w:szCs w:val="1"/>
                <w:color w:val="auto"/>
              </w:rPr>
            </w:pPr>
          </w:p>
        </w:tc>
        <w:tc>
          <w:tcPr>
            <w:tcW w:w="1540" w:type="dxa"/>
            <w:vAlign w:val="bottom"/>
            <w:tcBorders>
              <w:top w:val="single" w:sz="8" w:color="4C4C4E"/>
              <w:bottom w:val="single" w:sz="8" w:color="4C4C4E"/>
            </w:tcBorders>
          </w:tcPr>
          <w:p>
            <w:pPr>
              <w:spacing w:after="0" w:line="20" w:lineRule="exact"/>
              <w:rPr>
                <w:sz w:val="1"/>
                <w:szCs w:val="1"/>
                <w:color w:val="auto"/>
              </w:rPr>
            </w:pPr>
          </w:p>
        </w:tc>
        <w:tc>
          <w:tcPr>
            <w:tcW w:w="220" w:type="dxa"/>
            <w:vAlign w:val="bottom"/>
            <w:tcBorders>
              <w:top w:val="single" w:sz="8" w:color="D8EEF4"/>
            </w:tcBorders>
          </w:tcPr>
          <w:p>
            <w:pPr>
              <w:spacing w:after="0" w:line="20" w:lineRule="exact"/>
              <w:rPr>
                <w:sz w:val="1"/>
                <w:szCs w:val="1"/>
                <w:color w:val="auto"/>
              </w:rPr>
            </w:pPr>
          </w:p>
        </w:tc>
        <w:tc>
          <w:tcPr>
            <w:tcW w:w="160" w:type="dxa"/>
            <w:vAlign w:val="bottom"/>
            <w:tcBorders>
              <w:top w:val="single" w:sz="8" w:color="4C4C4E"/>
              <w:bottom w:val="single" w:sz="8" w:color="4C4C4E"/>
            </w:tcBorders>
          </w:tcPr>
          <w:p>
            <w:pPr>
              <w:spacing w:after="0" w:line="20" w:lineRule="exact"/>
              <w:rPr>
                <w:sz w:val="1"/>
                <w:szCs w:val="1"/>
                <w:color w:val="auto"/>
              </w:rPr>
            </w:pPr>
          </w:p>
        </w:tc>
        <w:tc>
          <w:tcPr>
            <w:tcW w:w="1580" w:type="dxa"/>
            <w:vAlign w:val="bottom"/>
            <w:tcBorders>
              <w:top w:val="single" w:sz="8" w:color="4C4C4E"/>
              <w:bottom w:val="single" w:sz="8" w:color="4C4C4E"/>
            </w:tcBorders>
          </w:tcPr>
          <w:p>
            <w:pPr>
              <w:spacing w:after="0" w:line="20" w:lineRule="exact"/>
              <w:rPr>
                <w:sz w:val="1"/>
                <w:szCs w:val="1"/>
                <w:color w:val="auto"/>
              </w:rPr>
            </w:pPr>
          </w:p>
        </w:tc>
        <w:tc>
          <w:tcPr>
            <w:tcW w:w="80" w:type="dxa"/>
            <w:vAlign w:val="bottom"/>
            <w:tcBorders>
              <w:top w:val="single" w:sz="8" w:color="D8EEF4"/>
            </w:tcBorders>
          </w:tcPr>
          <w:p>
            <w:pPr>
              <w:spacing w:after="0" w:line="20" w:lineRule="exact"/>
              <w:rPr>
                <w:sz w:val="1"/>
                <w:szCs w:val="1"/>
                <w:color w:val="auto"/>
              </w:rPr>
            </w:pPr>
          </w:p>
        </w:tc>
      </w:tr>
    </w:tbl>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following reconciles increase in net assets resulting from operations for the fiscal years ended December 31, 2025,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C4C4E"/>
        </w:rPr>
        <w:t>December 31, 2024 and December 31, 2023, to taxable income at December 31, 2025, December 31, 2024 and December 31, 2023:</w:t>
      </w:r>
    </w:p>
    <w:p>
      <w:pPr>
        <w:spacing w:after="0" w:line="231"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4C4C4E"/>
                <w:w w:val="99"/>
              </w:rPr>
              <w:t>Year Ended</w:t>
            </w:r>
          </w:p>
        </w:tc>
        <w:tc>
          <w:tcPr>
            <w:tcW w:w="160" w:type="dxa"/>
            <w:vAlign w:val="bottom"/>
          </w:tcPr>
          <w:p>
            <w:pPr>
              <w:spacing w:after="0"/>
              <w:rPr>
                <w:sz w:val="16"/>
                <w:szCs w:val="16"/>
                <w:color w:val="auto"/>
              </w:rPr>
            </w:pP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4C4C4E"/>
              </w:rPr>
              <w:t>Year Ended</w:t>
            </w:r>
          </w:p>
        </w:tc>
        <w:tc>
          <w:tcPr>
            <w:tcW w:w="200" w:type="dxa"/>
            <w:vAlign w:val="bottom"/>
          </w:tcPr>
          <w:p>
            <w:pPr>
              <w:spacing w:after="0"/>
              <w:rPr>
                <w:sz w:val="16"/>
                <w:szCs w:val="16"/>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4C4C4E"/>
              </w:rPr>
              <w:t>Year Ended</w:t>
            </w:r>
          </w:p>
        </w:tc>
      </w:tr>
      <w:tr>
        <w:trPr>
          <w:trHeight w:val="203"/>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4C4C4E"/>
                <w:w w:val="98"/>
              </w:rPr>
              <w:t>December 31, 2025</w:t>
            </w:r>
          </w:p>
        </w:tc>
        <w:tc>
          <w:tcPr>
            <w:tcW w:w="160" w:type="dxa"/>
            <w:vAlign w:val="bottom"/>
          </w:tcPr>
          <w:p>
            <w:pPr>
              <w:spacing w:after="0"/>
              <w:rPr>
                <w:sz w:val="17"/>
                <w:szCs w:val="17"/>
                <w:color w:val="auto"/>
              </w:rPr>
            </w:pPr>
          </w:p>
        </w:tc>
        <w:tc>
          <w:tcPr>
            <w:tcW w:w="18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4C4C4E"/>
              </w:rPr>
              <w:t>December 31, 2024</w:t>
            </w:r>
          </w:p>
        </w:tc>
        <w:tc>
          <w:tcPr>
            <w:tcW w:w="200" w:type="dxa"/>
            <w:vAlign w:val="bottom"/>
          </w:tcPr>
          <w:p>
            <w:pPr>
              <w:spacing w:after="0"/>
              <w:rPr>
                <w:sz w:val="17"/>
                <w:szCs w:val="17"/>
                <w:color w:val="auto"/>
              </w:rPr>
            </w:pPr>
          </w:p>
        </w:tc>
        <w:tc>
          <w:tcPr>
            <w:tcW w:w="17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4C4C4E"/>
              </w:rPr>
              <w:t>December 31, 2023</w:t>
            </w:r>
          </w:p>
        </w:tc>
      </w:tr>
      <w:tr>
        <w:trPr>
          <w:trHeight w:val="206"/>
        </w:trPr>
        <w:tc>
          <w:tcPr>
            <w:tcW w:w="3800" w:type="dxa"/>
            <w:vAlign w:val="bottom"/>
            <w:tcBorders>
              <w:top w:val="single" w:sz="8" w:color="D8EEF4"/>
            </w:tcBorders>
            <w:gridSpan w:val="2"/>
            <w:shd w:val="clear" w:color="auto" w:fill="D8EEF4"/>
          </w:tcPr>
          <w:p>
            <w:pPr>
              <w:spacing w:after="0" w:line="206" w:lineRule="exact"/>
              <w:rPr>
                <w:sz w:val="20"/>
                <w:szCs w:val="20"/>
                <w:color w:val="auto"/>
              </w:rPr>
            </w:pPr>
            <w:r>
              <w:rPr>
                <w:rFonts w:ascii="Times New Roman" w:cs="Times New Roman" w:eastAsia="Times New Roman" w:hAnsi="Times New Roman"/>
                <w:sz w:val="20"/>
                <w:szCs w:val="20"/>
                <w:color w:val="4C4C4E"/>
              </w:rPr>
              <w:t>Increase in net assets resulting from</w:t>
            </w:r>
          </w:p>
        </w:tc>
        <w:tc>
          <w:tcPr>
            <w:tcW w:w="160" w:type="dxa"/>
            <w:vAlign w:val="bottom"/>
            <w:tcBorders>
              <w:top w:val="single" w:sz="8" w:color="4C4C4E"/>
            </w:tcBorders>
            <w:shd w:val="clear" w:color="auto" w:fill="D8EEF4"/>
          </w:tcPr>
          <w:p>
            <w:pPr>
              <w:spacing w:after="0"/>
              <w:rPr>
                <w:sz w:val="17"/>
                <w:szCs w:val="17"/>
                <w:color w:val="auto"/>
              </w:rPr>
            </w:pPr>
          </w:p>
        </w:tc>
        <w:tc>
          <w:tcPr>
            <w:tcW w:w="1620" w:type="dxa"/>
            <w:vAlign w:val="bottom"/>
            <w:tcBorders>
              <w:top w:val="single" w:sz="8" w:color="4C4C4E"/>
            </w:tcBorders>
            <w:shd w:val="clear" w:color="auto" w:fill="D8EEF4"/>
          </w:tcPr>
          <w:p>
            <w:pPr>
              <w:spacing w:after="0"/>
              <w:rPr>
                <w:sz w:val="17"/>
                <w:szCs w:val="17"/>
                <w:color w:val="auto"/>
              </w:rPr>
            </w:pPr>
          </w:p>
        </w:tc>
        <w:tc>
          <w:tcPr>
            <w:tcW w:w="20" w:type="dxa"/>
            <w:vAlign w:val="bottom"/>
            <w:tcBorders>
              <w:top w:val="single" w:sz="8" w:color="D8EEF4"/>
            </w:tcBorders>
            <w:shd w:val="clear" w:color="auto" w:fill="D8EEF4"/>
          </w:tcPr>
          <w:p>
            <w:pPr>
              <w:spacing w:after="0"/>
              <w:rPr>
                <w:sz w:val="17"/>
                <w:szCs w:val="17"/>
                <w:color w:val="auto"/>
              </w:rPr>
            </w:pPr>
          </w:p>
        </w:tc>
        <w:tc>
          <w:tcPr>
            <w:tcW w:w="220" w:type="dxa"/>
            <w:vAlign w:val="bottom"/>
            <w:tcBorders>
              <w:top w:val="single" w:sz="8" w:color="D8EEF4"/>
            </w:tcBorders>
            <w:shd w:val="clear" w:color="auto" w:fill="D8EEF4"/>
          </w:tcPr>
          <w:p>
            <w:pPr>
              <w:spacing w:after="0"/>
              <w:rPr>
                <w:sz w:val="17"/>
                <w:szCs w:val="17"/>
                <w:color w:val="auto"/>
              </w:rPr>
            </w:pPr>
          </w:p>
        </w:tc>
        <w:tc>
          <w:tcPr>
            <w:tcW w:w="20" w:type="dxa"/>
            <w:vAlign w:val="bottom"/>
            <w:tcBorders>
              <w:top w:val="single" w:sz="8" w:color="D8EEF4"/>
            </w:tcBorders>
            <w:shd w:val="clear" w:color="auto" w:fill="D8EEF4"/>
          </w:tcPr>
          <w:p>
            <w:pPr>
              <w:spacing w:after="0"/>
              <w:rPr>
                <w:sz w:val="17"/>
                <w:szCs w:val="17"/>
                <w:color w:val="auto"/>
              </w:rPr>
            </w:pPr>
          </w:p>
        </w:tc>
        <w:tc>
          <w:tcPr>
            <w:tcW w:w="160" w:type="dxa"/>
            <w:vAlign w:val="bottom"/>
            <w:tcBorders>
              <w:top w:val="single" w:sz="8" w:color="4C4C4E"/>
            </w:tcBorders>
            <w:shd w:val="clear" w:color="auto" w:fill="D8EEF4"/>
          </w:tcPr>
          <w:p>
            <w:pPr>
              <w:spacing w:after="0"/>
              <w:rPr>
                <w:sz w:val="17"/>
                <w:szCs w:val="17"/>
                <w:color w:val="auto"/>
              </w:rPr>
            </w:pPr>
          </w:p>
        </w:tc>
        <w:tc>
          <w:tcPr>
            <w:tcW w:w="1640" w:type="dxa"/>
            <w:vAlign w:val="bottom"/>
            <w:tcBorders>
              <w:top w:val="single" w:sz="8" w:color="4C4C4E"/>
            </w:tcBorders>
            <w:shd w:val="clear" w:color="auto" w:fill="D8EEF4"/>
          </w:tcPr>
          <w:p>
            <w:pPr>
              <w:spacing w:after="0"/>
              <w:rPr>
                <w:sz w:val="17"/>
                <w:szCs w:val="17"/>
                <w:color w:val="auto"/>
              </w:rPr>
            </w:pPr>
          </w:p>
        </w:tc>
        <w:tc>
          <w:tcPr>
            <w:tcW w:w="240" w:type="dxa"/>
            <w:vAlign w:val="bottom"/>
            <w:tcBorders>
              <w:top w:val="single" w:sz="8" w:color="D8EEF4"/>
            </w:tcBorders>
            <w:shd w:val="clear" w:color="auto" w:fill="D8EEF4"/>
          </w:tcPr>
          <w:p>
            <w:pPr>
              <w:spacing w:after="0"/>
              <w:rPr>
                <w:sz w:val="17"/>
                <w:szCs w:val="17"/>
                <w:color w:val="auto"/>
              </w:rPr>
            </w:pPr>
          </w:p>
        </w:tc>
        <w:tc>
          <w:tcPr>
            <w:tcW w:w="200" w:type="dxa"/>
            <w:vAlign w:val="bottom"/>
            <w:tcBorders>
              <w:top w:val="single" w:sz="8" w:color="4C4C4E"/>
            </w:tcBorders>
            <w:shd w:val="clear" w:color="auto" w:fill="D8EEF4"/>
          </w:tcPr>
          <w:p>
            <w:pPr>
              <w:spacing w:after="0"/>
              <w:rPr>
                <w:sz w:val="17"/>
                <w:szCs w:val="17"/>
                <w:color w:val="auto"/>
              </w:rPr>
            </w:pPr>
          </w:p>
        </w:tc>
        <w:tc>
          <w:tcPr>
            <w:tcW w:w="1660" w:type="dxa"/>
            <w:vAlign w:val="bottom"/>
            <w:tcBorders>
              <w:top w:val="single" w:sz="8" w:color="4C4C4E"/>
            </w:tcBorders>
            <w:shd w:val="clear" w:color="auto" w:fill="D8EEF4"/>
          </w:tcPr>
          <w:p>
            <w:pPr>
              <w:spacing w:after="0"/>
              <w:rPr>
                <w:sz w:val="17"/>
                <w:szCs w:val="17"/>
                <w:color w:val="auto"/>
              </w:rPr>
            </w:pPr>
          </w:p>
        </w:tc>
        <w:tc>
          <w:tcPr>
            <w:tcW w:w="100" w:type="dxa"/>
            <w:vAlign w:val="bottom"/>
            <w:tcBorders>
              <w:top w:val="single" w:sz="8" w:color="D8EEF4"/>
            </w:tcBorders>
            <w:shd w:val="clear" w:color="auto" w:fill="D8EEF4"/>
          </w:tcPr>
          <w:p>
            <w:pPr>
              <w:spacing w:after="0"/>
              <w:rPr>
                <w:sz w:val="17"/>
                <w:szCs w:val="17"/>
                <w:color w:val="auto"/>
              </w:rPr>
            </w:pPr>
          </w:p>
        </w:tc>
      </w:tr>
      <w:tr>
        <w:trPr>
          <w:trHeight w:val="249"/>
        </w:trPr>
        <w:tc>
          <w:tcPr>
            <w:tcW w:w="3800" w:type="dxa"/>
            <w:vAlign w:val="bottom"/>
            <w:gridSpan w:val="2"/>
            <w:shd w:val="clear" w:color="auto" w:fill="D8EEF4"/>
          </w:tcPr>
          <w:p>
            <w:pPr>
              <w:ind w:left="160"/>
              <w:spacing w:after="0"/>
              <w:rPr>
                <w:sz w:val="20"/>
                <w:szCs w:val="20"/>
                <w:color w:val="auto"/>
              </w:rPr>
            </w:pPr>
            <w:r>
              <w:rPr>
                <w:rFonts w:ascii="Times New Roman" w:cs="Times New Roman" w:eastAsia="Times New Roman" w:hAnsi="Times New Roman"/>
                <w:sz w:val="20"/>
                <w:szCs w:val="20"/>
                <w:color w:val="4C4C4E"/>
              </w:rPr>
              <w:t>operations</w:t>
            </w: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6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170,517</w:t>
            </w:r>
          </w:p>
        </w:tc>
        <w:tc>
          <w:tcPr>
            <w:tcW w:w="20" w:type="dxa"/>
            <w:vAlign w:val="bottom"/>
            <w:shd w:val="clear" w:color="auto" w:fill="D8EEF4"/>
          </w:tcPr>
          <w:p>
            <w:pPr>
              <w:spacing w:after="0"/>
              <w:rPr>
                <w:sz w:val="21"/>
                <w:szCs w:val="21"/>
                <w:color w:val="auto"/>
              </w:rPr>
            </w:pPr>
          </w:p>
        </w:tc>
        <w:tc>
          <w:tcPr>
            <w:tcW w:w="220" w:type="dxa"/>
            <w:vAlign w:val="bottom"/>
            <w:shd w:val="clear" w:color="auto" w:fill="D8EEF4"/>
          </w:tcPr>
          <w:p>
            <w:pPr>
              <w:spacing w:after="0"/>
              <w:rPr>
                <w:sz w:val="21"/>
                <w:szCs w:val="21"/>
                <w:color w:val="auto"/>
              </w:rPr>
            </w:pPr>
          </w:p>
        </w:tc>
        <w:tc>
          <w:tcPr>
            <w:tcW w:w="20" w:type="dxa"/>
            <w:vAlign w:val="bottom"/>
            <w:shd w:val="clear" w:color="auto" w:fill="D8EEF4"/>
          </w:tcPr>
          <w:p>
            <w:pPr>
              <w:spacing w:after="0"/>
              <w:rPr>
                <w:sz w:val="21"/>
                <w:szCs w:val="21"/>
                <w:color w:val="auto"/>
              </w:rPr>
            </w:pPr>
          </w:p>
        </w:tc>
        <w:tc>
          <w:tcPr>
            <w:tcW w:w="1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6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186,566</w:t>
            </w:r>
          </w:p>
        </w:tc>
        <w:tc>
          <w:tcPr>
            <w:tcW w:w="240" w:type="dxa"/>
            <w:vAlign w:val="bottom"/>
            <w:shd w:val="clear" w:color="auto" w:fill="D8EEF4"/>
          </w:tcPr>
          <w:p>
            <w:pPr>
              <w:spacing w:after="0"/>
              <w:rPr>
                <w:sz w:val="21"/>
                <w:szCs w:val="21"/>
                <w:color w:val="auto"/>
              </w:rPr>
            </w:pPr>
          </w:p>
        </w:tc>
        <w:tc>
          <w:tcPr>
            <w:tcW w:w="2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166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222,023</w:t>
            </w:r>
          </w:p>
        </w:tc>
        <w:tc>
          <w:tcPr>
            <w:tcW w:w="100" w:type="dxa"/>
            <w:vAlign w:val="bottom"/>
            <w:shd w:val="clear" w:color="auto" w:fill="D8EEF4"/>
          </w:tcPr>
          <w:p>
            <w:pPr>
              <w:spacing w:after="0"/>
              <w:rPr>
                <w:sz w:val="21"/>
                <w:szCs w:val="21"/>
                <w:color w:val="auto"/>
              </w:rPr>
            </w:pPr>
          </w:p>
        </w:tc>
      </w:tr>
      <w:tr>
        <w:trPr>
          <w:trHeight w:val="230"/>
        </w:trPr>
        <w:tc>
          <w:tcPr>
            <w:tcW w:w="3800" w:type="dxa"/>
            <w:vAlign w:val="bottom"/>
            <w:gridSpan w:val="2"/>
          </w:tcPr>
          <w:p>
            <w:pPr>
              <w:spacing w:after="0"/>
              <w:rPr>
                <w:sz w:val="20"/>
                <w:szCs w:val="20"/>
                <w:color w:val="auto"/>
              </w:rPr>
            </w:pPr>
            <w:r>
              <w:rPr>
                <w:rFonts w:ascii="Times New Roman" w:cs="Times New Roman" w:eastAsia="Times New Roman" w:hAnsi="Times New Roman"/>
                <w:sz w:val="20"/>
                <w:szCs w:val="20"/>
                <w:color w:val="4C4C4E"/>
              </w:rPr>
              <w:t>Adjustments: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800" w:type="dxa"/>
            <w:vAlign w:val="bottom"/>
            <w:gridSpan w:val="2"/>
            <w:shd w:val="clear" w:color="auto" w:fill="D8EEF4"/>
          </w:tcPr>
          <w:p>
            <w:pPr>
              <w:spacing w:after="0"/>
              <w:rPr>
                <w:sz w:val="20"/>
                <w:szCs w:val="20"/>
                <w:color w:val="auto"/>
              </w:rPr>
            </w:pPr>
            <w:r>
              <w:rPr>
                <w:rFonts w:ascii="Times New Roman" w:cs="Times New Roman" w:eastAsia="Times New Roman" w:hAnsi="Times New Roman"/>
                <w:sz w:val="20"/>
                <w:szCs w:val="20"/>
                <w:color w:val="4C4C4E"/>
              </w:rPr>
              <w:t>Net unrealized (gains) losses on investments</w:t>
            </w:r>
          </w:p>
        </w:tc>
        <w:tc>
          <w:tcPr>
            <w:tcW w:w="160" w:type="dxa"/>
            <w:vAlign w:val="bottom"/>
            <w:shd w:val="clear" w:color="auto" w:fill="D8EEF4"/>
          </w:tcPr>
          <w:p>
            <w:pPr>
              <w:spacing w:after="0"/>
              <w:rPr>
                <w:sz w:val="20"/>
                <w:szCs w:val="20"/>
                <w:color w:val="auto"/>
              </w:rPr>
            </w:pPr>
          </w:p>
        </w:tc>
        <w:tc>
          <w:tcPr>
            <w:tcW w:w="1860" w:type="dxa"/>
            <w:vAlign w:val="bottom"/>
            <w:gridSpan w:val="3"/>
            <w:shd w:val="clear" w:color="auto" w:fill="D8EEF4"/>
          </w:tcPr>
          <w:p>
            <w:pPr>
              <w:jc w:val="right"/>
              <w:ind w:right="180"/>
              <w:spacing w:after="0"/>
              <w:rPr>
                <w:sz w:val="20"/>
                <w:szCs w:val="20"/>
                <w:color w:val="auto"/>
              </w:rPr>
            </w:pPr>
            <w:r>
              <w:rPr>
                <w:rFonts w:ascii="Times New Roman" w:cs="Times New Roman" w:eastAsia="Times New Roman" w:hAnsi="Times New Roman"/>
                <w:sz w:val="20"/>
                <w:szCs w:val="20"/>
                <w:color w:val="4C4C4E"/>
              </w:rPr>
              <w:t>(9,382)</w:t>
            </w:r>
          </w:p>
        </w:tc>
        <w:tc>
          <w:tcPr>
            <w:tcW w:w="2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164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42,024</w:t>
            </w:r>
          </w:p>
        </w:tc>
        <w:tc>
          <w:tcPr>
            <w:tcW w:w="240" w:type="dxa"/>
            <w:vAlign w:val="bottom"/>
            <w:shd w:val="clear" w:color="auto" w:fill="D8EEF4"/>
          </w:tcPr>
          <w:p>
            <w:pPr>
              <w:spacing w:after="0"/>
              <w:rPr>
                <w:sz w:val="20"/>
                <w:szCs w:val="20"/>
                <w:color w:val="auto"/>
              </w:rPr>
            </w:pPr>
          </w:p>
        </w:tc>
        <w:tc>
          <w:tcPr>
            <w:tcW w:w="200" w:type="dxa"/>
            <w:vAlign w:val="bottom"/>
            <w:shd w:val="clear" w:color="auto" w:fill="D8EEF4"/>
          </w:tcPr>
          <w:p>
            <w:pPr>
              <w:spacing w:after="0"/>
              <w:rPr>
                <w:sz w:val="20"/>
                <w:szCs w:val="20"/>
                <w:color w:val="auto"/>
              </w:rPr>
            </w:pPr>
          </w:p>
        </w:tc>
        <w:tc>
          <w:tcPr>
            <w:tcW w:w="1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rPr>
              <w:t>(13,191)</w:t>
            </w:r>
          </w:p>
        </w:tc>
      </w:tr>
      <w:tr>
        <w:trPr>
          <w:trHeight w:val="230"/>
        </w:trPr>
        <w:tc>
          <w:tcPr>
            <w:tcW w:w="38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C4C4E"/>
              </w:rPr>
              <w:t>Other income for tax purposes, not book</w:t>
            </w:r>
          </w:p>
        </w:tc>
        <w:tc>
          <w:tcPr>
            <w:tcW w:w="16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3,536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C4C4E"/>
              </w:rPr>
              <w:t>(1,815)</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2,680</w:t>
            </w:r>
          </w:p>
        </w:tc>
        <w:tc>
          <w:tcPr>
            <w:tcW w:w="100" w:type="dxa"/>
            <w:vAlign w:val="bottom"/>
          </w:tcPr>
          <w:p>
            <w:pPr>
              <w:spacing w:after="0"/>
              <w:rPr>
                <w:sz w:val="20"/>
                <w:szCs w:val="20"/>
                <w:color w:val="auto"/>
              </w:rPr>
            </w:pPr>
          </w:p>
        </w:tc>
      </w:tr>
      <w:tr>
        <w:trPr>
          <w:trHeight w:val="230"/>
        </w:trPr>
        <w:tc>
          <w:tcPr>
            <w:tcW w:w="3800" w:type="dxa"/>
            <w:vAlign w:val="bottom"/>
            <w:gridSpan w:val="2"/>
            <w:shd w:val="clear" w:color="auto" w:fill="D8EEF4"/>
          </w:tcPr>
          <w:p>
            <w:pPr>
              <w:ind w:left="200"/>
              <w:spacing w:after="0"/>
              <w:rPr>
                <w:sz w:val="20"/>
                <w:szCs w:val="20"/>
                <w:color w:val="auto"/>
              </w:rPr>
            </w:pPr>
            <w:r>
              <w:rPr>
                <w:rFonts w:ascii="Times New Roman" w:cs="Times New Roman" w:eastAsia="Times New Roman" w:hAnsi="Times New Roman"/>
                <w:sz w:val="20"/>
                <w:szCs w:val="20"/>
                <w:color w:val="4C4C4E"/>
              </w:rPr>
              <w:t>Deferred organization costs</w:t>
            </w:r>
          </w:p>
        </w:tc>
        <w:tc>
          <w:tcPr>
            <w:tcW w:w="160" w:type="dxa"/>
            <w:vAlign w:val="bottom"/>
            <w:shd w:val="clear" w:color="auto" w:fill="D8EEF4"/>
          </w:tcPr>
          <w:p>
            <w:pPr>
              <w:spacing w:after="0"/>
              <w:rPr>
                <w:sz w:val="20"/>
                <w:szCs w:val="20"/>
                <w:color w:val="auto"/>
              </w:rPr>
            </w:pPr>
          </w:p>
        </w:tc>
        <w:tc>
          <w:tcPr>
            <w:tcW w:w="1860" w:type="dxa"/>
            <w:vAlign w:val="bottom"/>
            <w:gridSpan w:val="3"/>
            <w:shd w:val="clear" w:color="auto" w:fill="D8EEF4"/>
          </w:tcPr>
          <w:p>
            <w:pPr>
              <w:jc w:val="right"/>
              <w:ind w:right="180"/>
              <w:spacing w:after="0"/>
              <w:rPr>
                <w:sz w:val="20"/>
                <w:szCs w:val="20"/>
                <w:color w:val="auto"/>
              </w:rPr>
            </w:pPr>
            <w:r>
              <w:rPr>
                <w:rFonts w:ascii="Times New Roman" w:cs="Times New Roman" w:eastAsia="Times New Roman" w:hAnsi="Times New Roman"/>
                <w:sz w:val="20"/>
                <w:szCs w:val="20"/>
                <w:color w:val="4C4C4E"/>
              </w:rPr>
              <w:t>(100)</w:t>
            </w:r>
          </w:p>
        </w:tc>
        <w:tc>
          <w:tcPr>
            <w:tcW w:w="20" w:type="dxa"/>
            <w:vAlign w:val="bottom"/>
            <w:shd w:val="clear" w:color="auto" w:fill="D8EEF4"/>
          </w:tcPr>
          <w:p>
            <w:pPr>
              <w:spacing w:after="0"/>
              <w:rPr>
                <w:sz w:val="20"/>
                <w:szCs w:val="20"/>
                <w:color w:val="auto"/>
              </w:rPr>
            </w:pPr>
          </w:p>
        </w:tc>
        <w:tc>
          <w:tcPr>
            <w:tcW w:w="160" w:type="dxa"/>
            <w:vAlign w:val="bottom"/>
            <w:shd w:val="clear" w:color="auto" w:fill="D8EEF4"/>
          </w:tcPr>
          <w:p>
            <w:pPr>
              <w:spacing w:after="0"/>
              <w:rPr>
                <w:sz w:val="20"/>
                <w:szCs w:val="20"/>
                <w:color w:val="auto"/>
              </w:rPr>
            </w:pPr>
          </w:p>
        </w:tc>
        <w:tc>
          <w:tcPr>
            <w:tcW w:w="1880" w:type="dxa"/>
            <w:vAlign w:val="bottom"/>
            <w:gridSpan w:val="2"/>
            <w:shd w:val="clear" w:color="auto" w:fill="D8EEF4"/>
          </w:tcPr>
          <w:p>
            <w:pPr>
              <w:jc w:val="right"/>
              <w:ind w:right="180"/>
              <w:spacing w:after="0"/>
              <w:rPr>
                <w:sz w:val="20"/>
                <w:szCs w:val="20"/>
                <w:color w:val="auto"/>
              </w:rPr>
            </w:pPr>
            <w:r>
              <w:rPr>
                <w:rFonts w:ascii="Times New Roman" w:cs="Times New Roman" w:eastAsia="Times New Roman" w:hAnsi="Times New Roman"/>
                <w:sz w:val="20"/>
                <w:szCs w:val="20"/>
                <w:color w:val="4C4C4E"/>
              </w:rPr>
              <w:t>(100)</w:t>
            </w:r>
          </w:p>
        </w:tc>
        <w:tc>
          <w:tcPr>
            <w:tcW w:w="200" w:type="dxa"/>
            <w:vAlign w:val="bottom"/>
            <w:shd w:val="clear" w:color="auto" w:fill="D8EEF4"/>
          </w:tcPr>
          <w:p>
            <w:pPr>
              <w:spacing w:after="0"/>
              <w:rPr>
                <w:sz w:val="20"/>
                <w:szCs w:val="20"/>
                <w:color w:val="auto"/>
              </w:rPr>
            </w:pPr>
          </w:p>
        </w:tc>
        <w:tc>
          <w:tcPr>
            <w:tcW w:w="1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rPr>
              <w:t>(100)</w:t>
            </w:r>
          </w:p>
        </w:tc>
      </w:tr>
      <w:tr>
        <w:trPr>
          <w:trHeight w:val="230"/>
        </w:trPr>
        <w:tc>
          <w:tcPr>
            <w:tcW w:w="38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C4C4E"/>
              </w:rPr>
              <w:t>Other expenses not currently deductible</w:t>
            </w:r>
          </w:p>
        </w:tc>
        <w:tc>
          <w:tcPr>
            <w:tcW w:w="16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C4C4E"/>
              </w:rPr>
              <w:t>5,346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3,809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2,263</w:t>
            </w:r>
          </w:p>
        </w:tc>
        <w:tc>
          <w:tcPr>
            <w:tcW w:w="100" w:type="dxa"/>
            <w:vAlign w:val="bottom"/>
          </w:tcPr>
          <w:p>
            <w:pPr>
              <w:spacing w:after="0"/>
              <w:rPr>
                <w:sz w:val="20"/>
                <w:szCs w:val="20"/>
                <w:color w:val="auto"/>
              </w:rPr>
            </w:pPr>
          </w:p>
        </w:tc>
      </w:tr>
      <w:tr>
        <w:trPr>
          <w:trHeight w:val="250"/>
        </w:trPr>
        <w:tc>
          <w:tcPr>
            <w:tcW w:w="3800" w:type="dxa"/>
            <w:vAlign w:val="bottom"/>
            <w:gridSpan w:val="2"/>
            <w:shd w:val="clear" w:color="auto" w:fill="D8EEF4"/>
          </w:tcPr>
          <w:p>
            <w:pPr>
              <w:ind w:left="200"/>
              <w:spacing w:after="0"/>
              <w:rPr>
                <w:sz w:val="20"/>
                <w:szCs w:val="20"/>
                <w:color w:val="auto"/>
              </w:rPr>
            </w:pPr>
            <w:r>
              <w:rPr>
                <w:rFonts w:ascii="Times New Roman" w:cs="Times New Roman" w:eastAsia="Times New Roman" w:hAnsi="Times New Roman"/>
                <w:sz w:val="20"/>
                <w:szCs w:val="20"/>
                <w:color w:val="4C4C4E"/>
              </w:rPr>
              <w:t>Other book-tax differences</w:t>
            </w:r>
          </w:p>
        </w:tc>
        <w:tc>
          <w:tcPr>
            <w:tcW w:w="160" w:type="dxa"/>
            <w:vAlign w:val="bottom"/>
            <w:shd w:val="clear" w:color="auto" w:fill="D8EEF4"/>
          </w:tcPr>
          <w:p>
            <w:pPr>
              <w:spacing w:after="0"/>
              <w:rPr>
                <w:sz w:val="21"/>
                <w:szCs w:val="21"/>
                <w:color w:val="auto"/>
              </w:rPr>
            </w:pPr>
          </w:p>
        </w:tc>
        <w:tc>
          <w:tcPr>
            <w:tcW w:w="1860" w:type="dxa"/>
            <w:vAlign w:val="bottom"/>
            <w:gridSpan w:val="3"/>
            <w:shd w:val="clear" w:color="auto" w:fill="D8EEF4"/>
          </w:tcPr>
          <w:p>
            <w:pPr>
              <w:jc w:val="right"/>
              <w:ind w:right="180"/>
              <w:spacing w:after="0"/>
              <w:rPr>
                <w:sz w:val="20"/>
                <w:szCs w:val="20"/>
                <w:color w:val="auto"/>
              </w:rPr>
            </w:pPr>
            <w:r>
              <w:rPr>
                <w:rFonts w:ascii="Times New Roman" w:cs="Times New Roman" w:eastAsia="Times New Roman" w:hAnsi="Times New Roman"/>
                <w:sz w:val="20"/>
                <w:szCs w:val="20"/>
                <w:color w:val="4C4C4E"/>
              </w:rPr>
              <w:t>(5,483)</w:t>
            </w:r>
          </w:p>
        </w:tc>
        <w:tc>
          <w:tcPr>
            <w:tcW w:w="20" w:type="dxa"/>
            <w:vAlign w:val="bottom"/>
            <w:shd w:val="clear" w:color="auto" w:fill="D8EEF4"/>
          </w:tcPr>
          <w:p>
            <w:pPr>
              <w:spacing w:after="0"/>
              <w:rPr>
                <w:sz w:val="21"/>
                <w:szCs w:val="21"/>
                <w:color w:val="auto"/>
              </w:rPr>
            </w:pPr>
          </w:p>
        </w:tc>
        <w:tc>
          <w:tcPr>
            <w:tcW w:w="160" w:type="dxa"/>
            <w:vAlign w:val="bottom"/>
            <w:shd w:val="clear" w:color="auto" w:fill="D8EEF4"/>
          </w:tcPr>
          <w:p>
            <w:pPr>
              <w:spacing w:after="0"/>
              <w:rPr>
                <w:sz w:val="21"/>
                <w:szCs w:val="21"/>
                <w:color w:val="auto"/>
              </w:rPr>
            </w:pPr>
          </w:p>
        </w:tc>
        <w:tc>
          <w:tcPr>
            <w:tcW w:w="1880" w:type="dxa"/>
            <w:vAlign w:val="bottom"/>
            <w:gridSpan w:val="2"/>
            <w:shd w:val="clear" w:color="auto" w:fill="D8EEF4"/>
          </w:tcPr>
          <w:p>
            <w:pPr>
              <w:jc w:val="right"/>
              <w:ind w:right="180"/>
              <w:spacing w:after="0"/>
              <w:rPr>
                <w:sz w:val="20"/>
                <w:szCs w:val="20"/>
                <w:color w:val="auto"/>
              </w:rPr>
            </w:pPr>
            <w:r>
              <w:rPr>
                <w:rFonts w:ascii="Times New Roman" w:cs="Times New Roman" w:eastAsia="Times New Roman" w:hAnsi="Times New Roman"/>
                <w:sz w:val="20"/>
                <w:szCs w:val="20"/>
                <w:color w:val="4C4C4E"/>
              </w:rPr>
              <w:t>(12,365)</w:t>
            </w:r>
          </w:p>
        </w:tc>
        <w:tc>
          <w:tcPr>
            <w:tcW w:w="200" w:type="dxa"/>
            <w:vAlign w:val="bottom"/>
            <w:shd w:val="clear" w:color="auto" w:fill="D8EEF4"/>
          </w:tcPr>
          <w:p>
            <w:pPr>
              <w:spacing w:after="0"/>
              <w:rPr>
                <w:sz w:val="21"/>
                <w:szCs w:val="21"/>
                <w:color w:val="auto"/>
              </w:rPr>
            </w:pPr>
          </w:p>
        </w:tc>
        <w:tc>
          <w:tcPr>
            <w:tcW w:w="1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rPr>
              <w:t>(4,959)</w:t>
            </w:r>
          </w:p>
        </w:tc>
      </w:tr>
      <w:tr>
        <w:trPr>
          <w:trHeight w:val="205"/>
        </w:trPr>
        <w:tc>
          <w:tcPr>
            <w:tcW w:w="3800" w:type="dxa"/>
            <w:vAlign w:val="bottom"/>
            <w:tcBorders>
              <w:top w:val="single" w:sz="8" w:color="D8EEF4"/>
            </w:tcBorders>
            <w:gridSpan w:val="2"/>
          </w:tcPr>
          <w:p>
            <w:pPr>
              <w:ind w:left="400"/>
              <w:spacing w:after="0" w:line="205" w:lineRule="exact"/>
              <w:rPr>
                <w:sz w:val="20"/>
                <w:szCs w:val="20"/>
                <w:color w:val="auto"/>
              </w:rPr>
            </w:pPr>
            <w:r>
              <w:rPr>
                <w:rFonts w:ascii="Times New Roman" w:cs="Times New Roman" w:eastAsia="Times New Roman" w:hAnsi="Times New Roman"/>
                <w:sz w:val="20"/>
                <w:szCs w:val="20"/>
                <w:b w:val="1"/>
                <w:bCs w:val="1"/>
                <w:color w:val="4C4C4E"/>
              </w:rPr>
              <w:t>Taxable Income</w:t>
            </w:r>
          </w:p>
        </w:tc>
        <w:tc>
          <w:tcPr>
            <w:tcW w:w="16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7"/>
                <w:szCs w:val="17"/>
                <w:color w:val="4C4C4E"/>
                <w:w w:val="70"/>
              </w:rPr>
              <w:t>$</w:t>
            </w:r>
          </w:p>
        </w:tc>
        <w:tc>
          <w:tcPr>
            <w:tcW w:w="1620" w:type="dxa"/>
            <w:vAlign w:val="bottom"/>
            <w:tcBorders>
              <w:top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rPr>
              <w:t>164,434</w:t>
            </w:r>
          </w:p>
        </w:tc>
        <w:tc>
          <w:tcPr>
            <w:tcW w:w="20" w:type="dxa"/>
            <w:vAlign w:val="bottom"/>
            <w:tcBorders>
              <w:top w:val="single" w:sz="8" w:color="D8EEF4"/>
            </w:tcBorders>
          </w:tcPr>
          <w:p>
            <w:pPr>
              <w:spacing w:after="0"/>
              <w:rPr>
                <w:sz w:val="17"/>
                <w:szCs w:val="17"/>
                <w:color w:val="auto"/>
              </w:rPr>
            </w:pPr>
          </w:p>
        </w:tc>
        <w:tc>
          <w:tcPr>
            <w:tcW w:w="220" w:type="dxa"/>
            <w:vAlign w:val="bottom"/>
            <w:tcBorders>
              <w:top w:val="single" w:sz="8" w:color="D8EEF4"/>
            </w:tcBorders>
          </w:tcPr>
          <w:p>
            <w:pPr>
              <w:spacing w:after="0"/>
              <w:rPr>
                <w:sz w:val="17"/>
                <w:szCs w:val="17"/>
                <w:color w:val="auto"/>
              </w:rPr>
            </w:pPr>
          </w:p>
        </w:tc>
        <w:tc>
          <w:tcPr>
            <w:tcW w:w="20" w:type="dxa"/>
            <w:vAlign w:val="bottom"/>
            <w:tcBorders>
              <w:top w:val="single" w:sz="8" w:color="D8EEF4"/>
            </w:tcBorders>
          </w:tcPr>
          <w:p>
            <w:pPr>
              <w:spacing w:after="0"/>
              <w:rPr>
                <w:sz w:val="17"/>
                <w:szCs w:val="17"/>
                <w:color w:val="auto"/>
              </w:rPr>
            </w:pPr>
          </w:p>
        </w:tc>
        <w:tc>
          <w:tcPr>
            <w:tcW w:w="160" w:type="dxa"/>
            <w:vAlign w:val="bottom"/>
            <w:tcBorders>
              <w:top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1640" w:type="dxa"/>
            <w:vAlign w:val="bottom"/>
            <w:tcBorders>
              <w:top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rPr>
              <w:t>218,119</w:t>
            </w:r>
          </w:p>
        </w:tc>
        <w:tc>
          <w:tcPr>
            <w:tcW w:w="240" w:type="dxa"/>
            <w:vAlign w:val="bottom"/>
            <w:tcBorders>
              <w:top w:val="single" w:sz="8" w:color="D8EEF4"/>
            </w:tcBorders>
          </w:tcPr>
          <w:p>
            <w:pPr>
              <w:spacing w:after="0"/>
              <w:rPr>
                <w:sz w:val="17"/>
                <w:szCs w:val="17"/>
                <w:color w:val="auto"/>
              </w:rPr>
            </w:pPr>
          </w:p>
        </w:tc>
        <w:tc>
          <w:tcPr>
            <w:tcW w:w="200" w:type="dxa"/>
            <w:vAlign w:val="bottom"/>
            <w:tcBorders>
              <w:top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w w:val="79"/>
              </w:rPr>
              <w:t>$</w:t>
            </w:r>
          </w:p>
        </w:tc>
        <w:tc>
          <w:tcPr>
            <w:tcW w:w="1660" w:type="dxa"/>
            <w:vAlign w:val="bottom"/>
            <w:tcBorders>
              <w:top w:val="single" w:sz="8" w:color="4C4C4E"/>
            </w:tcBorders>
          </w:tcPr>
          <w:p>
            <w:pPr>
              <w:jc w:val="right"/>
              <w:spacing w:after="0" w:line="205" w:lineRule="exact"/>
              <w:rPr>
                <w:sz w:val="20"/>
                <w:szCs w:val="20"/>
                <w:color w:val="auto"/>
              </w:rPr>
            </w:pPr>
            <w:r>
              <w:rPr>
                <w:rFonts w:ascii="Times New Roman" w:cs="Times New Roman" w:eastAsia="Times New Roman" w:hAnsi="Times New Roman"/>
                <w:sz w:val="20"/>
                <w:szCs w:val="20"/>
                <w:color w:val="4C4C4E"/>
              </w:rPr>
              <w:t>208,716</w:t>
            </w:r>
          </w:p>
        </w:tc>
        <w:tc>
          <w:tcPr>
            <w:tcW w:w="100" w:type="dxa"/>
            <w:vAlign w:val="bottom"/>
            <w:tcBorders>
              <w:top w:val="single" w:sz="8" w:color="D8EEF4"/>
            </w:tcBorders>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160" w:type="dxa"/>
            <w:vAlign w:val="bottom"/>
            <w:tcBorders>
              <w:top w:val="single" w:sz="8" w:color="4C4C4E"/>
              <w:bottom w:val="single" w:sz="8" w:color="4C4C4E"/>
            </w:tcBorders>
          </w:tcPr>
          <w:p>
            <w:pPr>
              <w:spacing w:after="0" w:line="20" w:lineRule="exact"/>
              <w:rPr>
                <w:sz w:val="1"/>
                <w:szCs w:val="1"/>
                <w:color w:val="auto"/>
              </w:rPr>
            </w:pPr>
          </w:p>
        </w:tc>
        <w:tc>
          <w:tcPr>
            <w:tcW w:w="1620" w:type="dxa"/>
            <w:vAlign w:val="bottom"/>
            <w:tcBorders>
              <w:top w:val="single" w:sz="8" w:color="4C4C4E"/>
              <w:bottom w:val="single" w:sz="8" w:color="4C4C4E"/>
            </w:tcBorders>
          </w:tcPr>
          <w:p>
            <w:pPr>
              <w:spacing w:after="0" w:line="20" w:lineRule="exact"/>
              <w:rPr>
                <w:sz w:val="1"/>
                <w:szCs w:val="1"/>
                <w:color w:val="auto"/>
              </w:rPr>
            </w:pPr>
          </w:p>
        </w:tc>
        <w:tc>
          <w:tcPr>
            <w:tcW w:w="20" w:type="dxa"/>
            <w:vAlign w:val="bottom"/>
            <w:tcBorders>
              <w:bottom w:val="single" w:sz="8" w:color="4C4C4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4C4C4E"/>
              <w:bottom w:val="single" w:sz="8" w:color="4C4C4E"/>
            </w:tcBorders>
          </w:tcPr>
          <w:p>
            <w:pPr>
              <w:spacing w:after="0" w:line="20" w:lineRule="exact"/>
              <w:rPr>
                <w:sz w:val="1"/>
                <w:szCs w:val="1"/>
                <w:color w:val="auto"/>
              </w:rPr>
            </w:pPr>
          </w:p>
        </w:tc>
        <w:tc>
          <w:tcPr>
            <w:tcW w:w="160" w:type="dxa"/>
            <w:vAlign w:val="bottom"/>
            <w:tcBorders>
              <w:top w:val="single" w:sz="8" w:color="4C4C4E"/>
              <w:bottom w:val="single" w:sz="8" w:color="4C4C4E"/>
            </w:tcBorders>
          </w:tcPr>
          <w:p>
            <w:pPr>
              <w:spacing w:after="0" w:line="20" w:lineRule="exact"/>
              <w:rPr>
                <w:sz w:val="1"/>
                <w:szCs w:val="1"/>
                <w:color w:val="auto"/>
              </w:rPr>
            </w:pPr>
          </w:p>
        </w:tc>
        <w:tc>
          <w:tcPr>
            <w:tcW w:w="1640" w:type="dxa"/>
            <w:vAlign w:val="bottom"/>
            <w:tcBorders>
              <w:top w:val="single" w:sz="8" w:color="4C4C4E"/>
              <w:bottom w:val="single" w:sz="8" w:color="4C4C4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4C4C4E"/>
              <w:bottom w:val="single" w:sz="8" w:color="4C4C4E"/>
            </w:tcBorders>
          </w:tcPr>
          <w:p>
            <w:pPr>
              <w:spacing w:after="0" w:line="20" w:lineRule="exact"/>
              <w:rPr>
                <w:sz w:val="1"/>
                <w:szCs w:val="1"/>
                <w:color w:val="auto"/>
              </w:rPr>
            </w:pPr>
          </w:p>
        </w:tc>
        <w:tc>
          <w:tcPr>
            <w:tcW w:w="1660" w:type="dxa"/>
            <w:vAlign w:val="bottom"/>
            <w:tcBorders>
              <w:top w:val="single" w:sz="8" w:color="4C4C4E"/>
              <w:bottom w:val="single" w:sz="8" w:color="4C4C4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64"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F-51</w:t>
      </w:r>
    </w:p>
    <w:p>
      <w:pPr>
        <w:sectPr>
          <w:pgSz w:w="11880" w:h="15480" w:orient="portrait"/>
          <w:cols w:equalWidth="0" w:num="1">
            <w:col w:w="10800"/>
          </w:cols>
          <w:pgMar w:left="540" w:top="764" w:right="540" w:bottom="6" w:gutter="0" w:footer="0" w:header="0"/>
          <w:type w:val="continuous"/>
        </w:sectPr>
      </w:pPr>
    </w:p>
    <w:bookmarkStart w:id="140" w:name="page141"/>
    <w:bookmarkEnd w:id="140"/>
    <w:p>
      <w:pPr>
        <w:ind w:right="220" w:firstLine="245"/>
        <w:spacing w:after="0" w:line="258" w:lineRule="auto"/>
        <w:rPr>
          <w:sz w:val="20"/>
          <w:szCs w:val="20"/>
          <w:color w:val="auto"/>
        </w:rPr>
      </w:pPr>
      <w:r>
        <w:rPr>
          <w:rFonts w:ascii="Times New Roman" w:cs="Times New Roman" w:eastAsia="Times New Roman" w:hAnsi="Times New Roman"/>
          <w:sz w:val="20"/>
          <w:szCs w:val="20"/>
          <w:color w:val="4C4C4E"/>
        </w:rPr>
        <w:t>Note: Taxable income is an estimate and is not fully determined until the Company’s tax return is filed. The Company’s tax year changed from March 31 to December 31 during calendar year 2024.</w:t>
      </w:r>
    </w:p>
    <w:p>
      <w:pPr>
        <w:spacing w:after="0" w:line="169" w:lineRule="exact"/>
        <w:rPr>
          <w:sz w:val="20"/>
          <w:szCs w:val="20"/>
          <w:color w:val="auto"/>
        </w:rPr>
      </w:pPr>
    </w:p>
    <w:p>
      <w:pPr>
        <w:ind w:right="40" w:firstLine="245"/>
        <w:spacing w:after="0" w:line="239" w:lineRule="auto"/>
        <w:rPr>
          <w:sz w:val="20"/>
          <w:szCs w:val="20"/>
          <w:color w:val="auto"/>
        </w:rPr>
      </w:pPr>
      <w:r>
        <w:rPr>
          <w:rFonts w:ascii="Times New Roman" w:cs="Times New Roman" w:eastAsia="Times New Roman" w:hAnsi="Times New Roman"/>
          <w:sz w:val="20"/>
          <w:szCs w:val="20"/>
          <w:color w:val="4C4C4E"/>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8" w:lineRule="exact"/>
        <w:rPr>
          <w:sz w:val="20"/>
          <w:szCs w:val="20"/>
          <w:color w:val="auto"/>
        </w:rPr>
      </w:pPr>
    </w:p>
    <w:p>
      <w:pPr>
        <w:ind w:right="160" w:firstLine="245"/>
        <w:spacing w:after="0" w:line="232" w:lineRule="auto"/>
        <w:rPr>
          <w:sz w:val="20"/>
          <w:szCs w:val="20"/>
          <w:color w:val="auto"/>
        </w:rPr>
      </w:pPr>
      <w:r>
        <w:rPr>
          <w:rFonts w:ascii="Times New Roman" w:cs="Times New Roman" w:eastAsia="Times New Roman" w:hAnsi="Times New Roman"/>
          <w:sz w:val="20"/>
          <w:szCs w:val="20"/>
          <w:color w:val="4C4C4E"/>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87" w:lineRule="exact"/>
        <w:rPr>
          <w:sz w:val="20"/>
          <w:szCs w:val="20"/>
          <w:color w:val="auto"/>
        </w:rPr>
      </w:pPr>
    </w:p>
    <w:p>
      <w:pPr>
        <w:ind w:right="540" w:firstLine="245"/>
        <w:spacing w:after="0" w:line="258" w:lineRule="auto"/>
        <w:rPr>
          <w:sz w:val="20"/>
          <w:szCs w:val="20"/>
          <w:color w:val="auto"/>
        </w:rPr>
      </w:pPr>
      <w:r>
        <w:rPr>
          <w:rFonts w:ascii="Times New Roman" w:cs="Times New Roman" w:eastAsia="Times New Roman" w:hAnsi="Times New Roman"/>
          <w:sz w:val="20"/>
          <w:szCs w:val="20"/>
          <w:color w:val="4C4C4E"/>
        </w:rPr>
        <w:t>During the period January 1, 2025 through December 31, 2025, the Company increased distributable earnings and decreased additional paid in capital by $6.3 million which was primarily attributable to U.S. federal excise taxes and other taxes.</w:t>
      </w:r>
    </w:p>
    <w:p>
      <w:pPr>
        <w:spacing w:after="0" w:line="169" w:lineRule="exact"/>
        <w:rPr>
          <w:sz w:val="20"/>
          <w:szCs w:val="20"/>
          <w:color w:val="auto"/>
        </w:rPr>
      </w:pPr>
    </w:p>
    <w:p>
      <w:pPr>
        <w:ind w:right="540" w:firstLine="245"/>
        <w:spacing w:after="0" w:line="258" w:lineRule="auto"/>
        <w:rPr>
          <w:sz w:val="20"/>
          <w:szCs w:val="20"/>
          <w:color w:val="auto"/>
        </w:rPr>
      </w:pPr>
      <w:r>
        <w:rPr>
          <w:rFonts w:ascii="Times New Roman" w:cs="Times New Roman" w:eastAsia="Times New Roman" w:hAnsi="Times New Roman"/>
          <w:sz w:val="20"/>
          <w:szCs w:val="20"/>
          <w:color w:val="4C4C4E"/>
        </w:rPr>
        <w:t>During the period January 1, 2024 through December 31, 2024, the Company increased distributable earnings and decreased additional paid in capital by $3.8 million which was primarily attributable to U.S. federal excise taxes.</w:t>
      </w:r>
    </w:p>
    <w:p>
      <w:pPr>
        <w:spacing w:after="0" w:line="169" w:lineRule="exact"/>
        <w:rPr>
          <w:sz w:val="20"/>
          <w:szCs w:val="20"/>
          <w:color w:val="auto"/>
        </w:rPr>
      </w:pPr>
    </w:p>
    <w:p>
      <w:pPr>
        <w:ind w:right="740" w:firstLine="245"/>
        <w:spacing w:after="0" w:line="258" w:lineRule="auto"/>
        <w:rPr>
          <w:sz w:val="20"/>
          <w:szCs w:val="20"/>
          <w:color w:val="auto"/>
        </w:rPr>
      </w:pPr>
      <w:r>
        <w:rPr>
          <w:rFonts w:ascii="Times New Roman" w:cs="Times New Roman" w:eastAsia="Times New Roman" w:hAnsi="Times New Roman"/>
          <w:sz w:val="20"/>
          <w:szCs w:val="20"/>
          <w:color w:val="4C4C4E"/>
        </w:rPr>
        <w:t>During the period April 1, 2023 through December 31, 2023, the Company increased distributable earnings and decreased additional paid in capital by $1.9 million which was primarily attributable to U.S. federal excise taxes.</w:t>
      </w:r>
    </w:p>
    <w:p>
      <w:pPr>
        <w:spacing w:after="0" w:line="164" w:lineRule="exact"/>
        <w:rPr>
          <w:sz w:val="20"/>
          <w:szCs w:val="20"/>
          <w:color w:val="auto"/>
        </w:rPr>
      </w:pPr>
    </w:p>
    <w:p>
      <w:pPr>
        <w:ind w:right="40" w:firstLine="245"/>
        <w:spacing w:after="0" w:line="229" w:lineRule="auto"/>
        <w:rPr>
          <w:sz w:val="20"/>
          <w:szCs w:val="20"/>
          <w:color w:val="auto"/>
        </w:rPr>
      </w:pPr>
      <w:r>
        <w:rPr>
          <w:rFonts w:ascii="Times New Roman" w:cs="Times New Roman" w:eastAsia="Times New Roman" w:hAnsi="Times New Roman"/>
          <w:sz w:val="20"/>
          <w:szCs w:val="20"/>
          <w:color w:val="4C4C4E"/>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83" w:lineRule="exact"/>
        <w:rPr>
          <w:sz w:val="20"/>
          <w:szCs w:val="20"/>
          <w:color w:val="auto"/>
        </w:rPr>
      </w:pPr>
    </w:p>
    <w:p>
      <w:pPr>
        <w:ind w:firstLine="245"/>
        <w:spacing w:after="0" w:line="229" w:lineRule="auto"/>
        <w:rPr>
          <w:sz w:val="20"/>
          <w:szCs w:val="20"/>
          <w:color w:val="auto"/>
        </w:rPr>
      </w:pPr>
      <w:r>
        <w:rPr>
          <w:rFonts w:ascii="Times New Roman" w:cs="Times New Roman" w:eastAsia="Times New Roman" w:hAnsi="Times New Roman"/>
          <w:sz w:val="20"/>
          <w:szCs w:val="20"/>
          <w:color w:val="4C4C4E"/>
        </w:rPr>
        <w:t>As of December 31, 2025, the Company had a deferred tax liability of $4.6 million pertaining to net unrealized gains, related to seven of its investments. Given the unrealized gains generated by this entity, the deferred tax liability has been offset by a deferred tax asset of $0.6 million pertaining to operating losses. The Company recorded a deferred tax benefit of $ 0.5 million for the year ended December 31, 2025.</w:t>
      </w:r>
    </w:p>
    <w:p>
      <w:pPr>
        <w:spacing w:after="0" w:line="183" w:lineRule="exact"/>
        <w:rPr>
          <w:sz w:val="20"/>
          <w:szCs w:val="20"/>
          <w:color w:val="auto"/>
        </w:rPr>
      </w:pPr>
    </w:p>
    <w:p>
      <w:pPr>
        <w:ind w:right="60" w:firstLine="245"/>
        <w:spacing w:after="0" w:line="229" w:lineRule="auto"/>
        <w:rPr>
          <w:sz w:val="20"/>
          <w:szCs w:val="20"/>
          <w:color w:val="auto"/>
        </w:rPr>
      </w:pPr>
      <w:r>
        <w:rPr>
          <w:rFonts w:ascii="Times New Roman" w:cs="Times New Roman" w:eastAsia="Times New Roman" w:hAnsi="Times New Roman"/>
          <w:sz w:val="20"/>
          <w:szCs w:val="20"/>
          <w:color w:val="4C4C4E"/>
        </w:rPr>
        <w:t>As of December 31, 2024, the Company had a deferred tax liability of $5.2 million pertaining to net unrealized gains, related to eight of its investments. Given the unrealized gains generated by this entity, the deferred tax liability has been offset by a deferred tax asset of $0.6 million pertaining to operating losses. The Company recorded a current tax expense of $0.2 million and a deferred tax expense of $2.6 million for the year ended December 31, 2024.</w:t>
      </w:r>
    </w:p>
    <w:p>
      <w:pPr>
        <w:spacing w:after="0" w:line="183" w:lineRule="exact"/>
        <w:rPr>
          <w:sz w:val="20"/>
          <w:szCs w:val="20"/>
          <w:color w:val="auto"/>
        </w:rPr>
      </w:pPr>
    </w:p>
    <w:p>
      <w:pPr>
        <w:ind w:firstLine="245"/>
        <w:spacing w:after="0" w:line="229" w:lineRule="auto"/>
        <w:rPr>
          <w:sz w:val="20"/>
          <w:szCs w:val="20"/>
          <w:color w:val="auto"/>
        </w:rPr>
      </w:pPr>
      <w:r>
        <w:rPr>
          <w:rFonts w:ascii="Times New Roman" w:cs="Times New Roman" w:eastAsia="Times New Roman" w:hAnsi="Times New Roman"/>
          <w:sz w:val="20"/>
          <w:szCs w:val="20"/>
          <w:color w:val="4C4C4E"/>
        </w:rPr>
        <w:t>As of December 31, 2023, the Company had a deferred tax liability of $2.8 million pertaining to net unrealized gains, related to seven of its investments. Given the unrealized gains generated by this entity, the deferred tax liability has been offset by a deferred tax asset of $0.9 million pertaining to operating losses. The Company recorded a current tax expense of $ 0.1 million and a deferred tax benefit of $0.6 million for the year ended December 31, 2023.</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tax cost of the Company’s investments as of December 31, 2025 was $3,332,367, resulting in estimated gross unrealized gains</w:t>
      </w:r>
    </w:p>
    <w:p>
      <w:pPr>
        <w:spacing w:after="0" w:line="217" w:lineRule="auto"/>
        <w:rPr>
          <w:sz w:val="20"/>
          <w:szCs w:val="20"/>
          <w:color w:val="auto"/>
        </w:rPr>
      </w:pPr>
      <w:r>
        <w:rPr>
          <w:rFonts w:ascii="Times New Roman" w:cs="Times New Roman" w:eastAsia="Times New Roman" w:hAnsi="Times New Roman"/>
          <w:sz w:val="20"/>
          <w:szCs w:val="20"/>
          <w:color w:val="4C4C4E"/>
        </w:rPr>
        <w:t>and losses of $219,540 and $231,975, respectively. The tax cost of the Company’s investments as of December 31, 2024 was</w:t>
      </w:r>
    </w:p>
    <w:p>
      <w:pPr>
        <w:spacing w:after="0" w:line="214" w:lineRule="auto"/>
        <w:rPr>
          <w:sz w:val="20"/>
          <w:szCs w:val="20"/>
          <w:color w:val="auto"/>
        </w:rPr>
      </w:pPr>
      <w:r>
        <w:rPr>
          <w:rFonts w:ascii="Times New Roman" w:cs="Times New Roman" w:eastAsia="Times New Roman" w:hAnsi="Times New Roman"/>
          <w:sz w:val="20"/>
          <w:szCs w:val="20"/>
          <w:color w:val="4C4C4E"/>
        </w:rPr>
        <w:t>$3,535,963, resulting in estimated gross unrealized gains and losses of $207,435 and $216,975, respectively. The tax cost of the</w:t>
      </w:r>
    </w:p>
    <w:p>
      <w:pPr>
        <w:spacing w:after="0" w:line="214" w:lineRule="auto"/>
        <w:rPr>
          <w:sz w:val="20"/>
          <w:szCs w:val="20"/>
          <w:color w:val="auto"/>
        </w:rPr>
      </w:pPr>
      <w:r>
        <w:rPr>
          <w:rFonts w:ascii="Times New Roman" w:cs="Times New Roman" w:eastAsia="Times New Roman" w:hAnsi="Times New Roman"/>
          <w:sz w:val="20"/>
          <w:szCs w:val="20"/>
          <w:color w:val="4C4C4E"/>
        </w:rPr>
        <w:t>Company’s investments as of December 31, 2023 was $3,256,630, resulting in estimated gross unrealized gains and losses of</w:t>
      </w:r>
    </w:p>
    <w:p>
      <w:pPr>
        <w:spacing w:after="0"/>
        <w:rPr>
          <w:sz w:val="20"/>
          <w:szCs w:val="20"/>
          <w:color w:val="auto"/>
        </w:rPr>
      </w:pPr>
      <w:r>
        <w:rPr>
          <w:rFonts w:ascii="Times New Roman" w:cs="Times New Roman" w:eastAsia="Times New Roman" w:hAnsi="Times New Roman"/>
          <w:sz w:val="20"/>
          <w:szCs w:val="20"/>
          <w:color w:val="4C4C4E"/>
        </w:rPr>
        <w:t>$159,281 and $135,606, respectively.</w:t>
      </w:r>
    </w:p>
    <w:p>
      <w:pPr>
        <w:spacing w:after="0" w:line="187" w:lineRule="exact"/>
        <w:rPr>
          <w:sz w:val="20"/>
          <w:szCs w:val="20"/>
          <w:color w:val="auto"/>
        </w:rPr>
      </w:pPr>
    </w:p>
    <w:p>
      <w:pPr>
        <w:ind w:right="160" w:firstLine="245"/>
        <w:spacing w:after="0" w:line="229" w:lineRule="auto"/>
        <w:rPr>
          <w:sz w:val="20"/>
          <w:szCs w:val="20"/>
          <w:color w:val="auto"/>
        </w:rPr>
      </w:pPr>
      <w:r>
        <w:rPr>
          <w:rFonts w:ascii="Times New Roman" w:cs="Times New Roman" w:eastAsia="Times New Roman" w:hAnsi="Times New Roman"/>
          <w:sz w:val="20"/>
          <w:szCs w:val="20"/>
          <w:color w:val="4C4C4E"/>
        </w:rPr>
        <w:t>To the extent that the Company determines that its estimated current year annual taxable income will exceed its estimated current year dividends from such taxable income, the Company accrues excise tax on estimated excess taxable income. For the year ended December 31, 2025, December 31, 2024 and December 31, 2023, a net expense of $5.3 million, $3.8 million and $2.3 million, respectively, was recorded for U.S. federal excise tax.</w:t>
      </w:r>
    </w:p>
    <w:p>
      <w:pPr>
        <w:sectPr>
          <w:pgSz w:w="11880" w:h="15480" w:orient="portrait"/>
          <w:cols w:equalWidth="0" w:num="1">
            <w:col w:w="10760"/>
          </w:cols>
          <w:pgMar w:left="540" w:top="735" w:right="5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4C4C4E"/>
        </w:rPr>
        <w:t>F-52</w:t>
      </w:r>
    </w:p>
    <w:p>
      <w:pPr>
        <w:sectPr>
          <w:pgSz w:w="11880" w:h="15480" w:orient="portrait"/>
          <w:cols w:equalWidth="0" w:num="1">
            <w:col w:w="10760"/>
          </w:cols>
          <w:pgMar w:left="540" w:top="735" w:right="580" w:bottom="6"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4C4C4E"/>
        </w:rPr>
        <w:t>13. Financial Highlights</w:t>
      </w:r>
    </w:p>
    <w:p>
      <w:pPr>
        <w:spacing w:after="0" w:line="124" w:lineRule="exact"/>
        <w:rPr>
          <w:sz w:val="20"/>
          <w:szCs w:val="20"/>
          <w:color w:val="auto"/>
        </w:rPr>
      </w:pPr>
    </w:p>
    <w:p>
      <w:pPr>
        <w:ind w:right="100" w:firstLine="245"/>
        <w:spacing w:after="0" w:line="258" w:lineRule="auto"/>
        <w:rPr>
          <w:sz w:val="20"/>
          <w:szCs w:val="20"/>
          <w:color w:val="auto"/>
        </w:rPr>
      </w:pPr>
      <w:r>
        <w:rPr>
          <w:rFonts w:ascii="Times New Roman" w:cs="Times New Roman" w:eastAsia="Times New Roman" w:hAnsi="Times New Roman"/>
          <w:sz w:val="20"/>
          <w:szCs w:val="20"/>
          <w:color w:val="4C4C4E"/>
        </w:rPr>
        <w:t>The following per share data and ratios have been derived from information provided in the consolidated financial statements. The following are the financial highlights for one share of common stock outstanding during the years ended December 31, 2025, 2024, 2023, 2022, 2021, 2020, 2019, 2018, 2017, and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gridSpan w:val="11"/>
          </w:tcPr>
          <w:p>
            <w:pPr>
              <w:jc w:val="right"/>
              <w:spacing w:after="0"/>
              <w:rPr>
                <w:sz w:val="20"/>
                <w:szCs w:val="20"/>
                <w:color w:val="auto"/>
              </w:rPr>
            </w:pPr>
            <w:r>
              <w:rPr>
                <w:rFonts w:ascii="Times New Roman" w:cs="Times New Roman" w:eastAsia="Times New Roman" w:hAnsi="Times New Roman"/>
                <w:sz w:val="13"/>
                <w:szCs w:val="13"/>
                <w:b w:val="1"/>
                <w:bCs w:val="1"/>
                <w:color w:val="4C4C4E"/>
              </w:rPr>
              <w:t>For the Years Ended December 31,</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00" w:type="dxa"/>
            <w:vAlign w:val="bottom"/>
            <w:tcBorders>
              <w:bottom w:val="single" w:sz="8" w:color="D8EEF4"/>
            </w:tcBorders>
          </w:tcPr>
          <w:p>
            <w:pPr>
              <w:spacing w:after="0"/>
              <w:rPr>
                <w:sz w:val="15"/>
                <w:szCs w:val="15"/>
                <w:color w:val="auto"/>
              </w:rPr>
            </w:pPr>
          </w:p>
        </w:tc>
        <w:tc>
          <w:tcPr>
            <w:tcW w:w="40" w:type="dxa"/>
            <w:vAlign w:val="bottom"/>
            <w:tcBorders>
              <w:bottom w:val="single" w:sz="8" w:color="D8EEF4"/>
            </w:tcBorders>
          </w:tcPr>
          <w:p>
            <w:pPr>
              <w:spacing w:after="0"/>
              <w:rPr>
                <w:sz w:val="15"/>
                <w:szCs w:val="15"/>
                <w:color w:val="auto"/>
              </w:rPr>
            </w:pPr>
          </w:p>
        </w:tc>
        <w:tc>
          <w:tcPr>
            <w:tcW w:w="40" w:type="dxa"/>
            <w:vAlign w:val="bottom"/>
            <w:tcBorders>
              <w:bottom w:val="single" w:sz="8" w:color="4C4C4E"/>
            </w:tcBorders>
          </w:tcPr>
          <w:p>
            <w:pPr>
              <w:spacing w:after="0"/>
              <w:rPr>
                <w:sz w:val="15"/>
                <w:szCs w:val="15"/>
                <w:color w:val="auto"/>
              </w:rPr>
            </w:pPr>
          </w:p>
        </w:tc>
        <w:tc>
          <w:tcPr>
            <w:tcW w:w="600" w:type="dxa"/>
            <w:vAlign w:val="bottom"/>
            <w:tcBorders>
              <w:bottom w:val="single" w:sz="8" w:color="4C4C4E"/>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4C4C4E"/>
              </w:rPr>
              <w:t>2025</w:t>
            </w:r>
          </w:p>
        </w:tc>
        <w:tc>
          <w:tcPr>
            <w:tcW w:w="20" w:type="dxa"/>
            <w:vAlign w:val="bottom"/>
            <w:tcBorders>
              <w:bottom w:val="single" w:sz="8" w:color="4C4C4E"/>
            </w:tcBorders>
          </w:tcPr>
          <w:p>
            <w:pPr>
              <w:spacing w:after="0"/>
              <w:rPr>
                <w:sz w:val="15"/>
                <w:szCs w:val="15"/>
                <w:color w:val="auto"/>
              </w:rPr>
            </w:pPr>
          </w:p>
        </w:tc>
        <w:tc>
          <w:tcPr>
            <w:tcW w:w="140" w:type="dxa"/>
            <w:vAlign w:val="bottom"/>
            <w:tcBorders>
              <w:bottom w:val="single" w:sz="8" w:color="D8EEF4"/>
            </w:tcBorders>
          </w:tcPr>
          <w:p>
            <w:pPr>
              <w:spacing w:after="0"/>
              <w:rPr>
                <w:sz w:val="15"/>
                <w:szCs w:val="15"/>
                <w:color w:val="auto"/>
              </w:rPr>
            </w:pPr>
          </w:p>
        </w:tc>
        <w:tc>
          <w:tcPr>
            <w:tcW w:w="60" w:type="dxa"/>
            <w:vAlign w:val="bottom"/>
            <w:tcBorders>
              <w:bottom w:val="single" w:sz="8" w:color="4C4C4E"/>
            </w:tcBorders>
          </w:tcPr>
          <w:p>
            <w:pPr>
              <w:spacing w:after="0"/>
              <w:rPr>
                <w:sz w:val="15"/>
                <w:szCs w:val="15"/>
                <w:color w:val="auto"/>
              </w:rPr>
            </w:pPr>
          </w:p>
        </w:tc>
        <w:tc>
          <w:tcPr>
            <w:tcW w:w="600" w:type="dxa"/>
            <w:vAlign w:val="bottom"/>
            <w:tcBorders>
              <w:bottom w:val="single" w:sz="8" w:color="4C4C4E"/>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4C4C4E"/>
              </w:rPr>
              <w:t>2024</w:t>
            </w:r>
          </w:p>
        </w:tc>
        <w:tc>
          <w:tcPr>
            <w:tcW w:w="160" w:type="dxa"/>
            <w:vAlign w:val="bottom"/>
            <w:tcBorders>
              <w:bottom w:val="single" w:sz="8" w:color="D8EEF4"/>
            </w:tcBorders>
          </w:tcPr>
          <w:p>
            <w:pPr>
              <w:spacing w:after="0"/>
              <w:rPr>
                <w:sz w:val="15"/>
                <w:szCs w:val="15"/>
                <w:color w:val="auto"/>
              </w:rPr>
            </w:pPr>
          </w:p>
        </w:tc>
        <w:tc>
          <w:tcPr>
            <w:tcW w:w="60" w:type="dxa"/>
            <w:vAlign w:val="bottom"/>
            <w:tcBorders>
              <w:bottom w:val="single" w:sz="8" w:color="4C4C4E"/>
            </w:tcBorders>
          </w:tcPr>
          <w:p>
            <w:pPr>
              <w:spacing w:after="0"/>
              <w:rPr>
                <w:sz w:val="15"/>
                <w:szCs w:val="15"/>
                <w:color w:val="auto"/>
              </w:rPr>
            </w:pPr>
          </w:p>
        </w:tc>
        <w:tc>
          <w:tcPr>
            <w:tcW w:w="600" w:type="dxa"/>
            <w:vAlign w:val="bottom"/>
            <w:tcBorders>
              <w:bottom w:val="single" w:sz="8" w:color="4C4C4E"/>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4C4C4E"/>
              </w:rPr>
              <w:t>2023</w:t>
            </w:r>
          </w:p>
        </w:tc>
        <w:tc>
          <w:tcPr>
            <w:tcW w:w="20" w:type="dxa"/>
            <w:vAlign w:val="bottom"/>
            <w:tcBorders>
              <w:bottom w:val="single" w:sz="8" w:color="4C4C4E"/>
            </w:tcBorders>
          </w:tcPr>
          <w:p>
            <w:pPr>
              <w:spacing w:after="0"/>
              <w:rPr>
                <w:sz w:val="15"/>
                <w:szCs w:val="15"/>
                <w:color w:val="auto"/>
              </w:rPr>
            </w:pPr>
          </w:p>
        </w:tc>
        <w:tc>
          <w:tcPr>
            <w:tcW w:w="140" w:type="dxa"/>
            <w:vAlign w:val="bottom"/>
            <w:tcBorders>
              <w:bottom w:val="single" w:sz="8" w:color="D8EEF4"/>
            </w:tcBorders>
          </w:tcPr>
          <w:p>
            <w:pPr>
              <w:spacing w:after="0"/>
              <w:rPr>
                <w:sz w:val="15"/>
                <w:szCs w:val="15"/>
                <w:color w:val="auto"/>
              </w:rPr>
            </w:pPr>
          </w:p>
        </w:tc>
        <w:tc>
          <w:tcPr>
            <w:tcW w:w="60" w:type="dxa"/>
            <w:vAlign w:val="bottom"/>
            <w:tcBorders>
              <w:bottom w:val="single" w:sz="8" w:color="4C4C4E"/>
            </w:tcBorders>
          </w:tcPr>
          <w:p>
            <w:pPr>
              <w:spacing w:after="0"/>
              <w:rPr>
                <w:sz w:val="15"/>
                <w:szCs w:val="15"/>
                <w:color w:val="auto"/>
              </w:rPr>
            </w:pPr>
          </w:p>
        </w:tc>
        <w:tc>
          <w:tcPr>
            <w:tcW w:w="620" w:type="dxa"/>
            <w:vAlign w:val="bottom"/>
            <w:tcBorders>
              <w:bottom w:val="single" w:sz="8" w:color="4C4C4E"/>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4C4C4E"/>
              </w:rPr>
              <w:t>2022</w:t>
            </w:r>
          </w:p>
        </w:tc>
        <w:tc>
          <w:tcPr>
            <w:tcW w:w="20" w:type="dxa"/>
            <w:vAlign w:val="bottom"/>
            <w:tcBorders>
              <w:bottom w:val="single" w:sz="8" w:color="4C4C4E"/>
            </w:tcBorders>
          </w:tcPr>
          <w:p>
            <w:pPr>
              <w:spacing w:after="0"/>
              <w:rPr>
                <w:sz w:val="15"/>
                <w:szCs w:val="15"/>
                <w:color w:val="auto"/>
              </w:rPr>
            </w:pPr>
          </w:p>
        </w:tc>
        <w:tc>
          <w:tcPr>
            <w:tcW w:w="120" w:type="dxa"/>
            <w:vAlign w:val="bottom"/>
            <w:tcBorders>
              <w:bottom w:val="single" w:sz="8" w:color="D8EEF4"/>
            </w:tcBorders>
          </w:tcPr>
          <w:p>
            <w:pPr>
              <w:spacing w:after="0"/>
              <w:rPr>
                <w:sz w:val="15"/>
                <w:szCs w:val="15"/>
                <w:color w:val="auto"/>
              </w:rPr>
            </w:pPr>
          </w:p>
        </w:tc>
        <w:tc>
          <w:tcPr>
            <w:tcW w:w="60" w:type="dxa"/>
            <w:vAlign w:val="bottom"/>
            <w:tcBorders>
              <w:bottom w:val="single" w:sz="8" w:color="4C4C4E"/>
            </w:tcBorders>
          </w:tcPr>
          <w:p>
            <w:pPr>
              <w:spacing w:after="0"/>
              <w:rPr>
                <w:sz w:val="15"/>
                <w:szCs w:val="15"/>
                <w:color w:val="auto"/>
              </w:rPr>
            </w:pPr>
          </w:p>
        </w:tc>
        <w:tc>
          <w:tcPr>
            <w:tcW w:w="620" w:type="dxa"/>
            <w:vAlign w:val="bottom"/>
            <w:tcBorders>
              <w:bottom w:val="single" w:sz="8" w:color="4C4C4E"/>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4C4C4E"/>
              </w:rPr>
              <w:t>2021</w:t>
            </w:r>
          </w:p>
        </w:tc>
        <w:tc>
          <w:tcPr>
            <w:tcW w:w="20" w:type="dxa"/>
            <w:vAlign w:val="bottom"/>
            <w:tcBorders>
              <w:bottom w:val="single" w:sz="8" w:color="4C4C4E"/>
            </w:tcBorders>
          </w:tcPr>
          <w:p>
            <w:pPr>
              <w:spacing w:after="0"/>
              <w:rPr>
                <w:sz w:val="15"/>
                <w:szCs w:val="15"/>
                <w:color w:val="auto"/>
              </w:rPr>
            </w:pPr>
          </w:p>
        </w:tc>
        <w:tc>
          <w:tcPr>
            <w:tcW w:w="120" w:type="dxa"/>
            <w:vAlign w:val="bottom"/>
            <w:tcBorders>
              <w:bottom w:val="single" w:sz="8" w:color="D8EEF4"/>
            </w:tcBorders>
          </w:tcPr>
          <w:p>
            <w:pPr>
              <w:spacing w:after="0"/>
              <w:rPr>
                <w:sz w:val="15"/>
                <w:szCs w:val="15"/>
                <w:color w:val="auto"/>
              </w:rPr>
            </w:pPr>
          </w:p>
        </w:tc>
        <w:tc>
          <w:tcPr>
            <w:tcW w:w="60" w:type="dxa"/>
            <w:vAlign w:val="bottom"/>
            <w:tcBorders>
              <w:bottom w:val="single" w:sz="8" w:color="4C4C4E"/>
            </w:tcBorders>
          </w:tcPr>
          <w:p>
            <w:pPr>
              <w:spacing w:after="0"/>
              <w:rPr>
                <w:sz w:val="15"/>
                <w:szCs w:val="15"/>
                <w:color w:val="auto"/>
              </w:rPr>
            </w:pPr>
          </w:p>
        </w:tc>
        <w:tc>
          <w:tcPr>
            <w:tcW w:w="620" w:type="dxa"/>
            <w:vAlign w:val="bottom"/>
            <w:tcBorders>
              <w:bottom w:val="single" w:sz="8" w:color="4C4C4E"/>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4C4C4E"/>
              </w:rPr>
              <w:t>2020</w:t>
            </w:r>
          </w:p>
        </w:tc>
        <w:tc>
          <w:tcPr>
            <w:tcW w:w="140" w:type="dxa"/>
            <w:vAlign w:val="bottom"/>
            <w:tcBorders>
              <w:bottom w:val="single" w:sz="8" w:color="D8EEF4"/>
            </w:tcBorders>
          </w:tcPr>
          <w:p>
            <w:pPr>
              <w:spacing w:after="0"/>
              <w:rPr>
                <w:sz w:val="15"/>
                <w:szCs w:val="15"/>
                <w:color w:val="auto"/>
              </w:rPr>
            </w:pPr>
          </w:p>
        </w:tc>
        <w:tc>
          <w:tcPr>
            <w:tcW w:w="80" w:type="dxa"/>
            <w:vAlign w:val="bottom"/>
            <w:tcBorders>
              <w:bottom w:val="single" w:sz="8" w:color="4C4C4E"/>
            </w:tcBorders>
          </w:tcPr>
          <w:p>
            <w:pPr>
              <w:spacing w:after="0"/>
              <w:rPr>
                <w:sz w:val="15"/>
                <w:szCs w:val="15"/>
                <w:color w:val="auto"/>
              </w:rPr>
            </w:pPr>
          </w:p>
        </w:tc>
        <w:tc>
          <w:tcPr>
            <w:tcW w:w="600" w:type="dxa"/>
            <w:vAlign w:val="bottom"/>
            <w:tcBorders>
              <w:bottom w:val="single" w:sz="8" w:color="4C4C4E"/>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4C4C4E"/>
              </w:rPr>
              <w:t>2019</w:t>
            </w:r>
          </w:p>
        </w:tc>
        <w:tc>
          <w:tcPr>
            <w:tcW w:w="140" w:type="dxa"/>
            <w:vAlign w:val="bottom"/>
            <w:tcBorders>
              <w:bottom w:val="single" w:sz="8" w:color="D8EEF4"/>
            </w:tcBorders>
          </w:tcPr>
          <w:p>
            <w:pPr>
              <w:spacing w:after="0"/>
              <w:rPr>
                <w:sz w:val="15"/>
                <w:szCs w:val="15"/>
                <w:color w:val="auto"/>
              </w:rPr>
            </w:pPr>
          </w:p>
        </w:tc>
        <w:tc>
          <w:tcPr>
            <w:tcW w:w="60" w:type="dxa"/>
            <w:vAlign w:val="bottom"/>
            <w:tcBorders>
              <w:bottom w:val="single" w:sz="8" w:color="4C4C4E"/>
            </w:tcBorders>
          </w:tcPr>
          <w:p>
            <w:pPr>
              <w:spacing w:after="0"/>
              <w:rPr>
                <w:sz w:val="15"/>
                <w:szCs w:val="15"/>
                <w:color w:val="auto"/>
              </w:rPr>
            </w:pPr>
          </w:p>
        </w:tc>
        <w:tc>
          <w:tcPr>
            <w:tcW w:w="620" w:type="dxa"/>
            <w:vAlign w:val="bottom"/>
            <w:tcBorders>
              <w:bottom w:val="single" w:sz="8" w:color="4C4C4E"/>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4C4C4E"/>
              </w:rPr>
              <w:t>2018</w:t>
            </w:r>
          </w:p>
        </w:tc>
        <w:tc>
          <w:tcPr>
            <w:tcW w:w="140" w:type="dxa"/>
            <w:vAlign w:val="bottom"/>
            <w:tcBorders>
              <w:bottom w:val="single" w:sz="8" w:color="D8EEF4"/>
            </w:tcBorders>
          </w:tcPr>
          <w:p>
            <w:pPr>
              <w:spacing w:after="0"/>
              <w:rPr>
                <w:sz w:val="15"/>
                <w:szCs w:val="15"/>
                <w:color w:val="auto"/>
              </w:rPr>
            </w:pPr>
          </w:p>
        </w:tc>
        <w:tc>
          <w:tcPr>
            <w:tcW w:w="80" w:type="dxa"/>
            <w:vAlign w:val="bottom"/>
            <w:tcBorders>
              <w:bottom w:val="single" w:sz="8" w:color="4C4C4E"/>
            </w:tcBorders>
          </w:tcPr>
          <w:p>
            <w:pPr>
              <w:spacing w:after="0"/>
              <w:rPr>
                <w:sz w:val="15"/>
                <w:szCs w:val="15"/>
                <w:color w:val="auto"/>
              </w:rPr>
            </w:pPr>
          </w:p>
        </w:tc>
        <w:tc>
          <w:tcPr>
            <w:tcW w:w="600" w:type="dxa"/>
            <w:vAlign w:val="bottom"/>
            <w:tcBorders>
              <w:bottom w:val="single" w:sz="8" w:color="4C4C4E"/>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4C4C4E"/>
              </w:rPr>
              <w:t>2017</w:t>
            </w:r>
          </w:p>
        </w:tc>
        <w:tc>
          <w:tcPr>
            <w:tcW w:w="140" w:type="dxa"/>
            <w:vAlign w:val="bottom"/>
            <w:tcBorders>
              <w:bottom w:val="single" w:sz="8" w:color="D8EEF4"/>
            </w:tcBorders>
          </w:tcPr>
          <w:p>
            <w:pPr>
              <w:spacing w:after="0"/>
              <w:rPr>
                <w:sz w:val="15"/>
                <w:szCs w:val="15"/>
                <w:color w:val="auto"/>
              </w:rPr>
            </w:pPr>
          </w:p>
        </w:tc>
        <w:tc>
          <w:tcPr>
            <w:tcW w:w="80" w:type="dxa"/>
            <w:vAlign w:val="bottom"/>
            <w:tcBorders>
              <w:bottom w:val="single" w:sz="8" w:color="4C4C4E"/>
            </w:tcBorders>
          </w:tcPr>
          <w:p>
            <w:pPr>
              <w:spacing w:after="0"/>
              <w:rPr>
                <w:sz w:val="15"/>
                <w:szCs w:val="15"/>
                <w:color w:val="auto"/>
              </w:rPr>
            </w:pPr>
          </w:p>
        </w:tc>
        <w:tc>
          <w:tcPr>
            <w:tcW w:w="600" w:type="dxa"/>
            <w:vAlign w:val="bottom"/>
            <w:tcBorders>
              <w:bottom w:val="single" w:sz="8" w:color="4C4C4E"/>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4C4C4E"/>
              </w:rPr>
              <w:t>2016</w:t>
            </w:r>
          </w:p>
        </w:tc>
        <w:tc>
          <w:tcPr>
            <w:tcW w:w="120" w:type="dxa"/>
            <w:vAlign w:val="bottom"/>
            <w:tcBorders>
              <w:bottom w:val="single" w:sz="8" w:color="D8EEF4"/>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640" w:type="dxa"/>
            <w:vAlign w:val="bottom"/>
            <w:tcBorders>
              <w:right w:val="single" w:sz="8" w:color="D8EEF4"/>
            </w:tcBorders>
            <w:gridSpan w:val="2"/>
            <w:shd w:val="clear" w:color="auto" w:fill="D8EEF4"/>
          </w:tcPr>
          <w:p>
            <w:pPr>
              <w:spacing w:after="0" w:line="158" w:lineRule="exact"/>
              <w:rPr>
                <w:sz w:val="20"/>
                <w:szCs w:val="20"/>
                <w:color w:val="auto"/>
              </w:rPr>
            </w:pPr>
            <w:r>
              <w:rPr>
                <w:rFonts w:ascii="Times New Roman" w:cs="Times New Roman" w:eastAsia="Times New Roman" w:hAnsi="Times New Roman"/>
                <w:sz w:val="13"/>
                <w:szCs w:val="13"/>
                <w:b w:val="1"/>
                <w:bCs w:val="1"/>
                <w:color w:val="4C4C4E"/>
              </w:rPr>
              <w:t xml:space="preserve">Per Share Data </w:t>
            </w:r>
            <w:r>
              <w:rPr>
                <w:rFonts w:ascii="Times New Roman" w:cs="Times New Roman" w:eastAsia="Times New Roman" w:hAnsi="Times New Roman"/>
                <w:sz w:val="16"/>
                <w:szCs w:val="16"/>
                <w:b w:val="1"/>
                <w:bCs w:val="1"/>
                <w:color w:val="4C4C4E"/>
                <w:vertAlign w:val="superscript"/>
              </w:rPr>
              <w:t>(7)(8)</w:t>
            </w:r>
          </w:p>
        </w:tc>
        <w:tc>
          <w:tcPr>
            <w:tcW w:w="4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6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color w:val="4C4C4E"/>
              </w:rPr>
              <w:t>Net asset value, beginning of period</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4C4C4E"/>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17.16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17.04</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16.48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16.84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17.16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16.83</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16.25</w:t>
            </w: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16.09</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15.95</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15.15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0" w:type="dxa"/>
            <w:vAlign w:val="bottom"/>
            <w:shd w:val="clear" w:color="auto" w:fill="D8EEF4"/>
          </w:tcPr>
          <w:p>
            <w:pPr>
              <w:spacing w:after="0"/>
              <w:rPr>
                <w:sz w:val="14"/>
                <w:szCs w:val="14"/>
                <w:color w:val="auto"/>
              </w:rPr>
            </w:pPr>
          </w:p>
        </w:tc>
        <w:tc>
          <w:tcPr>
            <w:tcW w:w="40" w:type="dxa"/>
            <w:vAlign w:val="bottom"/>
            <w:tcBorders>
              <w:right w:val="single" w:sz="8" w:color="D8EEF4"/>
            </w:tcBorders>
            <w:shd w:val="clear" w:color="auto" w:fill="D8EEF4"/>
          </w:tcPr>
          <w:p>
            <w:pPr>
              <w:spacing w:after="0"/>
              <w:rPr>
                <w:sz w:val="14"/>
                <w:szCs w:val="14"/>
                <w:color w:val="auto"/>
              </w:rPr>
            </w:pPr>
          </w:p>
        </w:tc>
        <w:tc>
          <w:tcPr>
            <w:tcW w:w="4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gridSpan w:val="2"/>
          </w:tcPr>
          <w:p>
            <w:pPr>
              <w:spacing w:after="0" w:line="164" w:lineRule="exact"/>
              <w:rPr>
                <w:sz w:val="20"/>
                <w:szCs w:val="20"/>
                <w:color w:val="auto"/>
              </w:rPr>
            </w:pPr>
            <w:r>
              <w:rPr>
                <w:rFonts w:ascii="Times New Roman" w:cs="Times New Roman" w:eastAsia="Times New Roman" w:hAnsi="Times New Roman"/>
                <w:sz w:val="13"/>
                <w:szCs w:val="13"/>
                <w:color w:val="4C4C4E"/>
              </w:rPr>
              <w:t xml:space="preserve">Net investment income </w:t>
            </w:r>
            <w:r>
              <w:rPr>
                <w:rFonts w:ascii="Times New Roman" w:cs="Times New Roman" w:eastAsia="Times New Roman" w:hAnsi="Times New Roman"/>
                <w:sz w:val="16"/>
                <w:szCs w:val="16"/>
                <w:color w:val="4C4C4E"/>
                <w:vertAlign w:val="superscript"/>
              </w:rPr>
              <w:t>(1)</w:t>
            </w:r>
          </w:p>
        </w:tc>
        <w:tc>
          <w:tcPr>
            <w:tcW w:w="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2.39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2.13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1.97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1.94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tcBorders>
              <w:right w:val="single" w:sz="8" w:color="D8EEF4"/>
            </w:tcBorders>
            <w:gridSpan w:val="2"/>
            <w:shd w:val="clear" w:color="auto" w:fill="D8EEF4"/>
          </w:tcPr>
          <w:p>
            <w:pPr>
              <w:spacing w:after="0"/>
              <w:rPr>
                <w:sz w:val="20"/>
                <w:szCs w:val="20"/>
                <w:color w:val="auto"/>
              </w:rPr>
            </w:pPr>
            <w:r>
              <w:rPr>
                <w:rFonts w:ascii="Times New Roman" w:cs="Times New Roman" w:eastAsia="Times New Roman" w:hAnsi="Times New Roman"/>
                <w:sz w:val="13"/>
                <w:szCs w:val="13"/>
                <w:color w:val="4C4C4E"/>
              </w:rPr>
              <w:t>Net realized and unrealized gains</w:t>
            </w:r>
          </w:p>
        </w:tc>
        <w:tc>
          <w:tcPr>
            <w:tcW w:w="4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6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D8EEF4"/>
            </w:tcBorders>
            <w:gridSpan w:val="2"/>
            <w:shd w:val="clear" w:color="auto" w:fill="D8EEF4"/>
          </w:tcPr>
          <w:p>
            <w:pPr>
              <w:ind w:left="40"/>
              <w:spacing w:after="0" w:line="162" w:lineRule="exact"/>
              <w:rPr>
                <w:sz w:val="20"/>
                <w:szCs w:val="20"/>
                <w:color w:val="auto"/>
              </w:rPr>
            </w:pPr>
            <w:r>
              <w:rPr>
                <w:rFonts w:ascii="Times New Roman" w:cs="Times New Roman" w:eastAsia="Times New Roman" w:hAnsi="Times New Roman"/>
                <w:sz w:val="13"/>
                <w:szCs w:val="13"/>
                <w:color w:val="4C4C4E"/>
              </w:rPr>
              <w:t xml:space="preserve">(losses) </w:t>
            </w:r>
            <w:r>
              <w:rPr>
                <w:rFonts w:ascii="Times New Roman" w:cs="Times New Roman" w:eastAsia="Times New Roman" w:hAnsi="Times New Roman"/>
                <w:sz w:val="16"/>
                <w:szCs w:val="16"/>
                <w:color w:val="4C4C4E"/>
                <w:vertAlign w:val="superscript"/>
              </w:rPr>
              <w:t>(1)</w:t>
            </w:r>
          </w:p>
        </w:tc>
        <w:tc>
          <w:tcPr>
            <w:tcW w:w="4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(0.42)</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(0.36)</w:t>
            </w:r>
          </w:p>
        </w:tc>
        <w:tc>
          <w:tcPr>
            <w:tcW w:w="60" w:type="dxa"/>
            <w:vAlign w:val="bottom"/>
            <w:shd w:val="clear" w:color="auto" w:fill="D8EEF4"/>
          </w:tcPr>
          <w:p>
            <w:pPr>
              <w:spacing w:after="0"/>
              <w:rPr>
                <w:sz w:val="14"/>
                <w:szCs w:val="14"/>
                <w:color w:val="auto"/>
              </w:rPr>
            </w:pPr>
          </w:p>
        </w:tc>
        <w:tc>
          <w:tcPr>
            <w:tcW w:w="6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0.30</w:t>
            </w:r>
          </w:p>
        </w:tc>
        <w:tc>
          <w:tcPr>
            <w:tcW w:w="2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(0.75)</w:t>
            </w: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0.96</w:t>
            </w: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0.46</w:t>
            </w:r>
          </w:p>
        </w:tc>
        <w:tc>
          <w:tcPr>
            <w:tcW w:w="1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6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0.40</w:t>
            </w:r>
          </w:p>
        </w:tc>
        <w:tc>
          <w:tcPr>
            <w:tcW w:w="14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(0.39)</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(0.14)</w:t>
            </w:r>
          </w:p>
        </w:tc>
        <w:tc>
          <w:tcPr>
            <w:tcW w:w="80" w:type="dxa"/>
            <w:vAlign w:val="bottom"/>
            <w:shd w:val="clear" w:color="auto" w:fill="D8EEF4"/>
          </w:tcPr>
          <w:p>
            <w:pPr>
              <w:spacing w:after="0"/>
              <w:rPr>
                <w:sz w:val="14"/>
                <w:szCs w:val="14"/>
                <w:color w:val="auto"/>
              </w:rPr>
            </w:pPr>
          </w:p>
        </w:tc>
        <w:tc>
          <w:tcPr>
            <w:tcW w:w="6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0.51</w:t>
            </w:r>
          </w:p>
        </w:tc>
        <w:tc>
          <w:tcPr>
            <w:tcW w:w="12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color w:val="4C4C4E"/>
              </w:rPr>
              <w:t>Total from operations</w:t>
            </w:r>
          </w:p>
        </w:tc>
        <w:tc>
          <w:tcPr>
            <w:tcW w:w="40" w:type="dxa"/>
            <w:vAlign w:val="bottom"/>
            <w:tcBorders>
              <w:top w:val="single" w:sz="8" w:color="4C4C4E"/>
            </w:tcBorders>
          </w:tcPr>
          <w:p>
            <w:pPr>
              <w:spacing w:after="0"/>
              <w:rPr>
                <w:sz w:val="13"/>
                <w:szCs w:val="13"/>
                <w:color w:val="auto"/>
              </w:rPr>
            </w:pPr>
          </w:p>
        </w:tc>
        <w:tc>
          <w:tcPr>
            <w:tcW w:w="60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1.81</w:t>
            </w:r>
          </w:p>
        </w:tc>
        <w:tc>
          <w:tcPr>
            <w:tcW w:w="20" w:type="dxa"/>
            <w:vAlign w:val="bottom"/>
            <w:tcBorders>
              <w:top w:val="single" w:sz="8" w:color="4C4C4E"/>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4C4C4E"/>
            </w:tcBorders>
          </w:tcPr>
          <w:p>
            <w:pPr>
              <w:spacing w:after="0"/>
              <w:rPr>
                <w:sz w:val="13"/>
                <w:szCs w:val="13"/>
                <w:color w:val="auto"/>
              </w:rPr>
            </w:pPr>
          </w:p>
        </w:tc>
        <w:tc>
          <w:tcPr>
            <w:tcW w:w="60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2.03</w:t>
            </w:r>
          </w:p>
        </w:tc>
        <w:tc>
          <w:tcPr>
            <w:tcW w:w="160" w:type="dxa"/>
            <w:vAlign w:val="bottom"/>
          </w:tcPr>
          <w:p>
            <w:pPr>
              <w:spacing w:after="0"/>
              <w:rPr>
                <w:sz w:val="13"/>
                <w:szCs w:val="13"/>
                <w:color w:val="auto"/>
              </w:rPr>
            </w:pPr>
          </w:p>
        </w:tc>
        <w:tc>
          <w:tcPr>
            <w:tcW w:w="60" w:type="dxa"/>
            <w:vAlign w:val="bottom"/>
            <w:tcBorders>
              <w:top w:val="single" w:sz="8" w:color="4C4C4E"/>
            </w:tcBorders>
          </w:tcPr>
          <w:p>
            <w:pPr>
              <w:spacing w:after="0"/>
              <w:rPr>
                <w:sz w:val="13"/>
                <w:szCs w:val="13"/>
                <w:color w:val="auto"/>
              </w:rPr>
            </w:pPr>
          </w:p>
        </w:tc>
        <w:tc>
          <w:tcPr>
            <w:tcW w:w="60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2.61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4C4C4E"/>
            </w:tcBorders>
          </w:tcPr>
          <w:p>
            <w:pPr>
              <w:spacing w:after="0"/>
              <w:rPr>
                <w:sz w:val="13"/>
                <w:szCs w:val="13"/>
                <w:color w:val="auto"/>
              </w:rPr>
            </w:pPr>
          </w:p>
        </w:tc>
        <w:tc>
          <w:tcPr>
            <w:tcW w:w="62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1.38</w:t>
            </w:r>
          </w:p>
        </w:tc>
        <w:tc>
          <w:tcPr>
            <w:tcW w:w="20" w:type="dxa"/>
            <w:vAlign w:val="bottom"/>
            <w:tcBorders>
              <w:top w:val="single" w:sz="8" w:color="4C4C4E"/>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4C4C4E"/>
            </w:tcBorders>
          </w:tcPr>
          <w:p>
            <w:pPr>
              <w:spacing w:after="0"/>
              <w:rPr>
                <w:sz w:val="13"/>
                <w:szCs w:val="13"/>
                <w:color w:val="auto"/>
              </w:rPr>
            </w:pPr>
          </w:p>
        </w:tc>
        <w:tc>
          <w:tcPr>
            <w:tcW w:w="62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2.93</w:t>
            </w:r>
          </w:p>
        </w:tc>
        <w:tc>
          <w:tcPr>
            <w:tcW w:w="20" w:type="dxa"/>
            <w:vAlign w:val="bottom"/>
            <w:tcBorders>
              <w:top w:val="single" w:sz="8" w:color="4C4C4E"/>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4C4C4E"/>
            </w:tcBorders>
          </w:tcPr>
          <w:p>
            <w:pPr>
              <w:spacing w:after="0"/>
              <w:rPr>
                <w:sz w:val="13"/>
                <w:szCs w:val="13"/>
                <w:color w:val="auto"/>
              </w:rPr>
            </w:pPr>
          </w:p>
        </w:tc>
        <w:tc>
          <w:tcPr>
            <w:tcW w:w="62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2.65</w:t>
            </w:r>
          </w:p>
        </w:tc>
        <w:tc>
          <w:tcPr>
            <w:tcW w:w="140" w:type="dxa"/>
            <w:vAlign w:val="bottom"/>
          </w:tcPr>
          <w:p>
            <w:pPr>
              <w:spacing w:after="0"/>
              <w:rPr>
                <w:sz w:val="13"/>
                <w:szCs w:val="13"/>
                <w:color w:val="auto"/>
              </w:rPr>
            </w:pPr>
          </w:p>
        </w:tc>
        <w:tc>
          <w:tcPr>
            <w:tcW w:w="80" w:type="dxa"/>
            <w:vAlign w:val="bottom"/>
            <w:tcBorders>
              <w:top w:val="single" w:sz="8" w:color="4C4C4E"/>
            </w:tcBorders>
          </w:tcPr>
          <w:p>
            <w:pPr>
              <w:spacing w:after="0"/>
              <w:rPr>
                <w:sz w:val="13"/>
                <w:szCs w:val="13"/>
                <w:color w:val="auto"/>
              </w:rPr>
            </w:pPr>
          </w:p>
        </w:tc>
        <w:tc>
          <w:tcPr>
            <w:tcW w:w="60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2.34</w:t>
            </w:r>
          </w:p>
        </w:tc>
        <w:tc>
          <w:tcPr>
            <w:tcW w:w="140" w:type="dxa"/>
            <w:vAlign w:val="bottom"/>
          </w:tcPr>
          <w:p>
            <w:pPr>
              <w:spacing w:after="0"/>
              <w:rPr>
                <w:sz w:val="13"/>
                <w:szCs w:val="13"/>
                <w:color w:val="auto"/>
              </w:rPr>
            </w:pPr>
          </w:p>
        </w:tc>
        <w:tc>
          <w:tcPr>
            <w:tcW w:w="60" w:type="dxa"/>
            <w:vAlign w:val="bottom"/>
            <w:tcBorders>
              <w:top w:val="single" w:sz="8" w:color="4C4C4E"/>
            </w:tcBorders>
          </w:tcPr>
          <w:p>
            <w:pPr>
              <w:spacing w:after="0"/>
              <w:rPr>
                <w:sz w:val="13"/>
                <w:szCs w:val="13"/>
                <w:color w:val="auto"/>
              </w:rPr>
            </w:pPr>
          </w:p>
        </w:tc>
        <w:tc>
          <w:tcPr>
            <w:tcW w:w="62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1.86</w:t>
            </w:r>
          </w:p>
        </w:tc>
        <w:tc>
          <w:tcPr>
            <w:tcW w:w="140" w:type="dxa"/>
            <w:vAlign w:val="bottom"/>
          </w:tcPr>
          <w:p>
            <w:pPr>
              <w:spacing w:after="0"/>
              <w:rPr>
                <w:sz w:val="13"/>
                <w:szCs w:val="13"/>
                <w:color w:val="auto"/>
              </w:rPr>
            </w:pPr>
          </w:p>
        </w:tc>
        <w:tc>
          <w:tcPr>
            <w:tcW w:w="80" w:type="dxa"/>
            <w:vAlign w:val="bottom"/>
            <w:tcBorders>
              <w:top w:val="single" w:sz="8" w:color="4C4C4E"/>
            </w:tcBorders>
          </w:tcPr>
          <w:p>
            <w:pPr>
              <w:spacing w:after="0"/>
              <w:rPr>
                <w:sz w:val="13"/>
                <w:szCs w:val="13"/>
                <w:color w:val="auto"/>
              </w:rPr>
            </w:pPr>
          </w:p>
        </w:tc>
        <w:tc>
          <w:tcPr>
            <w:tcW w:w="60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1.86</w:t>
            </w:r>
          </w:p>
        </w:tc>
        <w:tc>
          <w:tcPr>
            <w:tcW w:w="140" w:type="dxa"/>
            <w:vAlign w:val="bottom"/>
          </w:tcPr>
          <w:p>
            <w:pPr>
              <w:spacing w:after="0"/>
              <w:rPr>
                <w:sz w:val="13"/>
                <w:szCs w:val="13"/>
                <w:color w:val="auto"/>
              </w:rPr>
            </w:pPr>
          </w:p>
        </w:tc>
        <w:tc>
          <w:tcPr>
            <w:tcW w:w="80" w:type="dxa"/>
            <w:vAlign w:val="bottom"/>
            <w:tcBorders>
              <w:top w:val="single" w:sz="8" w:color="4C4C4E"/>
            </w:tcBorders>
          </w:tcPr>
          <w:p>
            <w:pPr>
              <w:spacing w:after="0"/>
              <w:rPr>
                <w:sz w:val="13"/>
                <w:szCs w:val="13"/>
                <w:color w:val="auto"/>
              </w:rPr>
            </w:pPr>
          </w:p>
        </w:tc>
        <w:tc>
          <w:tcPr>
            <w:tcW w:w="600" w:type="dxa"/>
            <w:vAlign w:val="bottom"/>
            <w:tcBorders>
              <w:top w:val="single" w:sz="8" w:color="4C4C4E"/>
            </w:tcBorders>
          </w:tcPr>
          <w:p>
            <w:pPr>
              <w:jc w:val="right"/>
              <w:spacing w:after="0"/>
              <w:rPr>
                <w:sz w:val="20"/>
                <w:szCs w:val="20"/>
                <w:color w:val="auto"/>
              </w:rPr>
            </w:pPr>
            <w:r>
              <w:rPr>
                <w:rFonts w:ascii="Times New Roman" w:cs="Times New Roman" w:eastAsia="Times New Roman" w:hAnsi="Times New Roman"/>
                <w:sz w:val="13"/>
                <w:szCs w:val="13"/>
                <w:color w:val="4C4C4E"/>
              </w:rPr>
              <w:t>2.34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640" w:type="dxa"/>
            <w:vAlign w:val="bottom"/>
            <w:tcBorders>
              <w:right w:val="single" w:sz="8" w:color="D8EEF4"/>
            </w:tcBorders>
            <w:gridSpan w:val="2"/>
            <w:shd w:val="clear" w:color="auto" w:fill="D8EEF4"/>
          </w:tcPr>
          <w:p>
            <w:pPr>
              <w:spacing w:after="0"/>
              <w:rPr>
                <w:sz w:val="20"/>
                <w:szCs w:val="20"/>
                <w:color w:val="auto"/>
              </w:rPr>
            </w:pPr>
            <w:r>
              <w:rPr>
                <w:rFonts w:ascii="Times New Roman" w:cs="Times New Roman" w:eastAsia="Times New Roman" w:hAnsi="Times New Roman"/>
                <w:sz w:val="13"/>
                <w:szCs w:val="13"/>
                <w:color w:val="4C4C4E"/>
              </w:rPr>
              <w:t>Issuance of common stock, net of offering costs</w:t>
            </w:r>
          </w:p>
        </w:tc>
        <w:tc>
          <w:tcPr>
            <w:tcW w:w="40" w:type="dxa"/>
            <w:vAlign w:val="bottom"/>
            <w:shd w:val="clear" w:color="auto" w:fill="D8EEF4"/>
          </w:tcPr>
          <w:p>
            <w:pPr>
              <w:spacing w:after="0"/>
              <w:rPr>
                <w:sz w:val="13"/>
                <w:szCs w:val="13"/>
                <w:color w:val="auto"/>
              </w:rPr>
            </w:pPr>
          </w:p>
        </w:tc>
        <w:tc>
          <w:tcPr>
            <w:tcW w:w="60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0.06</w:t>
            </w: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0.18</w:t>
            </w:r>
          </w:p>
        </w:tc>
        <w:tc>
          <w:tcPr>
            <w:tcW w:w="16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0.05</w:t>
            </w: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0.04</w:t>
            </w: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0.31</w:t>
            </w: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0.01</w:t>
            </w: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0.04</w:t>
            </w: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0.08</w:t>
            </w: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0.03</w:t>
            </w: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vMerge w:val="restart"/>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0.03</w:t>
            </w:r>
          </w:p>
        </w:tc>
        <w:tc>
          <w:tcPr>
            <w:tcW w:w="120" w:type="dxa"/>
            <w:vAlign w:val="bottom"/>
            <w:shd w:val="clear" w:color="auto" w:fill="D8EEF4"/>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0" w:type="dxa"/>
            <w:vAlign w:val="bottom"/>
            <w:tcBorders>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8"/>
                <w:szCs w:val="8"/>
                <w:color w:val="4C4C4E"/>
              </w:rPr>
              <w:t>(2)</w:t>
            </w:r>
          </w:p>
        </w:tc>
        <w:tc>
          <w:tcPr>
            <w:tcW w:w="40" w:type="dxa"/>
            <w:vAlign w:val="bottom"/>
            <w:tcBorders>
              <w:bottom w:val="single" w:sz="8" w:color="D8EEF4"/>
              <w:right w:val="single" w:sz="8" w:color="D8EEF4"/>
            </w:tcBorders>
            <w:shd w:val="clear" w:color="auto" w:fill="D8EEF4"/>
          </w:tcPr>
          <w:p>
            <w:pPr>
              <w:spacing w:after="0"/>
              <w:rPr>
                <w:sz w:val="11"/>
                <w:szCs w:val="11"/>
                <w:color w:val="auto"/>
              </w:rPr>
            </w:pPr>
          </w:p>
        </w:tc>
        <w:tc>
          <w:tcPr>
            <w:tcW w:w="40" w:type="dxa"/>
            <w:vAlign w:val="bottom"/>
            <w:tcBorders>
              <w:bottom w:val="single" w:sz="8" w:color="D8EEF4"/>
            </w:tcBorders>
            <w:shd w:val="clear" w:color="auto" w:fill="D8EEF4"/>
          </w:tcPr>
          <w:p>
            <w:pPr>
              <w:spacing w:after="0"/>
              <w:rPr>
                <w:sz w:val="11"/>
                <w:szCs w:val="11"/>
                <w:color w:val="auto"/>
              </w:rPr>
            </w:pPr>
          </w:p>
        </w:tc>
        <w:tc>
          <w:tcPr>
            <w:tcW w:w="600" w:type="dxa"/>
            <w:vAlign w:val="bottom"/>
            <w:tcBorders>
              <w:bottom w:val="single" w:sz="8" w:color="D8EEF4"/>
            </w:tcBorders>
            <w:vMerge w:val="continue"/>
            <w:shd w:val="clear" w:color="auto" w:fill="D8EEF4"/>
          </w:tcPr>
          <w:p>
            <w:pPr>
              <w:spacing w:after="0"/>
              <w:rPr>
                <w:sz w:val="11"/>
                <w:szCs w:val="11"/>
                <w:color w:val="auto"/>
              </w:rPr>
            </w:pPr>
          </w:p>
        </w:tc>
        <w:tc>
          <w:tcPr>
            <w:tcW w:w="20" w:type="dxa"/>
            <w:vAlign w:val="bottom"/>
            <w:tcBorders>
              <w:bottom w:val="single" w:sz="8" w:color="D8EEF4"/>
            </w:tcBorders>
            <w:shd w:val="clear" w:color="auto" w:fill="D8EEF4"/>
          </w:tcPr>
          <w:p>
            <w:pPr>
              <w:spacing w:after="0"/>
              <w:rPr>
                <w:sz w:val="11"/>
                <w:szCs w:val="11"/>
                <w:color w:val="auto"/>
              </w:rPr>
            </w:pPr>
          </w:p>
        </w:tc>
        <w:tc>
          <w:tcPr>
            <w:tcW w:w="140" w:type="dxa"/>
            <w:vAlign w:val="bottom"/>
            <w:tcBorders>
              <w:bottom w:val="single" w:sz="8" w:color="D8EEF4"/>
            </w:tcBorders>
            <w:shd w:val="clear" w:color="auto" w:fill="D8EEF4"/>
          </w:tcPr>
          <w:p>
            <w:pPr>
              <w:spacing w:after="0"/>
              <w:rPr>
                <w:sz w:val="11"/>
                <w:szCs w:val="11"/>
                <w:color w:val="auto"/>
              </w:rPr>
            </w:pPr>
          </w:p>
        </w:tc>
        <w:tc>
          <w:tcPr>
            <w:tcW w:w="60" w:type="dxa"/>
            <w:vAlign w:val="bottom"/>
            <w:tcBorders>
              <w:bottom w:val="single" w:sz="8" w:color="D8EEF4"/>
            </w:tcBorders>
            <w:shd w:val="clear" w:color="auto" w:fill="D8EEF4"/>
          </w:tcPr>
          <w:p>
            <w:pPr>
              <w:spacing w:after="0"/>
              <w:rPr>
                <w:sz w:val="11"/>
                <w:szCs w:val="11"/>
                <w:color w:val="auto"/>
              </w:rPr>
            </w:pPr>
          </w:p>
        </w:tc>
        <w:tc>
          <w:tcPr>
            <w:tcW w:w="600" w:type="dxa"/>
            <w:vAlign w:val="bottom"/>
            <w:tcBorders>
              <w:bottom w:val="single" w:sz="8" w:color="D8EEF4"/>
            </w:tcBorders>
            <w:vMerge w:val="continue"/>
            <w:shd w:val="clear" w:color="auto" w:fill="D8EEF4"/>
          </w:tcPr>
          <w:p>
            <w:pPr>
              <w:spacing w:after="0"/>
              <w:rPr>
                <w:sz w:val="11"/>
                <w:szCs w:val="11"/>
                <w:color w:val="auto"/>
              </w:rPr>
            </w:pPr>
          </w:p>
        </w:tc>
        <w:tc>
          <w:tcPr>
            <w:tcW w:w="160" w:type="dxa"/>
            <w:vAlign w:val="bottom"/>
            <w:tcBorders>
              <w:bottom w:val="single" w:sz="8" w:color="D8EEF4"/>
            </w:tcBorders>
            <w:shd w:val="clear" w:color="auto" w:fill="D8EEF4"/>
          </w:tcPr>
          <w:p>
            <w:pPr>
              <w:spacing w:after="0"/>
              <w:rPr>
                <w:sz w:val="11"/>
                <w:szCs w:val="11"/>
                <w:color w:val="auto"/>
              </w:rPr>
            </w:pPr>
          </w:p>
        </w:tc>
        <w:tc>
          <w:tcPr>
            <w:tcW w:w="60" w:type="dxa"/>
            <w:vAlign w:val="bottom"/>
            <w:tcBorders>
              <w:bottom w:val="single" w:sz="8" w:color="D8EEF4"/>
            </w:tcBorders>
            <w:shd w:val="clear" w:color="auto" w:fill="D8EEF4"/>
          </w:tcPr>
          <w:p>
            <w:pPr>
              <w:spacing w:after="0"/>
              <w:rPr>
                <w:sz w:val="11"/>
                <w:szCs w:val="11"/>
                <w:color w:val="auto"/>
              </w:rPr>
            </w:pPr>
          </w:p>
        </w:tc>
        <w:tc>
          <w:tcPr>
            <w:tcW w:w="600" w:type="dxa"/>
            <w:vAlign w:val="bottom"/>
            <w:tcBorders>
              <w:bottom w:val="single" w:sz="8" w:color="D8EEF4"/>
            </w:tcBorders>
            <w:vMerge w:val="continue"/>
            <w:shd w:val="clear" w:color="auto" w:fill="D8EEF4"/>
          </w:tcPr>
          <w:p>
            <w:pPr>
              <w:spacing w:after="0"/>
              <w:rPr>
                <w:sz w:val="11"/>
                <w:szCs w:val="11"/>
                <w:color w:val="auto"/>
              </w:rPr>
            </w:pPr>
          </w:p>
        </w:tc>
        <w:tc>
          <w:tcPr>
            <w:tcW w:w="20" w:type="dxa"/>
            <w:vAlign w:val="bottom"/>
            <w:tcBorders>
              <w:bottom w:val="single" w:sz="8" w:color="D8EEF4"/>
            </w:tcBorders>
            <w:shd w:val="clear" w:color="auto" w:fill="D8EEF4"/>
          </w:tcPr>
          <w:p>
            <w:pPr>
              <w:spacing w:after="0"/>
              <w:rPr>
                <w:sz w:val="11"/>
                <w:szCs w:val="11"/>
                <w:color w:val="auto"/>
              </w:rPr>
            </w:pPr>
          </w:p>
        </w:tc>
        <w:tc>
          <w:tcPr>
            <w:tcW w:w="140" w:type="dxa"/>
            <w:vAlign w:val="bottom"/>
            <w:tcBorders>
              <w:bottom w:val="single" w:sz="8" w:color="D8EEF4"/>
            </w:tcBorders>
            <w:shd w:val="clear" w:color="auto" w:fill="D8EEF4"/>
          </w:tcPr>
          <w:p>
            <w:pPr>
              <w:spacing w:after="0"/>
              <w:rPr>
                <w:sz w:val="11"/>
                <w:szCs w:val="11"/>
                <w:color w:val="auto"/>
              </w:rPr>
            </w:pPr>
          </w:p>
        </w:tc>
        <w:tc>
          <w:tcPr>
            <w:tcW w:w="60" w:type="dxa"/>
            <w:vAlign w:val="bottom"/>
            <w:tcBorders>
              <w:bottom w:val="single" w:sz="8" w:color="D8EEF4"/>
            </w:tcBorders>
            <w:shd w:val="clear" w:color="auto" w:fill="D8EEF4"/>
          </w:tcPr>
          <w:p>
            <w:pPr>
              <w:spacing w:after="0"/>
              <w:rPr>
                <w:sz w:val="11"/>
                <w:szCs w:val="11"/>
                <w:color w:val="auto"/>
              </w:rPr>
            </w:pPr>
          </w:p>
        </w:tc>
        <w:tc>
          <w:tcPr>
            <w:tcW w:w="620" w:type="dxa"/>
            <w:vAlign w:val="bottom"/>
            <w:tcBorders>
              <w:bottom w:val="single" w:sz="8" w:color="D8EEF4"/>
            </w:tcBorders>
            <w:vMerge w:val="continue"/>
            <w:shd w:val="clear" w:color="auto" w:fill="D8EEF4"/>
          </w:tcPr>
          <w:p>
            <w:pPr>
              <w:spacing w:after="0"/>
              <w:rPr>
                <w:sz w:val="11"/>
                <w:szCs w:val="11"/>
                <w:color w:val="auto"/>
              </w:rPr>
            </w:pPr>
          </w:p>
        </w:tc>
        <w:tc>
          <w:tcPr>
            <w:tcW w:w="20" w:type="dxa"/>
            <w:vAlign w:val="bottom"/>
            <w:tcBorders>
              <w:bottom w:val="single" w:sz="8" w:color="D8EEF4"/>
            </w:tcBorders>
            <w:shd w:val="clear" w:color="auto" w:fill="D8EEF4"/>
          </w:tcPr>
          <w:p>
            <w:pPr>
              <w:spacing w:after="0"/>
              <w:rPr>
                <w:sz w:val="11"/>
                <w:szCs w:val="11"/>
                <w:color w:val="auto"/>
              </w:rPr>
            </w:pPr>
          </w:p>
        </w:tc>
        <w:tc>
          <w:tcPr>
            <w:tcW w:w="120" w:type="dxa"/>
            <w:vAlign w:val="bottom"/>
            <w:tcBorders>
              <w:bottom w:val="single" w:sz="8" w:color="D8EEF4"/>
            </w:tcBorders>
            <w:shd w:val="clear" w:color="auto" w:fill="D8EEF4"/>
          </w:tcPr>
          <w:p>
            <w:pPr>
              <w:spacing w:after="0"/>
              <w:rPr>
                <w:sz w:val="11"/>
                <w:szCs w:val="11"/>
                <w:color w:val="auto"/>
              </w:rPr>
            </w:pPr>
          </w:p>
        </w:tc>
        <w:tc>
          <w:tcPr>
            <w:tcW w:w="60" w:type="dxa"/>
            <w:vAlign w:val="bottom"/>
            <w:tcBorders>
              <w:bottom w:val="single" w:sz="8" w:color="D8EEF4"/>
            </w:tcBorders>
            <w:shd w:val="clear" w:color="auto" w:fill="D8EEF4"/>
          </w:tcPr>
          <w:p>
            <w:pPr>
              <w:spacing w:after="0"/>
              <w:rPr>
                <w:sz w:val="11"/>
                <w:szCs w:val="11"/>
                <w:color w:val="auto"/>
              </w:rPr>
            </w:pPr>
          </w:p>
        </w:tc>
        <w:tc>
          <w:tcPr>
            <w:tcW w:w="620" w:type="dxa"/>
            <w:vAlign w:val="bottom"/>
            <w:tcBorders>
              <w:bottom w:val="single" w:sz="8" w:color="D8EEF4"/>
            </w:tcBorders>
            <w:vMerge w:val="continue"/>
            <w:shd w:val="clear" w:color="auto" w:fill="D8EEF4"/>
          </w:tcPr>
          <w:p>
            <w:pPr>
              <w:spacing w:after="0"/>
              <w:rPr>
                <w:sz w:val="11"/>
                <w:szCs w:val="11"/>
                <w:color w:val="auto"/>
              </w:rPr>
            </w:pPr>
          </w:p>
        </w:tc>
        <w:tc>
          <w:tcPr>
            <w:tcW w:w="20" w:type="dxa"/>
            <w:vAlign w:val="bottom"/>
            <w:tcBorders>
              <w:bottom w:val="single" w:sz="8" w:color="D8EEF4"/>
            </w:tcBorders>
            <w:shd w:val="clear" w:color="auto" w:fill="D8EEF4"/>
          </w:tcPr>
          <w:p>
            <w:pPr>
              <w:spacing w:after="0"/>
              <w:rPr>
                <w:sz w:val="11"/>
                <w:szCs w:val="11"/>
                <w:color w:val="auto"/>
              </w:rPr>
            </w:pPr>
          </w:p>
        </w:tc>
        <w:tc>
          <w:tcPr>
            <w:tcW w:w="120" w:type="dxa"/>
            <w:vAlign w:val="bottom"/>
            <w:tcBorders>
              <w:bottom w:val="single" w:sz="8" w:color="D8EEF4"/>
            </w:tcBorders>
            <w:shd w:val="clear" w:color="auto" w:fill="D8EEF4"/>
          </w:tcPr>
          <w:p>
            <w:pPr>
              <w:spacing w:after="0"/>
              <w:rPr>
                <w:sz w:val="11"/>
                <w:szCs w:val="11"/>
                <w:color w:val="auto"/>
              </w:rPr>
            </w:pPr>
          </w:p>
        </w:tc>
        <w:tc>
          <w:tcPr>
            <w:tcW w:w="60" w:type="dxa"/>
            <w:vAlign w:val="bottom"/>
            <w:tcBorders>
              <w:bottom w:val="single" w:sz="8" w:color="D8EEF4"/>
            </w:tcBorders>
            <w:shd w:val="clear" w:color="auto" w:fill="D8EEF4"/>
          </w:tcPr>
          <w:p>
            <w:pPr>
              <w:spacing w:after="0"/>
              <w:rPr>
                <w:sz w:val="11"/>
                <w:szCs w:val="11"/>
                <w:color w:val="auto"/>
              </w:rPr>
            </w:pPr>
          </w:p>
        </w:tc>
        <w:tc>
          <w:tcPr>
            <w:tcW w:w="620" w:type="dxa"/>
            <w:vAlign w:val="bottom"/>
            <w:tcBorders>
              <w:bottom w:val="single" w:sz="8" w:color="D8EEF4"/>
            </w:tcBorders>
            <w:vMerge w:val="continue"/>
            <w:shd w:val="clear" w:color="auto" w:fill="D8EEF4"/>
          </w:tcPr>
          <w:p>
            <w:pPr>
              <w:spacing w:after="0"/>
              <w:rPr>
                <w:sz w:val="11"/>
                <w:szCs w:val="11"/>
                <w:color w:val="auto"/>
              </w:rPr>
            </w:pPr>
          </w:p>
        </w:tc>
        <w:tc>
          <w:tcPr>
            <w:tcW w:w="140" w:type="dxa"/>
            <w:vAlign w:val="bottom"/>
            <w:tcBorders>
              <w:bottom w:val="single" w:sz="8" w:color="D8EEF4"/>
            </w:tcBorders>
            <w:shd w:val="clear" w:color="auto" w:fill="D8EEF4"/>
          </w:tcPr>
          <w:p>
            <w:pPr>
              <w:spacing w:after="0"/>
              <w:rPr>
                <w:sz w:val="11"/>
                <w:szCs w:val="11"/>
                <w:color w:val="auto"/>
              </w:rPr>
            </w:pPr>
          </w:p>
        </w:tc>
        <w:tc>
          <w:tcPr>
            <w:tcW w:w="80" w:type="dxa"/>
            <w:vAlign w:val="bottom"/>
            <w:tcBorders>
              <w:bottom w:val="single" w:sz="8" w:color="D8EEF4"/>
            </w:tcBorders>
            <w:shd w:val="clear" w:color="auto" w:fill="D8EEF4"/>
          </w:tcPr>
          <w:p>
            <w:pPr>
              <w:spacing w:after="0"/>
              <w:rPr>
                <w:sz w:val="11"/>
                <w:szCs w:val="11"/>
                <w:color w:val="auto"/>
              </w:rPr>
            </w:pPr>
          </w:p>
        </w:tc>
        <w:tc>
          <w:tcPr>
            <w:tcW w:w="600" w:type="dxa"/>
            <w:vAlign w:val="bottom"/>
            <w:tcBorders>
              <w:bottom w:val="single" w:sz="8" w:color="D8EEF4"/>
            </w:tcBorders>
            <w:vMerge w:val="continue"/>
            <w:shd w:val="clear" w:color="auto" w:fill="D8EEF4"/>
          </w:tcPr>
          <w:p>
            <w:pPr>
              <w:spacing w:after="0"/>
              <w:rPr>
                <w:sz w:val="11"/>
                <w:szCs w:val="11"/>
                <w:color w:val="auto"/>
              </w:rPr>
            </w:pPr>
          </w:p>
        </w:tc>
        <w:tc>
          <w:tcPr>
            <w:tcW w:w="140" w:type="dxa"/>
            <w:vAlign w:val="bottom"/>
            <w:tcBorders>
              <w:bottom w:val="single" w:sz="8" w:color="D8EEF4"/>
            </w:tcBorders>
            <w:shd w:val="clear" w:color="auto" w:fill="D8EEF4"/>
          </w:tcPr>
          <w:p>
            <w:pPr>
              <w:spacing w:after="0"/>
              <w:rPr>
                <w:sz w:val="11"/>
                <w:szCs w:val="11"/>
                <w:color w:val="auto"/>
              </w:rPr>
            </w:pPr>
          </w:p>
        </w:tc>
        <w:tc>
          <w:tcPr>
            <w:tcW w:w="60" w:type="dxa"/>
            <w:vAlign w:val="bottom"/>
            <w:tcBorders>
              <w:bottom w:val="single" w:sz="8" w:color="D8EEF4"/>
            </w:tcBorders>
            <w:shd w:val="clear" w:color="auto" w:fill="D8EEF4"/>
          </w:tcPr>
          <w:p>
            <w:pPr>
              <w:spacing w:after="0"/>
              <w:rPr>
                <w:sz w:val="11"/>
                <w:szCs w:val="11"/>
                <w:color w:val="auto"/>
              </w:rPr>
            </w:pPr>
          </w:p>
        </w:tc>
        <w:tc>
          <w:tcPr>
            <w:tcW w:w="620" w:type="dxa"/>
            <w:vAlign w:val="bottom"/>
            <w:tcBorders>
              <w:bottom w:val="single" w:sz="8" w:color="D8EEF4"/>
            </w:tcBorders>
            <w:vMerge w:val="continue"/>
            <w:shd w:val="clear" w:color="auto" w:fill="D8EEF4"/>
          </w:tcPr>
          <w:p>
            <w:pPr>
              <w:spacing w:after="0"/>
              <w:rPr>
                <w:sz w:val="11"/>
                <w:szCs w:val="11"/>
                <w:color w:val="auto"/>
              </w:rPr>
            </w:pPr>
          </w:p>
        </w:tc>
        <w:tc>
          <w:tcPr>
            <w:tcW w:w="140" w:type="dxa"/>
            <w:vAlign w:val="bottom"/>
            <w:tcBorders>
              <w:bottom w:val="single" w:sz="8" w:color="D8EEF4"/>
            </w:tcBorders>
            <w:shd w:val="clear" w:color="auto" w:fill="D8EEF4"/>
          </w:tcPr>
          <w:p>
            <w:pPr>
              <w:spacing w:after="0"/>
              <w:rPr>
                <w:sz w:val="11"/>
                <w:szCs w:val="11"/>
                <w:color w:val="auto"/>
              </w:rPr>
            </w:pPr>
          </w:p>
        </w:tc>
        <w:tc>
          <w:tcPr>
            <w:tcW w:w="80" w:type="dxa"/>
            <w:vAlign w:val="bottom"/>
            <w:tcBorders>
              <w:bottom w:val="single" w:sz="8" w:color="D8EEF4"/>
            </w:tcBorders>
            <w:shd w:val="clear" w:color="auto" w:fill="D8EEF4"/>
          </w:tcPr>
          <w:p>
            <w:pPr>
              <w:spacing w:after="0"/>
              <w:rPr>
                <w:sz w:val="11"/>
                <w:szCs w:val="11"/>
                <w:color w:val="auto"/>
              </w:rPr>
            </w:pPr>
          </w:p>
        </w:tc>
        <w:tc>
          <w:tcPr>
            <w:tcW w:w="600" w:type="dxa"/>
            <w:vAlign w:val="bottom"/>
            <w:tcBorders>
              <w:bottom w:val="single" w:sz="8" w:color="D8EEF4"/>
            </w:tcBorders>
            <w:vMerge w:val="continue"/>
            <w:shd w:val="clear" w:color="auto" w:fill="D8EEF4"/>
          </w:tcPr>
          <w:p>
            <w:pPr>
              <w:spacing w:after="0"/>
              <w:rPr>
                <w:sz w:val="11"/>
                <w:szCs w:val="11"/>
                <w:color w:val="auto"/>
              </w:rPr>
            </w:pPr>
          </w:p>
        </w:tc>
        <w:tc>
          <w:tcPr>
            <w:tcW w:w="140" w:type="dxa"/>
            <w:vAlign w:val="bottom"/>
            <w:tcBorders>
              <w:bottom w:val="single" w:sz="8" w:color="D8EEF4"/>
            </w:tcBorders>
            <w:shd w:val="clear" w:color="auto" w:fill="D8EEF4"/>
          </w:tcPr>
          <w:p>
            <w:pPr>
              <w:spacing w:after="0"/>
              <w:rPr>
                <w:sz w:val="11"/>
                <w:szCs w:val="11"/>
                <w:color w:val="auto"/>
              </w:rPr>
            </w:pPr>
          </w:p>
        </w:tc>
        <w:tc>
          <w:tcPr>
            <w:tcW w:w="80" w:type="dxa"/>
            <w:vAlign w:val="bottom"/>
            <w:tcBorders>
              <w:bottom w:val="single" w:sz="8" w:color="D8EEF4"/>
            </w:tcBorders>
            <w:shd w:val="clear" w:color="auto" w:fill="D8EEF4"/>
          </w:tcPr>
          <w:p>
            <w:pPr>
              <w:spacing w:after="0"/>
              <w:rPr>
                <w:sz w:val="11"/>
                <w:szCs w:val="11"/>
                <w:color w:val="auto"/>
              </w:rPr>
            </w:pPr>
          </w:p>
        </w:tc>
        <w:tc>
          <w:tcPr>
            <w:tcW w:w="600" w:type="dxa"/>
            <w:vAlign w:val="bottom"/>
            <w:tcBorders>
              <w:bottom w:val="single" w:sz="8" w:color="D8EEF4"/>
            </w:tcBorders>
            <w:vMerge w:val="continue"/>
            <w:shd w:val="clear" w:color="auto" w:fill="D8EEF4"/>
          </w:tcPr>
          <w:p>
            <w:pPr>
              <w:spacing w:after="0"/>
              <w:rPr>
                <w:sz w:val="11"/>
                <w:szCs w:val="11"/>
                <w:color w:val="auto"/>
              </w:rPr>
            </w:pPr>
          </w:p>
        </w:tc>
        <w:tc>
          <w:tcPr>
            <w:tcW w:w="120" w:type="dxa"/>
            <w:vAlign w:val="bottom"/>
            <w:tcBorders>
              <w:bottom w:val="single" w:sz="8" w:color="D8EEF4"/>
            </w:tcBorders>
            <w:shd w:val="clear" w:color="auto" w:fill="D8EEF4"/>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640" w:type="dxa"/>
            <w:vAlign w:val="bottom"/>
            <w:gridSpan w:val="2"/>
          </w:tcPr>
          <w:p>
            <w:pPr>
              <w:spacing w:after="0" w:line="164" w:lineRule="exact"/>
              <w:rPr>
                <w:sz w:val="20"/>
                <w:szCs w:val="20"/>
                <w:color w:val="auto"/>
              </w:rPr>
            </w:pPr>
            <w:r>
              <w:rPr>
                <w:rFonts w:ascii="Times New Roman" w:cs="Times New Roman" w:eastAsia="Times New Roman" w:hAnsi="Times New Roman"/>
                <w:sz w:val="13"/>
                <w:szCs w:val="13"/>
                <w:color w:val="4C4C4E"/>
              </w:rPr>
              <w:t xml:space="preserve">Settlement of 2022 Convertible Notes </w:t>
            </w:r>
            <w:r>
              <w:rPr>
                <w:rFonts w:ascii="Times New Roman" w:cs="Times New Roman" w:eastAsia="Times New Roman" w:hAnsi="Times New Roman"/>
                <w:sz w:val="16"/>
                <w:szCs w:val="16"/>
                <w:color w:val="4C4C4E"/>
                <w:vertAlign w:val="superscript"/>
              </w:rPr>
              <w:t>(2)</w:t>
            </w:r>
          </w:p>
        </w:tc>
        <w:tc>
          <w:tcPr>
            <w:tcW w:w="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0.08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0.03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4C4C4E"/>
              </w:rPr>
              <w:t>—</w:t>
            </w:r>
          </w:p>
        </w:tc>
        <w:tc>
          <w:tcPr>
            <w:tcW w:w="0" w:type="dxa"/>
            <w:vAlign w:val="bottom"/>
          </w:tcPr>
          <w:p>
            <w:pPr>
              <w:spacing w:after="0"/>
              <w:rPr>
                <w:sz w:val="1"/>
                <w:szCs w:val="1"/>
                <w:color w:val="auto"/>
              </w:rPr>
            </w:pPr>
          </w:p>
        </w:tc>
      </w:tr>
      <w:tr>
        <w:trPr>
          <w:trHeight w:val="164"/>
        </w:trPr>
        <w:tc>
          <w:tcPr>
            <w:tcW w:w="2640" w:type="dxa"/>
            <w:vAlign w:val="bottom"/>
            <w:tcBorders>
              <w:right w:val="single" w:sz="8" w:color="D8EEF4"/>
            </w:tcBorders>
            <w:gridSpan w:val="2"/>
            <w:shd w:val="clear" w:color="auto" w:fill="D8EEF4"/>
          </w:tcPr>
          <w:p>
            <w:pPr>
              <w:spacing w:after="0" w:line="164" w:lineRule="exact"/>
              <w:rPr>
                <w:sz w:val="20"/>
                <w:szCs w:val="20"/>
                <w:color w:val="auto"/>
              </w:rPr>
            </w:pPr>
            <w:r>
              <w:rPr>
                <w:rFonts w:ascii="Times New Roman" w:cs="Times New Roman" w:eastAsia="Times New Roman" w:hAnsi="Times New Roman"/>
                <w:sz w:val="13"/>
                <w:szCs w:val="13"/>
                <w:color w:val="4C4C4E"/>
              </w:rPr>
              <w:t xml:space="preserve">Repurchase of common stock </w:t>
            </w:r>
            <w:r>
              <w:rPr>
                <w:rFonts w:ascii="Times New Roman" w:cs="Times New Roman" w:eastAsia="Times New Roman" w:hAnsi="Times New Roman"/>
                <w:sz w:val="16"/>
                <w:szCs w:val="16"/>
                <w:color w:val="4C4C4E"/>
                <w:vertAlign w:val="superscript"/>
              </w:rPr>
              <w:t>(2)</w:t>
            </w:r>
          </w:p>
        </w:tc>
        <w:tc>
          <w:tcPr>
            <w:tcW w:w="4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(0.02)</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0.01</w:t>
            </w:r>
          </w:p>
        </w:tc>
        <w:tc>
          <w:tcPr>
            <w:tcW w:w="1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80" w:type="dxa"/>
            <w:vAlign w:val="bottom"/>
            <w:shd w:val="clear" w:color="auto" w:fill="D8EEF4"/>
          </w:tcPr>
          <w:p>
            <w:pPr>
              <w:spacing w:after="0"/>
              <w:rPr>
                <w:sz w:val="14"/>
                <w:szCs w:val="14"/>
                <w:color w:val="auto"/>
              </w:rPr>
            </w:pPr>
          </w:p>
        </w:tc>
        <w:tc>
          <w:tcPr>
            <w:tcW w:w="720" w:type="dxa"/>
            <w:vAlign w:val="bottom"/>
            <w:gridSpan w:val="2"/>
            <w:shd w:val="clear" w:color="auto" w:fill="D8EEF4"/>
          </w:tcPr>
          <w:p>
            <w:pPr>
              <w:jc w:val="right"/>
              <w:ind w:right="140"/>
              <w:spacing w:after="0"/>
              <w:rPr>
                <w:sz w:val="20"/>
                <w:szCs w:val="20"/>
                <w:color w:val="auto"/>
              </w:rPr>
            </w:pPr>
            <w:r>
              <w:rPr>
                <w:rFonts w:ascii="Times New Roman" w:cs="Times New Roman" w:eastAsia="Times New Roman" w:hAnsi="Times New Roman"/>
                <w:sz w:val="13"/>
                <w:szCs w:val="13"/>
                <w:color w:val="4C4C4E"/>
              </w:rPr>
              <w:t>—</w:t>
            </w:r>
          </w:p>
        </w:tc>
        <w:tc>
          <w:tcPr>
            <w:tcW w:w="0" w:type="dxa"/>
            <w:vAlign w:val="bottom"/>
          </w:tcPr>
          <w:p>
            <w:pPr>
              <w:spacing w:after="0"/>
              <w:rPr>
                <w:sz w:val="1"/>
                <w:szCs w:val="1"/>
                <w:color w:val="auto"/>
              </w:rPr>
            </w:pPr>
          </w:p>
        </w:tc>
      </w:tr>
      <w:tr>
        <w:trPr>
          <w:trHeight w:val="163"/>
        </w:trPr>
        <w:tc>
          <w:tcPr>
            <w:tcW w:w="2640" w:type="dxa"/>
            <w:vAlign w:val="bottom"/>
            <w:gridSpan w:val="2"/>
          </w:tcPr>
          <w:p>
            <w:pPr>
              <w:spacing w:after="0" w:line="164" w:lineRule="exact"/>
              <w:rPr>
                <w:sz w:val="20"/>
                <w:szCs w:val="20"/>
                <w:color w:val="auto"/>
              </w:rPr>
            </w:pPr>
            <w:r>
              <w:rPr>
                <w:rFonts w:ascii="Times New Roman" w:cs="Times New Roman" w:eastAsia="Times New Roman" w:hAnsi="Times New Roman"/>
                <w:sz w:val="13"/>
                <w:szCs w:val="13"/>
                <w:color w:val="4C4C4E"/>
              </w:rPr>
              <w:t xml:space="preserve">Repurchase of debt </w:t>
            </w:r>
            <w:r>
              <w:rPr>
                <w:rFonts w:ascii="Times New Roman" w:cs="Times New Roman" w:eastAsia="Times New Roman" w:hAnsi="Times New Roman"/>
                <w:sz w:val="16"/>
                <w:szCs w:val="16"/>
                <w:color w:val="4C4C4E"/>
                <w:vertAlign w:val="superscript"/>
              </w:rPr>
              <w:t>(2)</w:t>
            </w:r>
          </w:p>
        </w:tc>
        <w:tc>
          <w:tcPr>
            <w:tcW w:w="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4C4C4E"/>
              </w:rPr>
              <w:t>(0.01)</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4C4C4E"/>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4C4C4E"/>
              </w:rPr>
              <w:t>—</w:t>
            </w:r>
          </w:p>
        </w:tc>
        <w:tc>
          <w:tcPr>
            <w:tcW w:w="0" w:type="dxa"/>
            <w:vAlign w:val="bottom"/>
          </w:tcPr>
          <w:p>
            <w:pPr>
              <w:spacing w:after="0"/>
              <w:rPr>
                <w:sz w:val="1"/>
                <w:szCs w:val="1"/>
                <w:color w:val="auto"/>
              </w:rPr>
            </w:pPr>
          </w:p>
        </w:tc>
      </w:tr>
      <w:tr>
        <w:trPr>
          <w:trHeight w:val="163"/>
        </w:trPr>
        <w:tc>
          <w:tcPr>
            <w:tcW w:w="2640" w:type="dxa"/>
            <w:vAlign w:val="bottom"/>
            <w:tcBorders>
              <w:right w:val="single" w:sz="8" w:color="D8EEF4"/>
            </w:tcBorders>
            <w:gridSpan w:val="2"/>
            <w:shd w:val="clear" w:color="auto" w:fill="D8EEF4"/>
          </w:tcPr>
          <w:p>
            <w:pPr>
              <w:spacing w:after="0" w:line="164" w:lineRule="exact"/>
              <w:rPr>
                <w:sz w:val="20"/>
                <w:szCs w:val="20"/>
                <w:color w:val="auto"/>
              </w:rPr>
            </w:pPr>
            <w:r>
              <w:rPr>
                <w:rFonts w:ascii="Times New Roman" w:cs="Times New Roman" w:eastAsia="Times New Roman" w:hAnsi="Times New Roman"/>
                <w:sz w:val="13"/>
                <w:szCs w:val="13"/>
                <w:color w:val="4C4C4E"/>
              </w:rPr>
              <w:t xml:space="preserve">Dividends declared </w:t>
            </w:r>
            <w:r>
              <w:rPr>
                <w:rFonts w:ascii="Times New Roman" w:cs="Times New Roman" w:eastAsia="Times New Roman" w:hAnsi="Times New Roman"/>
                <w:sz w:val="16"/>
                <w:szCs w:val="16"/>
                <w:color w:val="4C4C4E"/>
                <w:vertAlign w:val="superscript"/>
              </w:rPr>
              <w:t>(2)</w:t>
            </w:r>
          </w:p>
        </w:tc>
        <w:tc>
          <w:tcPr>
            <w:tcW w:w="4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(2.05)</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(2.09)</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(2.10)</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(1.84)</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(3.59)</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(2.30)</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(1.81)</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(1.78)</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100"/>
              <w:spacing w:after="0"/>
              <w:rPr>
                <w:sz w:val="20"/>
                <w:szCs w:val="20"/>
                <w:color w:val="auto"/>
              </w:rPr>
            </w:pPr>
            <w:r>
              <w:rPr>
                <w:rFonts w:ascii="Times New Roman" w:cs="Times New Roman" w:eastAsia="Times New Roman" w:hAnsi="Times New Roman"/>
                <w:sz w:val="13"/>
                <w:szCs w:val="13"/>
                <w:color w:val="4C4C4E"/>
              </w:rPr>
              <w:t>(1.75)</w:t>
            </w:r>
          </w:p>
        </w:tc>
        <w:tc>
          <w:tcPr>
            <w:tcW w:w="80" w:type="dxa"/>
            <w:vAlign w:val="bottom"/>
            <w:shd w:val="clear" w:color="auto" w:fill="D8EEF4"/>
          </w:tcPr>
          <w:p>
            <w:pPr>
              <w:spacing w:after="0"/>
              <w:rPr>
                <w:sz w:val="14"/>
                <w:szCs w:val="14"/>
                <w:color w:val="auto"/>
              </w:rPr>
            </w:pPr>
          </w:p>
        </w:tc>
        <w:tc>
          <w:tcPr>
            <w:tcW w:w="72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13"/>
                <w:szCs w:val="13"/>
                <w:color w:val="4C4C4E"/>
              </w:rPr>
              <w:t>(1.56)</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0" w:type="dxa"/>
            <w:vAlign w:val="bottom"/>
            <w:tcBorders>
              <w:right w:val="single" w:sz="8" w:color="4C4C4E"/>
            </w:tcBorders>
          </w:tcPr>
          <w:p>
            <w:pPr>
              <w:spacing w:after="0" w:line="20" w:lineRule="exact"/>
              <w:rPr>
                <w:sz w:val="1"/>
                <w:szCs w:val="1"/>
                <w:color w:val="auto"/>
              </w:rPr>
            </w:pPr>
          </w:p>
        </w:tc>
        <w:tc>
          <w:tcPr>
            <w:tcW w:w="40" w:type="dxa"/>
            <w:vAlign w:val="bottom"/>
            <w:shd w:val="clear" w:color="auto" w:fill="4C4C4E"/>
          </w:tcPr>
          <w:p>
            <w:pPr>
              <w:spacing w:after="0" w:line="20" w:lineRule="exact"/>
              <w:rPr>
                <w:sz w:val="1"/>
                <w:szCs w:val="1"/>
                <w:color w:val="auto"/>
              </w:rPr>
            </w:pPr>
          </w:p>
        </w:tc>
        <w:tc>
          <w:tcPr>
            <w:tcW w:w="600" w:type="dxa"/>
            <w:vAlign w:val="bottom"/>
            <w:shd w:val="clear" w:color="auto" w:fill="4C4C4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shd w:val="clear" w:color="auto" w:fill="4C4C4E"/>
          </w:tcPr>
          <w:p>
            <w:pPr>
              <w:spacing w:after="0" w:line="20" w:lineRule="exact"/>
              <w:rPr>
                <w:sz w:val="1"/>
                <w:szCs w:val="1"/>
                <w:color w:val="auto"/>
              </w:rPr>
            </w:pPr>
          </w:p>
        </w:tc>
        <w:tc>
          <w:tcPr>
            <w:tcW w:w="600" w:type="dxa"/>
            <w:vAlign w:val="bottom"/>
            <w:shd w:val="clear" w:color="auto" w:fill="4C4C4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4C4C4E"/>
          </w:tcPr>
          <w:p>
            <w:pPr>
              <w:spacing w:after="0" w:line="20" w:lineRule="exact"/>
              <w:rPr>
                <w:sz w:val="1"/>
                <w:szCs w:val="1"/>
                <w:color w:val="auto"/>
              </w:rPr>
            </w:pPr>
          </w:p>
        </w:tc>
        <w:tc>
          <w:tcPr>
            <w:tcW w:w="600" w:type="dxa"/>
            <w:vAlign w:val="bottom"/>
            <w:shd w:val="clear" w:color="auto" w:fill="4C4C4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4C4C4E"/>
          </w:tcPr>
          <w:p>
            <w:pPr>
              <w:spacing w:after="0" w:line="20" w:lineRule="exact"/>
              <w:rPr>
                <w:sz w:val="1"/>
                <w:szCs w:val="1"/>
                <w:color w:val="auto"/>
              </w:rPr>
            </w:pPr>
          </w:p>
        </w:tc>
        <w:tc>
          <w:tcPr>
            <w:tcW w:w="620" w:type="dxa"/>
            <w:vAlign w:val="bottom"/>
            <w:shd w:val="clear" w:color="auto" w:fill="4C4C4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shd w:val="clear" w:color="auto" w:fill="4C4C4E"/>
          </w:tcPr>
          <w:p>
            <w:pPr>
              <w:spacing w:after="0" w:line="20" w:lineRule="exact"/>
              <w:rPr>
                <w:sz w:val="1"/>
                <w:szCs w:val="1"/>
                <w:color w:val="auto"/>
              </w:rPr>
            </w:pPr>
          </w:p>
        </w:tc>
        <w:tc>
          <w:tcPr>
            <w:tcW w:w="620" w:type="dxa"/>
            <w:vAlign w:val="bottom"/>
            <w:shd w:val="clear" w:color="auto" w:fill="4C4C4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shd w:val="clear" w:color="auto" w:fill="4C4C4E"/>
          </w:tcPr>
          <w:p>
            <w:pPr>
              <w:spacing w:after="0" w:line="20" w:lineRule="exact"/>
              <w:rPr>
                <w:sz w:val="1"/>
                <w:szCs w:val="1"/>
                <w:color w:val="auto"/>
              </w:rPr>
            </w:pPr>
          </w:p>
        </w:tc>
        <w:tc>
          <w:tcPr>
            <w:tcW w:w="620" w:type="dxa"/>
            <w:vAlign w:val="bottom"/>
            <w:shd w:val="clear" w:color="auto" w:fill="4C4C4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4C4C4E"/>
          </w:tcPr>
          <w:p>
            <w:pPr>
              <w:spacing w:after="0" w:line="20" w:lineRule="exact"/>
              <w:rPr>
                <w:sz w:val="1"/>
                <w:szCs w:val="1"/>
                <w:color w:val="auto"/>
              </w:rPr>
            </w:pPr>
          </w:p>
        </w:tc>
        <w:tc>
          <w:tcPr>
            <w:tcW w:w="600" w:type="dxa"/>
            <w:vAlign w:val="bottom"/>
            <w:shd w:val="clear" w:color="auto" w:fill="4C4C4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4C4C4E"/>
          </w:tcPr>
          <w:p>
            <w:pPr>
              <w:spacing w:after="0" w:line="20" w:lineRule="exact"/>
              <w:rPr>
                <w:sz w:val="1"/>
                <w:szCs w:val="1"/>
                <w:color w:val="auto"/>
              </w:rPr>
            </w:pPr>
          </w:p>
        </w:tc>
        <w:tc>
          <w:tcPr>
            <w:tcW w:w="620" w:type="dxa"/>
            <w:vAlign w:val="bottom"/>
            <w:shd w:val="clear" w:color="auto" w:fill="4C4C4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4C4C4E"/>
          </w:tcPr>
          <w:p>
            <w:pPr>
              <w:spacing w:after="0" w:line="20" w:lineRule="exact"/>
              <w:rPr>
                <w:sz w:val="1"/>
                <w:szCs w:val="1"/>
                <w:color w:val="auto"/>
              </w:rPr>
            </w:pPr>
          </w:p>
        </w:tc>
        <w:tc>
          <w:tcPr>
            <w:tcW w:w="600" w:type="dxa"/>
            <w:vAlign w:val="bottom"/>
            <w:shd w:val="clear" w:color="auto" w:fill="4C4C4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4C4C4E"/>
          </w:tcPr>
          <w:p>
            <w:pPr>
              <w:spacing w:after="0" w:line="20" w:lineRule="exact"/>
              <w:rPr>
                <w:sz w:val="1"/>
                <w:szCs w:val="1"/>
                <w:color w:val="auto"/>
              </w:rPr>
            </w:pPr>
          </w:p>
        </w:tc>
        <w:tc>
          <w:tcPr>
            <w:tcW w:w="600" w:type="dxa"/>
            <w:vAlign w:val="bottom"/>
            <w:shd w:val="clear" w:color="auto" w:fill="4C4C4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color w:val="4C4C4E"/>
              </w:rPr>
              <w:t>Total increase/(decrease) in net assets</w:t>
            </w:r>
          </w:p>
        </w:tc>
        <w:tc>
          <w:tcPr>
            <w:tcW w:w="4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4C4C4E"/>
              </w:rPr>
              <w:t>(0.18)</w:t>
            </w: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0.12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0.56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4C4C4E"/>
              </w:rPr>
              <w:t>(0.36)</w:t>
            </w:r>
          </w:p>
        </w:tc>
        <w:tc>
          <w:tcPr>
            <w:tcW w:w="6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4C4C4E"/>
              </w:rPr>
              <w:t>(0.32)</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0.33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0.58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0.81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600" w:type="dxa"/>
            <w:vAlign w:val="bottom"/>
            <w:tcBorders>
              <w:top w:val="single" w:sz="8" w:color="D8EEF4"/>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3"/>
                <w:szCs w:val="13"/>
                <w:b w:val="1"/>
                <w:bCs w:val="1"/>
                <w:color w:val="4C4C4E"/>
              </w:rPr>
              <w:t>Net Asset Value, End of Period</w:t>
            </w:r>
          </w:p>
        </w:tc>
        <w:tc>
          <w:tcPr>
            <w:tcW w:w="40" w:type="dxa"/>
            <w:vAlign w:val="bottom"/>
            <w:tcBorders>
              <w:top w:val="single" w:sz="8" w:color="D8EEF4"/>
              <w:bottom w:val="single" w:sz="8" w:color="4C4C4E"/>
              <w:right w:val="single" w:sz="8" w:color="D8EEF4"/>
            </w:tcBorders>
            <w:shd w:val="clear" w:color="auto" w:fill="D8EEF4"/>
          </w:tcPr>
          <w:p>
            <w:pPr>
              <w:spacing w:after="0"/>
              <w:rPr>
                <w:sz w:val="13"/>
                <w:szCs w:val="13"/>
                <w:color w:val="auto"/>
              </w:rPr>
            </w:pPr>
          </w:p>
        </w:tc>
        <w:tc>
          <w:tcPr>
            <w:tcW w:w="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5"/>
                <w:szCs w:val="5"/>
                <w:color w:val="4C4C4E"/>
                <w:w w:val="78"/>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16.98</w:t>
            </w:r>
          </w:p>
        </w:tc>
        <w:tc>
          <w:tcPr>
            <w:tcW w:w="20" w:type="dxa"/>
            <w:vAlign w:val="bottom"/>
            <w:tcBorders>
              <w:bottom w:val="single" w:sz="8" w:color="D8EEF4"/>
            </w:tcBorders>
            <w:shd w:val="clear" w:color="auto" w:fill="D8EEF4"/>
          </w:tcPr>
          <w:p>
            <w:pPr>
              <w:spacing w:after="0"/>
              <w:rPr>
                <w:sz w:val="13"/>
                <w:szCs w:val="13"/>
                <w:color w:val="auto"/>
              </w:rPr>
            </w:pPr>
          </w:p>
        </w:tc>
        <w:tc>
          <w:tcPr>
            <w:tcW w:w="140" w:type="dxa"/>
            <w:vAlign w:val="bottom"/>
            <w:tcBorders>
              <w:top w:val="single" w:sz="8" w:color="D8EEF4"/>
              <w:bottom w:val="single" w:sz="8" w:color="D8EEF4"/>
            </w:tcBorders>
            <w:shd w:val="clear" w:color="auto" w:fill="D8EEF4"/>
          </w:tcPr>
          <w:p>
            <w:pPr>
              <w:spacing w:after="0"/>
              <w:rPr>
                <w:sz w:val="13"/>
                <w:szCs w:val="13"/>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17.16</w:t>
            </w:r>
          </w:p>
        </w:tc>
        <w:tc>
          <w:tcPr>
            <w:tcW w:w="160" w:type="dxa"/>
            <w:vAlign w:val="bottom"/>
            <w:tcBorders>
              <w:top w:val="single" w:sz="8" w:color="D8EEF4"/>
              <w:bottom w:val="single" w:sz="8" w:color="D8EEF4"/>
            </w:tcBorders>
            <w:shd w:val="clear" w:color="auto" w:fill="D8EEF4"/>
          </w:tcPr>
          <w:p>
            <w:pPr>
              <w:spacing w:after="0"/>
              <w:rPr>
                <w:sz w:val="13"/>
                <w:szCs w:val="13"/>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17.04</w:t>
            </w:r>
          </w:p>
        </w:tc>
        <w:tc>
          <w:tcPr>
            <w:tcW w:w="20" w:type="dxa"/>
            <w:vAlign w:val="bottom"/>
            <w:tcBorders>
              <w:bottom w:val="single" w:sz="8" w:color="D8EEF4"/>
            </w:tcBorders>
            <w:shd w:val="clear" w:color="auto" w:fill="D8EEF4"/>
          </w:tcPr>
          <w:p>
            <w:pPr>
              <w:spacing w:after="0"/>
              <w:rPr>
                <w:sz w:val="13"/>
                <w:szCs w:val="13"/>
                <w:color w:val="auto"/>
              </w:rPr>
            </w:pPr>
          </w:p>
        </w:tc>
        <w:tc>
          <w:tcPr>
            <w:tcW w:w="140" w:type="dxa"/>
            <w:vAlign w:val="bottom"/>
            <w:tcBorders>
              <w:top w:val="single" w:sz="8" w:color="D8EEF4"/>
              <w:bottom w:val="single" w:sz="8" w:color="D8EEF4"/>
            </w:tcBorders>
            <w:shd w:val="clear" w:color="auto" w:fill="D8EEF4"/>
          </w:tcPr>
          <w:p>
            <w:pPr>
              <w:spacing w:after="0"/>
              <w:rPr>
                <w:sz w:val="13"/>
                <w:szCs w:val="13"/>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16.48</w:t>
            </w:r>
          </w:p>
        </w:tc>
        <w:tc>
          <w:tcPr>
            <w:tcW w:w="20" w:type="dxa"/>
            <w:vAlign w:val="bottom"/>
            <w:tcBorders>
              <w:bottom w:val="single" w:sz="8" w:color="D8EEF4"/>
            </w:tcBorders>
            <w:shd w:val="clear" w:color="auto" w:fill="D8EEF4"/>
          </w:tcPr>
          <w:p>
            <w:pPr>
              <w:spacing w:after="0"/>
              <w:rPr>
                <w:sz w:val="13"/>
                <w:szCs w:val="13"/>
                <w:color w:val="auto"/>
              </w:rPr>
            </w:pPr>
          </w:p>
        </w:tc>
        <w:tc>
          <w:tcPr>
            <w:tcW w:w="120" w:type="dxa"/>
            <w:vAlign w:val="bottom"/>
            <w:tcBorders>
              <w:top w:val="single" w:sz="8" w:color="D8EEF4"/>
              <w:bottom w:val="single" w:sz="8" w:color="D8EEF4"/>
            </w:tcBorders>
            <w:shd w:val="clear" w:color="auto" w:fill="D8EEF4"/>
          </w:tcPr>
          <w:p>
            <w:pPr>
              <w:spacing w:after="0"/>
              <w:rPr>
                <w:sz w:val="13"/>
                <w:szCs w:val="13"/>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16.84</w:t>
            </w:r>
          </w:p>
        </w:tc>
        <w:tc>
          <w:tcPr>
            <w:tcW w:w="20" w:type="dxa"/>
            <w:vAlign w:val="bottom"/>
            <w:tcBorders>
              <w:bottom w:val="single" w:sz="8" w:color="D8EEF4"/>
            </w:tcBorders>
            <w:shd w:val="clear" w:color="auto" w:fill="D8EEF4"/>
          </w:tcPr>
          <w:p>
            <w:pPr>
              <w:spacing w:after="0"/>
              <w:rPr>
                <w:sz w:val="13"/>
                <w:szCs w:val="13"/>
                <w:color w:val="auto"/>
              </w:rPr>
            </w:pPr>
          </w:p>
        </w:tc>
        <w:tc>
          <w:tcPr>
            <w:tcW w:w="120" w:type="dxa"/>
            <w:vAlign w:val="bottom"/>
            <w:tcBorders>
              <w:top w:val="single" w:sz="8" w:color="D8EEF4"/>
              <w:bottom w:val="single" w:sz="8" w:color="D8EEF4"/>
            </w:tcBorders>
            <w:shd w:val="clear" w:color="auto" w:fill="D8EEF4"/>
          </w:tcPr>
          <w:p>
            <w:pPr>
              <w:spacing w:after="0"/>
              <w:rPr>
                <w:sz w:val="13"/>
                <w:szCs w:val="13"/>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17.16</w:t>
            </w:r>
          </w:p>
        </w:tc>
        <w:tc>
          <w:tcPr>
            <w:tcW w:w="140" w:type="dxa"/>
            <w:vAlign w:val="bottom"/>
            <w:tcBorders>
              <w:top w:val="single" w:sz="8" w:color="D8EEF4"/>
              <w:bottom w:val="single" w:sz="8" w:color="D8EEF4"/>
            </w:tcBorders>
            <w:shd w:val="clear" w:color="auto" w:fill="D8EEF4"/>
          </w:tcPr>
          <w:p>
            <w:pPr>
              <w:spacing w:after="0"/>
              <w:rPr>
                <w:sz w:val="13"/>
                <w:szCs w:val="13"/>
                <w:color w:val="auto"/>
              </w:rPr>
            </w:pPr>
          </w:p>
        </w:tc>
        <w:tc>
          <w:tcPr>
            <w:tcW w:w="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16.83</w:t>
            </w:r>
          </w:p>
        </w:tc>
        <w:tc>
          <w:tcPr>
            <w:tcW w:w="140" w:type="dxa"/>
            <w:vAlign w:val="bottom"/>
            <w:tcBorders>
              <w:top w:val="single" w:sz="8" w:color="D8EEF4"/>
              <w:bottom w:val="single" w:sz="8" w:color="D8EEF4"/>
            </w:tcBorders>
            <w:shd w:val="clear" w:color="auto" w:fill="D8EEF4"/>
          </w:tcPr>
          <w:p>
            <w:pPr>
              <w:spacing w:after="0"/>
              <w:rPr>
                <w:sz w:val="13"/>
                <w:szCs w:val="13"/>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16.25</w:t>
            </w:r>
          </w:p>
        </w:tc>
        <w:tc>
          <w:tcPr>
            <w:tcW w:w="140" w:type="dxa"/>
            <w:vAlign w:val="bottom"/>
            <w:tcBorders>
              <w:top w:val="single" w:sz="8" w:color="D8EEF4"/>
              <w:bottom w:val="single" w:sz="8" w:color="D8EEF4"/>
            </w:tcBorders>
            <w:shd w:val="clear" w:color="auto" w:fill="D8EEF4"/>
          </w:tcPr>
          <w:p>
            <w:pPr>
              <w:spacing w:after="0"/>
              <w:rPr>
                <w:sz w:val="13"/>
                <w:szCs w:val="13"/>
                <w:color w:val="auto"/>
              </w:rPr>
            </w:pPr>
          </w:p>
        </w:tc>
        <w:tc>
          <w:tcPr>
            <w:tcW w:w="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16.09</w:t>
            </w:r>
          </w:p>
        </w:tc>
        <w:tc>
          <w:tcPr>
            <w:tcW w:w="140" w:type="dxa"/>
            <w:vAlign w:val="bottom"/>
            <w:tcBorders>
              <w:top w:val="single" w:sz="8" w:color="D8EEF4"/>
              <w:bottom w:val="single" w:sz="8" w:color="D8EEF4"/>
            </w:tcBorders>
            <w:shd w:val="clear" w:color="auto" w:fill="D8EEF4"/>
          </w:tcPr>
          <w:p>
            <w:pPr>
              <w:spacing w:after="0"/>
              <w:rPr>
                <w:sz w:val="13"/>
                <w:szCs w:val="13"/>
                <w:color w:val="auto"/>
              </w:rPr>
            </w:pPr>
          </w:p>
        </w:tc>
        <w:tc>
          <w:tcPr>
            <w:tcW w:w="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15.95</w:t>
            </w:r>
          </w:p>
        </w:tc>
        <w:tc>
          <w:tcPr>
            <w:tcW w:w="120" w:type="dxa"/>
            <w:vAlign w:val="bottom"/>
            <w:tcBorders>
              <w:top w:val="single" w:sz="8" w:color="D8EEF4"/>
              <w:bottom w:val="single" w:sz="8" w:color="D8EEF4"/>
            </w:tcBorders>
            <w:shd w:val="clear" w:color="auto" w:fill="D8EEF4"/>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color w:val="4C4C4E"/>
              </w:rPr>
              <w:t>Per share market value at end of period</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4C4C4E"/>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21.72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21.30</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21.60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17.80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23.39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20.75</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21.47</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18.09</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19.80</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4C4C4E"/>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18.68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40" w:type="dxa"/>
            <w:vAlign w:val="bottom"/>
            <w:tcBorders>
              <w:right w:val="single" w:sz="8" w:color="D8EEF4"/>
            </w:tcBorders>
            <w:gridSpan w:val="2"/>
            <w:shd w:val="clear" w:color="auto" w:fill="D8EEF4"/>
          </w:tcPr>
          <w:p>
            <w:pPr>
              <w:spacing w:after="0"/>
              <w:rPr>
                <w:sz w:val="20"/>
                <w:szCs w:val="20"/>
                <w:color w:val="auto"/>
              </w:rPr>
            </w:pPr>
            <w:r>
              <w:rPr>
                <w:rFonts w:ascii="Times New Roman" w:cs="Times New Roman" w:eastAsia="Times New Roman" w:hAnsi="Times New Roman"/>
                <w:sz w:val="13"/>
                <w:szCs w:val="13"/>
                <w:color w:val="4C4C4E"/>
              </w:rPr>
              <w:t>Total return based on market value with</w:t>
            </w:r>
          </w:p>
        </w:tc>
        <w:tc>
          <w:tcPr>
            <w:tcW w:w="4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6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D8EEF4"/>
            </w:tcBorders>
            <w:gridSpan w:val="2"/>
            <w:shd w:val="clear" w:color="auto" w:fill="D8EEF4"/>
          </w:tcPr>
          <w:p>
            <w:pPr>
              <w:spacing w:after="0" w:line="162" w:lineRule="exact"/>
              <w:rPr>
                <w:sz w:val="20"/>
                <w:szCs w:val="20"/>
                <w:color w:val="auto"/>
              </w:rPr>
            </w:pPr>
            <w:r>
              <w:rPr>
                <w:rFonts w:ascii="Times New Roman" w:cs="Times New Roman" w:eastAsia="Times New Roman" w:hAnsi="Times New Roman"/>
                <w:sz w:val="13"/>
                <w:szCs w:val="13"/>
                <w:color w:val="4C4C4E"/>
              </w:rPr>
              <w:t xml:space="preserve">reinvestment of dividends </w:t>
            </w:r>
            <w:r>
              <w:rPr>
                <w:rFonts w:ascii="Times New Roman" w:cs="Times New Roman" w:eastAsia="Times New Roman" w:hAnsi="Times New Roman"/>
                <w:sz w:val="16"/>
                <w:szCs w:val="16"/>
                <w:color w:val="4C4C4E"/>
                <w:vertAlign w:val="superscript"/>
              </w:rPr>
              <w:t>(3)</w:t>
            </w:r>
          </w:p>
        </w:tc>
        <w:tc>
          <w:tcPr>
            <w:tcW w:w="4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12.05%</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9.33%</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35.68%</w:t>
            </w: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rPr>
              <w:t>(15.78)%</w:t>
            </w: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32.80%</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11.24%</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30.57%</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4.24%</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15.75%</w:t>
            </w:r>
          </w:p>
        </w:tc>
        <w:tc>
          <w:tcPr>
            <w:tcW w:w="80" w:type="dxa"/>
            <w:vAlign w:val="bottom"/>
            <w:shd w:val="clear" w:color="auto" w:fill="D8EEF4"/>
          </w:tcPr>
          <w:p>
            <w:pPr>
              <w:spacing w:after="0"/>
              <w:rPr>
                <w:sz w:val="14"/>
                <w:szCs w:val="14"/>
                <w:color w:val="auto"/>
              </w:rPr>
            </w:pPr>
          </w:p>
        </w:tc>
        <w:tc>
          <w:tcPr>
            <w:tcW w:w="72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13"/>
                <w:szCs w:val="13"/>
                <w:color w:val="4C4C4E"/>
              </w:rPr>
              <w:t>26.74%</w:t>
            </w:r>
          </w:p>
        </w:tc>
        <w:tc>
          <w:tcPr>
            <w:tcW w:w="0" w:type="dxa"/>
            <w:vAlign w:val="bottom"/>
          </w:tcPr>
          <w:p>
            <w:pPr>
              <w:spacing w:after="0"/>
              <w:rPr>
                <w:sz w:val="1"/>
                <w:szCs w:val="1"/>
                <w:color w:val="auto"/>
              </w:rPr>
            </w:pPr>
          </w:p>
        </w:tc>
      </w:tr>
      <w:tr>
        <w:trPr>
          <w:trHeight w:val="164"/>
        </w:trPr>
        <w:tc>
          <w:tcPr>
            <w:tcW w:w="2640" w:type="dxa"/>
            <w:vAlign w:val="bottom"/>
            <w:gridSpan w:val="2"/>
          </w:tcPr>
          <w:p>
            <w:pPr>
              <w:spacing w:after="0" w:line="164" w:lineRule="exact"/>
              <w:rPr>
                <w:sz w:val="20"/>
                <w:szCs w:val="20"/>
                <w:color w:val="auto"/>
              </w:rPr>
            </w:pPr>
            <w:r>
              <w:rPr>
                <w:rFonts w:ascii="Times New Roman" w:cs="Times New Roman" w:eastAsia="Times New Roman" w:hAnsi="Times New Roman"/>
                <w:sz w:val="13"/>
                <w:szCs w:val="13"/>
                <w:color w:val="4C4C4E"/>
              </w:rPr>
              <w:t xml:space="preserve">Total return based on market value </w:t>
            </w:r>
            <w:r>
              <w:rPr>
                <w:rFonts w:ascii="Times New Roman" w:cs="Times New Roman" w:eastAsia="Times New Roman" w:hAnsi="Times New Roman"/>
                <w:sz w:val="16"/>
                <w:szCs w:val="16"/>
                <w:color w:val="4C4C4E"/>
                <w:vertAlign w:val="superscript"/>
              </w:rPr>
              <w:t>(4)</w:t>
            </w:r>
          </w:p>
        </w:tc>
        <w:tc>
          <w:tcPr>
            <w:tcW w:w="4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11.60%</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8.29%</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33.14%</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rPr>
              <w:t>(16.03)%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30.02%</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7.36%</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28.69%</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0.35%</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15.36%</w:t>
            </w: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4C4C4E"/>
              </w:rPr>
              <w:t>24.78%</w:t>
            </w:r>
          </w:p>
        </w:tc>
        <w:tc>
          <w:tcPr>
            <w:tcW w:w="0" w:type="dxa"/>
            <w:vAlign w:val="bottom"/>
          </w:tcPr>
          <w:p>
            <w:pPr>
              <w:spacing w:after="0"/>
              <w:rPr>
                <w:sz w:val="1"/>
                <w:szCs w:val="1"/>
                <w:color w:val="auto"/>
              </w:rPr>
            </w:pPr>
          </w:p>
        </w:tc>
      </w:tr>
      <w:tr>
        <w:trPr>
          <w:trHeight w:val="163"/>
        </w:trPr>
        <w:tc>
          <w:tcPr>
            <w:tcW w:w="2640" w:type="dxa"/>
            <w:vAlign w:val="bottom"/>
            <w:tcBorders>
              <w:right w:val="single" w:sz="8" w:color="D8EEF4"/>
            </w:tcBorders>
            <w:gridSpan w:val="2"/>
            <w:shd w:val="clear" w:color="auto" w:fill="D8EEF4"/>
          </w:tcPr>
          <w:p>
            <w:pPr>
              <w:spacing w:after="0" w:line="164" w:lineRule="exact"/>
              <w:rPr>
                <w:sz w:val="20"/>
                <w:szCs w:val="20"/>
                <w:color w:val="auto"/>
              </w:rPr>
            </w:pPr>
            <w:r>
              <w:rPr>
                <w:rFonts w:ascii="Times New Roman" w:cs="Times New Roman" w:eastAsia="Times New Roman" w:hAnsi="Times New Roman"/>
                <w:sz w:val="13"/>
                <w:szCs w:val="13"/>
                <w:color w:val="4C4C4E"/>
              </w:rPr>
              <w:t xml:space="preserve">Total return based on net asset value </w:t>
            </w:r>
            <w:r>
              <w:rPr>
                <w:rFonts w:ascii="Times New Roman" w:cs="Times New Roman" w:eastAsia="Times New Roman" w:hAnsi="Times New Roman"/>
                <w:sz w:val="16"/>
                <w:szCs w:val="16"/>
                <w:color w:val="4C4C4E"/>
                <w:vertAlign w:val="superscript"/>
              </w:rPr>
              <w:t>(5)</w:t>
            </w:r>
          </w:p>
        </w:tc>
        <w:tc>
          <w:tcPr>
            <w:tcW w:w="4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10.90%</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12.98%</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16.09%</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8.79%</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19.06%</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15.63%</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14.71%</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12.06%</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11.87%</w:t>
            </w:r>
          </w:p>
        </w:tc>
        <w:tc>
          <w:tcPr>
            <w:tcW w:w="80" w:type="dxa"/>
            <w:vAlign w:val="bottom"/>
            <w:shd w:val="clear" w:color="auto" w:fill="D8EEF4"/>
          </w:tcPr>
          <w:p>
            <w:pPr>
              <w:spacing w:after="0"/>
              <w:rPr>
                <w:sz w:val="14"/>
                <w:szCs w:val="14"/>
                <w:color w:val="auto"/>
              </w:rPr>
            </w:pPr>
          </w:p>
        </w:tc>
        <w:tc>
          <w:tcPr>
            <w:tcW w:w="72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13"/>
                <w:szCs w:val="13"/>
                <w:color w:val="4C4C4E"/>
              </w:rPr>
              <w:t>15.54%</w:t>
            </w:r>
          </w:p>
        </w:tc>
        <w:tc>
          <w:tcPr>
            <w:tcW w:w="0" w:type="dxa"/>
            <w:vAlign w:val="bottom"/>
          </w:tcPr>
          <w:p>
            <w:pPr>
              <w:spacing w:after="0"/>
              <w:rPr>
                <w:sz w:val="1"/>
                <w:szCs w:val="1"/>
                <w:color w:val="auto"/>
              </w:rPr>
            </w:pPr>
          </w:p>
        </w:tc>
      </w:tr>
      <w:tr>
        <w:trPr>
          <w:trHeight w:val="163"/>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color w:val="4C4C4E"/>
              </w:rPr>
              <w:t>Shares Outstanding, End of Period</w:t>
            </w:r>
          </w:p>
        </w:tc>
        <w:tc>
          <w:tcPr>
            <w:tcW w:w="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9"/>
              </w:rPr>
              <w:t>94,705,150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9"/>
              </w:rPr>
              <w:t>93,661,436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9"/>
              </w:rPr>
              <w:t>87,829,499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9"/>
              </w:rPr>
              <w:t>81,389,287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9"/>
              </w:rPr>
              <w:t>75,771,542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9"/>
              </w:rPr>
              <w:t>67,684,209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5"/>
              </w:rPr>
              <w:t>66,524,591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9"/>
              </w:rPr>
              <w:t>65,412,817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5"/>
              </w:rPr>
              <w:t>60,247,201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4C4C4E"/>
                <w:w w:val="95"/>
              </w:rPr>
              <w:t>59,716,205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40" w:type="dxa"/>
            <w:vAlign w:val="bottom"/>
            <w:tcBorders>
              <w:right w:val="single" w:sz="8" w:color="D8EEF4"/>
            </w:tcBorders>
            <w:gridSpan w:val="2"/>
            <w:shd w:val="clear" w:color="auto" w:fill="D8EEF4"/>
          </w:tcPr>
          <w:p>
            <w:pPr>
              <w:spacing w:after="0" w:line="164" w:lineRule="exact"/>
              <w:rPr>
                <w:sz w:val="20"/>
                <w:szCs w:val="20"/>
                <w:color w:val="auto"/>
              </w:rPr>
            </w:pPr>
            <w:r>
              <w:rPr>
                <w:rFonts w:ascii="Times New Roman" w:cs="Times New Roman" w:eastAsia="Times New Roman" w:hAnsi="Times New Roman"/>
                <w:sz w:val="13"/>
                <w:szCs w:val="13"/>
                <w:b w:val="1"/>
                <w:bCs w:val="1"/>
                <w:color w:val="4C4C4E"/>
              </w:rPr>
              <w:t xml:space="preserve">Ratios / Supplemental Data </w:t>
            </w:r>
            <w:r>
              <w:rPr>
                <w:rFonts w:ascii="Times New Roman" w:cs="Times New Roman" w:eastAsia="Times New Roman" w:hAnsi="Times New Roman"/>
                <w:sz w:val="16"/>
                <w:szCs w:val="16"/>
                <w:b w:val="1"/>
                <w:bCs w:val="1"/>
                <w:color w:val="4C4C4E"/>
                <w:vertAlign w:val="superscript"/>
              </w:rPr>
              <w:t>(6)</w:t>
            </w:r>
          </w:p>
        </w:tc>
        <w:tc>
          <w:tcPr>
            <w:tcW w:w="4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16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spacing w:after="0"/>
              <w:rPr>
                <w:sz w:val="14"/>
                <w:szCs w:val="14"/>
                <w:color w:val="auto"/>
              </w:rPr>
            </w:pPr>
          </w:p>
        </w:tc>
        <w:tc>
          <w:tcPr>
            <w:tcW w:w="2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60" w:type="dxa"/>
            <w:vAlign w:val="bottom"/>
            <w:shd w:val="clear" w:color="auto" w:fill="D8EEF4"/>
          </w:tcPr>
          <w:p>
            <w:pPr>
              <w:spacing w:after="0"/>
              <w:rPr>
                <w:sz w:val="14"/>
                <w:szCs w:val="14"/>
                <w:color w:val="auto"/>
              </w:rPr>
            </w:pPr>
          </w:p>
        </w:tc>
        <w:tc>
          <w:tcPr>
            <w:tcW w:w="62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140" w:type="dxa"/>
            <w:vAlign w:val="bottom"/>
            <w:shd w:val="clear" w:color="auto" w:fill="D8EEF4"/>
          </w:tcPr>
          <w:p>
            <w:pPr>
              <w:spacing w:after="0"/>
              <w:rPr>
                <w:sz w:val="14"/>
                <w:szCs w:val="14"/>
                <w:color w:val="auto"/>
              </w:rPr>
            </w:pPr>
          </w:p>
        </w:tc>
        <w:tc>
          <w:tcPr>
            <w:tcW w:w="80" w:type="dxa"/>
            <w:vAlign w:val="bottom"/>
            <w:shd w:val="clear" w:color="auto" w:fill="D8EEF4"/>
          </w:tcPr>
          <w:p>
            <w:pPr>
              <w:spacing w:after="0"/>
              <w:rPr>
                <w:sz w:val="14"/>
                <w:szCs w:val="14"/>
                <w:color w:val="auto"/>
              </w:rPr>
            </w:pPr>
          </w:p>
        </w:tc>
        <w:tc>
          <w:tcPr>
            <w:tcW w:w="600" w:type="dxa"/>
            <w:vAlign w:val="bottom"/>
            <w:shd w:val="clear" w:color="auto" w:fill="D8EEF4"/>
          </w:tcPr>
          <w:p>
            <w:pPr>
              <w:spacing w:after="0"/>
              <w:rPr>
                <w:sz w:val="14"/>
                <w:szCs w:val="14"/>
                <w:color w:val="auto"/>
              </w:rPr>
            </w:pPr>
          </w:p>
        </w:tc>
        <w:tc>
          <w:tcPr>
            <w:tcW w:w="120" w:type="dxa"/>
            <w:vAlign w:val="bottom"/>
            <w:shd w:val="clear" w:color="auto" w:fill="D8EEF4"/>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color w:val="4C4C4E"/>
              </w:rPr>
              <w:t>Ratio of net expenses to average net assets</w:t>
            </w:r>
          </w:p>
        </w:tc>
        <w:tc>
          <w:tcPr>
            <w:tcW w:w="4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14.84%</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16.65%</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16.92%</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11.05%</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11.17%</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11.10%</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11.27%</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11.32%</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9.41%</w:t>
            </w: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4C4C4E"/>
              </w:rPr>
              <w:t>9.39%</w:t>
            </w:r>
          </w:p>
        </w:tc>
        <w:tc>
          <w:tcPr>
            <w:tcW w:w="0" w:type="dxa"/>
            <w:vAlign w:val="bottom"/>
          </w:tcPr>
          <w:p>
            <w:pPr>
              <w:spacing w:after="0"/>
              <w:rPr>
                <w:sz w:val="1"/>
                <w:szCs w:val="1"/>
                <w:color w:val="auto"/>
              </w:rPr>
            </w:pPr>
          </w:p>
        </w:tc>
      </w:tr>
      <w:tr>
        <w:trPr>
          <w:trHeight w:val="151"/>
        </w:trPr>
        <w:tc>
          <w:tcPr>
            <w:tcW w:w="2640" w:type="dxa"/>
            <w:vAlign w:val="bottom"/>
            <w:tcBorders>
              <w:right w:val="single" w:sz="8" w:color="D8EEF4"/>
            </w:tcBorders>
            <w:gridSpan w:val="2"/>
            <w:shd w:val="clear" w:color="auto" w:fill="D8EEF4"/>
          </w:tcPr>
          <w:p>
            <w:pPr>
              <w:spacing w:after="0"/>
              <w:rPr>
                <w:sz w:val="20"/>
                <w:szCs w:val="20"/>
                <w:color w:val="auto"/>
              </w:rPr>
            </w:pPr>
            <w:r>
              <w:rPr>
                <w:rFonts w:ascii="Times New Roman" w:cs="Times New Roman" w:eastAsia="Times New Roman" w:hAnsi="Times New Roman"/>
                <w:sz w:val="13"/>
                <w:szCs w:val="13"/>
                <w:color w:val="4C4C4E"/>
              </w:rPr>
              <w:t>Ratio of net investment income to average net</w:t>
            </w:r>
          </w:p>
        </w:tc>
        <w:tc>
          <w:tcPr>
            <w:tcW w:w="4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6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2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60" w:type="dxa"/>
            <w:vAlign w:val="bottom"/>
            <w:shd w:val="clear" w:color="auto" w:fill="D8EEF4"/>
          </w:tcPr>
          <w:p>
            <w:pPr>
              <w:spacing w:after="0"/>
              <w:rPr>
                <w:sz w:val="13"/>
                <w:szCs w:val="13"/>
                <w:color w:val="auto"/>
              </w:rPr>
            </w:pPr>
          </w:p>
        </w:tc>
        <w:tc>
          <w:tcPr>
            <w:tcW w:w="62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40" w:type="dxa"/>
            <w:vAlign w:val="bottom"/>
            <w:shd w:val="clear" w:color="auto" w:fill="D8EEF4"/>
          </w:tcPr>
          <w:p>
            <w:pPr>
              <w:spacing w:after="0"/>
              <w:rPr>
                <w:sz w:val="13"/>
                <w:szCs w:val="13"/>
                <w:color w:val="auto"/>
              </w:rPr>
            </w:pPr>
          </w:p>
        </w:tc>
        <w:tc>
          <w:tcPr>
            <w:tcW w:w="80" w:type="dxa"/>
            <w:vAlign w:val="bottom"/>
            <w:shd w:val="clear" w:color="auto" w:fill="D8EEF4"/>
          </w:tcPr>
          <w:p>
            <w:pPr>
              <w:spacing w:after="0"/>
              <w:rPr>
                <w:sz w:val="13"/>
                <w:szCs w:val="13"/>
                <w:color w:val="auto"/>
              </w:rPr>
            </w:pPr>
          </w:p>
        </w:tc>
        <w:tc>
          <w:tcPr>
            <w:tcW w:w="600" w:type="dxa"/>
            <w:vAlign w:val="bottom"/>
            <w:shd w:val="clear" w:color="auto" w:fill="D8EEF4"/>
          </w:tcPr>
          <w:p>
            <w:pPr>
              <w:spacing w:after="0"/>
              <w:rPr>
                <w:sz w:val="13"/>
                <w:szCs w:val="13"/>
                <w:color w:val="auto"/>
              </w:rPr>
            </w:pPr>
          </w:p>
        </w:tc>
        <w:tc>
          <w:tcPr>
            <w:tcW w:w="120" w:type="dxa"/>
            <w:vAlign w:val="bottom"/>
            <w:shd w:val="clear" w:color="auto" w:fill="D8EEF4"/>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D8EEF4"/>
            </w:tcBorders>
            <w:gridSpan w:val="2"/>
            <w:shd w:val="clear" w:color="auto" w:fill="D8EEF4"/>
          </w:tcPr>
          <w:p>
            <w:pPr>
              <w:spacing w:after="0"/>
              <w:rPr>
                <w:sz w:val="20"/>
                <w:szCs w:val="20"/>
                <w:color w:val="auto"/>
              </w:rPr>
            </w:pPr>
            <w:r>
              <w:rPr>
                <w:rFonts w:ascii="Times New Roman" w:cs="Times New Roman" w:eastAsia="Times New Roman" w:hAnsi="Times New Roman"/>
                <w:sz w:val="13"/>
                <w:szCs w:val="13"/>
                <w:color w:val="4C4C4E"/>
              </w:rPr>
              <w:t>assets</w:t>
            </w:r>
          </w:p>
        </w:tc>
        <w:tc>
          <w:tcPr>
            <w:tcW w:w="4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13.04%</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13.96%</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13.75%</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12.85%</w:t>
            </w:r>
          </w:p>
        </w:tc>
        <w:tc>
          <w:tcPr>
            <w:tcW w:w="60" w:type="dxa"/>
            <w:vAlign w:val="bottom"/>
            <w:shd w:val="clear" w:color="auto" w:fill="D8EEF4"/>
          </w:tcPr>
          <w:p>
            <w:pPr>
              <w:spacing w:after="0"/>
              <w:rPr>
                <w:sz w:val="14"/>
                <w:szCs w:val="14"/>
                <w:color w:val="auto"/>
              </w:rPr>
            </w:pPr>
          </w:p>
        </w:tc>
        <w:tc>
          <w:tcPr>
            <w:tcW w:w="760" w:type="dxa"/>
            <w:vAlign w:val="bottom"/>
            <w:gridSpan w:val="3"/>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11.67%</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13.26%</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11.73%</w:t>
            </w:r>
          </w:p>
        </w:tc>
        <w:tc>
          <w:tcPr>
            <w:tcW w:w="60" w:type="dxa"/>
            <w:vAlign w:val="bottom"/>
            <w:shd w:val="clear" w:color="auto" w:fill="D8EEF4"/>
          </w:tcPr>
          <w:p>
            <w:pPr>
              <w:spacing w:after="0"/>
              <w:rPr>
                <w:sz w:val="14"/>
                <w:szCs w:val="14"/>
                <w:color w:val="auto"/>
              </w:rPr>
            </w:pPr>
          </w:p>
        </w:tc>
        <w:tc>
          <w:tcPr>
            <w:tcW w:w="76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13.80%</w:t>
            </w:r>
          </w:p>
        </w:tc>
        <w:tc>
          <w:tcPr>
            <w:tcW w:w="80" w:type="dxa"/>
            <w:vAlign w:val="bottom"/>
            <w:shd w:val="clear" w:color="auto" w:fill="D8EEF4"/>
          </w:tcPr>
          <w:p>
            <w:pPr>
              <w:spacing w:after="0"/>
              <w:rPr>
                <w:sz w:val="14"/>
                <w:szCs w:val="14"/>
                <w:color w:val="auto"/>
              </w:rPr>
            </w:pPr>
          </w:p>
        </w:tc>
        <w:tc>
          <w:tcPr>
            <w:tcW w:w="74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13"/>
                <w:szCs w:val="13"/>
                <w:color w:val="4C4C4E"/>
              </w:rPr>
              <w:t>12.49%</w:t>
            </w:r>
          </w:p>
        </w:tc>
        <w:tc>
          <w:tcPr>
            <w:tcW w:w="80" w:type="dxa"/>
            <w:vAlign w:val="bottom"/>
            <w:shd w:val="clear" w:color="auto" w:fill="D8EEF4"/>
          </w:tcPr>
          <w:p>
            <w:pPr>
              <w:spacing w:after="0"/>
              <w:rPr>
                <w:sz w:val="14"/>
                <w:szCs w:val="14"/>
                <w:color w:val="auto"/>
              </w:rPr>
            </w:pPr>
          </w:p>
        </w:tc>
        <w:tc>
          <w:tcPr>
            <w:tcW w:w="720" w:type="dxa"/>
            <w:vAlign w:val="bottom"/>
            <w:gridSpan w:val="2"/>
            <w:shd w:val="clear" w:color="auto" w:fill="D8EEF4"/>
          </w:tcPr>
          <w:p>
            <w:pPr>
              <w:jc w:val="right"/>
              <w:ind w:right="20"/>
              <w:spacing w:after="0"/>
              <w:rPr>
                <w:sz w:val="20"/>
                <w:szCs w:val="20"/>
                <w:color w:val="auto"/>
              </w:rPr>
            </w:pPr>
            <w:r>
              <w:rPr>
                <w:rFonts w:ascii="Times New Roman" w:cs="Times New Roman" w:eastAsia="Times New Roman" w:hAnsi="Times New Roman"/>
                <w:sz w:val="13"/>
                <w:szCs w:val="13"/>
                <w:color w:val="4C4C4E"/>
              </w:rPr>
              <w:t>11.84%</w:t>
            </w:r>
          </w:p>
        </w:tc>
        <w:tc>
          <w:tcPr>
            <w:tcW w:w="0" w:type="dxa"/>
            <w:vAlign w:val="bottom"/>
          </w:tcPr>
          <w:p>
            <w:pPr>
              <w:spacing w:after="0"/>
              <w:rPr>
                <w:sz w:val="1"/>
                <w:szCs w:val="1"/>
                <w:color w:val="auto"/>
              </w:rPr>
            </w:pPr>
          </w:p>
        </w:tc>
      </w:tr>
      <w:tr>
        <w:trPr>
          <w:trHeight w:val="163"/>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4C4C4E"/>
              </w:rPr>
              <w:t>Portfolio turnover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32.98%</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24.44%</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16.92%</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26.67%</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4C4C4E"/>
              </w:rPr>
              <w:t>44.23%</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41.88%</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30.89%</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44.57%</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4C4C4E"/>
              </w:rPr>
              <w:t>58.08%</w:t>
            </w: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4C4C4E"/>
              </w:rPr>
              <w:t>37.40%</w:t>
            </w:r>
          </w:p>
        </w:tc>
        <w:tc>
          <w:tcPr>
            <w:tcW w:w="0" w:type="dxa"/>
            <w:vAlign w:val="bottom"/>
          </w:tcPr>
          <w:p>
            <w:pPr>
              <w:spacing w:after="0"/>
              <w:rPr>
                <w:sz w:val="1"/>
                <w:szCs w:val="1"/>
                <w:color w:val="auto"/>
              </w:rPr>
            </w:pPr>
          </w:p>
        </w:tc>
      </w:tr>
      <w:tr>
        <w:trPr>
          <w:trHeight w:val="178"/>
        </w:trPr>
        <w:tc>
          <w:tcPr>
            <w:tcW w:w="2600" w:type="dxa"/>
            <w:vAlign w:val="bottom"/>
            <w:tcBorders>
              <w:top w:val="single" w:sz="8" w:color="D8EEF4"/>
              <w:bottom w:val="single" w:sz="8" w:color="D8EEF4"/>
            </w:tcBorders>
            <w:shd w:val="clear" w:color="auto" w:fill="D8EEF4"/>
          </w:tcPr>
          <w:p>
            <w:pPr>
              <w:spacing w:after="0"/>
              <w:rPr>
                <w:sz w:val="20"/>
                <w:szCs w:val="20"/>
                <w:color w:val="auto"/>
              </w:rPr>
            </w:pPr>
            <w:r>
              <w:rPr>
                <w:rFonts w:ascii="Times New Roman" w:cs="Times New Roman" w:eastAsia="Times New Roman" w:hAnsi="Times New Roman"/>
                <w:sz w:val="13"/>
                <w:szCs w:val="13"/>
                <w:color w:val="4C4C4E"/>
              </w:rPr>
              <w:t>Net assets, end of period</w:t>
            </w:r>
          </w:p>
        </w:tc>
        <w:tc>
          <w:tcPr>
            <w:tcW w:w="40" w:type="dxa"/>
            <w:vAlign w:val="bottom"/>
            <w:tcBorders>
              <w:top w:val="single" w:sz="8" w:color="4C4C4E"/>
              <w:bottom w:val="single" w:sz="8" w:color="4C4C4E"/>
              <w:right w:val="single" w:sz="8" w:color="D8EEF4"/>
            </w:tcBorders>
            <w:shd w:val="clear" w:color="auto" w:fill="D8EEF4"/>
          </w:tcPr>
          <w:p>
            <w:pPr>
              <w:spacing w:after="0"/>
              <w:rPr>
                <w:sz w:val="15"/>
                <w:szCs w:val="15"/>
                <w:color w:val="auto"/>
              </w:rPr>
            </w:pPr>
          </w:p>
        </w:tc>
        <w:tc>
          <w:tcPr>
            <w:tcW w:w="4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5"/>
                <w:szCs w:val="5"/>
                <w:color w:val="4C4C4E"/>
                <w:w w:val="78"/>
                <w:shd w:val="clear" w:color="auto" w:fill="D8EEF4"/>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1,607,721</w:t>
            </w:r>
          </w:p>
        </w:tc>
        <w:tc>
          <w:tcPr>
            <w:tcW w:w="20" w:type="dxa"/>
            <w:vAlign w:val="bottom"/>
            <w:tcBorders>
              <w:bottom w:val="single" w:sz="8" w:color="D8EEF4"/>
            </w:tcBorders>
            <w:shd w:val="clear" w:color="auto" w:fill="D8EEF4"/>
          </w:tcPr>
          <w:p>
            <w:pPr>
              <w:spacing w:after="0"/>
              <w:rPr>
                <w:sz w:val="15"/>
                <w:szCs w:val="15"/>
                <w:color w:val="auto"/>
              </w:rPr>
            </w:pPr>
          </w:p>
        </w:tc>
        <w:tc>
          <w:tcPr>
            <w:tcW w:w="140" w:type="dxa"/>
            <w:vAlign w:val="bottom"/>
            <w:tcBorders>
              <w:top w:val="single" w:sz="8" w:color="D8EEF4"/>
              <w:bottom w:val="single" w:sz="8" w:color="D8EEF4"/>
            </w:tcBorders>
            <w:shd w:val="clear" w:color="auto" w:fill="D8EEF4"/>
          </w:tcPr>
          <w:p>
            <w:pPr>
              <w:spacing w:after="0"/>
              <w:rPr>
                <w:sz w:val="15"/>
                <w:szCs w:val="15"/>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1,607,529</w:t>
            </w:r>
          </w:p>
        </w:tc>
        <w:tc>
          <w:tcPr>
            <w:tcW w:w="160" w:type="dxa"/>
            <w:vAlign w:val="bottom"/>
            <w:tcBorders>
              <w:top w:val="single" w:sz="8" w:color="D8EEF4"/>
              <w:bottom w:val="single" w:sz="8" w:color="D8EEF4"/>
            </w:tcBorders>
            <w:shd w:val="clear" w:color="auto" w:fill="D8EEF4"/>
          </w:tcPr>
          <w:p>
            <w:pPr>
              <w:spacing w:after="0"/>
              <w:rPr>
                <w:sz w:val="15"/>
                <w:szCs w:val="15"/>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1,496,375</w:t>
            </w:r>
          </w:p>
        </w:tc>
        <w:tc>
          <w:tcPr>
            <w:tcW w:w="20" w:type="dxa"/>
            <w:vAlign w:val="bottom"/>
            <w:tcBorders>
              <w:bottom w:val="single" w:sz="8" w:color="D8EEF4"/>
            </w:tcBorders>
            <w:shd w:val="clear" w:color="auto" w:fill="D8EEF4"/>
          </w:tcPr>
          <w:p>
            <w:pPr>
              <w:spacing w:after="0"/>
              <w:rPr>
                <w:sz w:val="15"/>
                <w:szCs w:val="15"/>
                <w:color w:val="auto"/>
              </w:rPr>
            </w:pPr>
          </w:p>
        </w:tc>
        <w:tc>
          <w:tcPr>
            <w:tcW w:w="140" w:type="dxa"/>
            <w:vAlign w:val="bottom"/>
            <w:tcBorders>
              <w:top w:val="single" w:sz="8" w:color="D8EEF4"/>
              <w:bottom w:val="single" w:sz="8" w:color="D8EEF4"/>
            </w:tcBorders>
            <w:shd w:val="clear" w:color="auto" w:fill="D8EEF4"/>
          </w:tcPr>
          <w:p>
            <w:pPr>
              <w:spacing w:after="0"/>
              <w:rPr>
                <w:sz w:val="15"/>
                <w:szCs w:val="15"/>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6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1,341,569</w:t>
            </w:r>
          </w:p>
        </w:tc>
        <w:tc>
          <w:tcPr>
            <w:tcW w:w="20" w:type="dxa"/>
            <w:vAlign w:val="bottom"/>
            <w:tcBorders>
              <w:bottom w:val="single" w:sz="8" w:color="D8EEF4"/>
            </w:tcBorders>
            <w:shd w:val="clear" w:color="auto" w:fill="D8EEF4"/>
          </w:tcPr>
          <w:p>
            <w:pPr>
              <w:spacing w:after="0"/>
              <w:rPr>
                <w:sz w:val="15"/>
                <w:szCs w:val="15"/>
                <w:color w:val="auto"/>
              </w:rPr>
            </w:pPr>
          </w:p>
        </w:tc>
        <w:tc>
          <w:tcPr>
            <w:tcW w:w="120" w:type="dxa"/>
            <w:vAlign w:val="bottom"/>
            <w:tcBorders>
              <w:top w:val="single" w:sz="8" w:color="D8EEF4"/>
              <w:bottom w:val="single" w:sz="8" w:color="D8EEF4"/>
            </w:tcBorders>
            <w:shd w:val="clear" w:color="auto" w:fill="D8EEF4"/>
          </w:tcPr>
          <w:p>
            <w:pPr>
              <w:spacing w:after="0"/>
              <w:rPr>
                <w:sz w:val="15"/>
                <w:szCs w:val="15"/>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6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1,275,848</w:t>
            </w:r>
          </w:p>
        </w:tc>
        <w:tc>
          <w:tcPr>
            <w:tcW w:w="20" w:type="dxa"/>
            <w:vAlign w:val="bottom"/>
            <w:tcBorders>
              <w:bottom w:val="single" w:sz="8" w:color="D8EEF4"/>
            </w:tcBorders>
            <w:shd w:val="clear" w:color="auto" w:fill="D8EEF4"/>
          </w:tcPr>
          <w:p>
            <w:pPr>
              <w:spacing w:after="0"/>
              <w:rPr>
                <w:sz w:val="15"/>
                <w:szCs w:val="15"/>
                <w:color w:val="auto"/>
              </w:rPr>
            </w:pPr>
          </w:p>
        </w:tc>
        <w:tc>
          <w:tcPr>
            <w:tcW w:w="120" w:type="dxa"/>
            <w:vAlign w:val="bottom"/>
            <w:tcBorders>
              <w:top w:val="single" w:sz="8" w:color="D8EEF4"/>
              <w:bottom w:val="single" w:sz="8" w:color="D8EEF4"/>
            </w:tcBorders>
            <w:shd w:val="clear" w:color="auto" w:fill="D8EEF4"/>
          </w:tcPr>
          <w:p>
            <w:pPr>
              <w:spacing w:after="0"/>
              <w:rPr>
                <w:sz w:val="15"/>
                <w:szCs w:val="15"/>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6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1,161,315</w:t>
            </w:r>
          </w:p>
        </w:tc>
        <w:tc>
          <w:tcPr>
            <w:tcW w:w="140" w:type="dxa"/>
            <w:vAlign w:val="bottom"/>
            <w:tcBorders>
              <w:top w:val="single" w:sz="8" w:color="D8EEF4"/>
              <w:bottom w:val="single" w:sz="8" w:color="D8EEF4"/>
            </w:tcBorders>
            <w:shd w:val="clear" w:color="auto" w:fill="D8EEF4"/>
          </w:tcPr>
          <w:p>
            <w:pPr>
              <w:spacing w:after="0"/>
              <w:rPr>
                <w:sz w:val="15"/>
                <w:szCs w:val="15"/>
                <w:color w:val="auto"/>
              </w:rPr>
            </w:pPr>
          </w:p>
        </w:tc>
        <w:tc>
          <w:tcPr>
            <w:tcW w:w="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1,119,297</w:t>
            </w:r>
          </w:p>
        </w:tc>
        <w:tc>
          <w:tcPr>
            <w:tcW w:w="140" w:type="dxa"/>
            <w:vAlign w:val="bottom"/>
            <w:tcBorders>
              <w:top w:val="single" w:sz="8" w:color="D8EEF4"/>
              <w:bottom w:val="single" w:sz="8" w:color="D8EEF4"/>
            </w:tcBorders>
            <w:shd w:val="clear" w:color="auto" w:fill="D8EEF4"/>
          </w:tcPr>
          <w:p>
            <w:pPr>
              <w:spacing w:after="0"/>
              <w:rPr>
                <w:sz w:val="15"/>
                <w:szCs w:val="15"/>
                <w:color w:val="auto"/>
              </w:rPr>
            </w:pPr>
          </w:p>
        </w:tc>
        <w:tc>
          <w:tcPr>
            <w:tcW w:w="6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62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1,063,202</w:t>
            </w:r>
          </w:p>
        </w:tc>
        <w:tc>
          <w:tcPr>
            <w:tcW w:w="140" w:type="dxa"/>
            <w:vAlign w:val="bottom"/>
            <w:tcBorders>
              <w:top w:val="single" w:sz="8" w:color="D8EEF4"/>
              <w:bottom w:val="single" w:sz="8" w:color="D8EEF4"/>
            </w:tcBorders>
            <w:shd w:val="clear" w:color="auto" w:fill="D8EEF4"/>
          </w:tcPr>
          <w:p>
            <w:pPr>
              <w:spacing w:after="0"/>
              <w:rPr>
                <w:sz w:val="15"/>
                <w:szCs w:val="15"/>
                <w:color w:val="auto"/>
              </w:rPr>
            </w:pPr>
          </w:p>
        </w:tc>
        <w:tc>
          <w:tcPr>
            <w:tcW w:w="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969,284</w:t>
            </w:r>
          </w:p>
        </w:tc>
        <w:tc>
          <w:tcPr>
            <w:tcW w:w="140" w:type="dxa"/>
            <w:vAlign w:val="bottom"/>
            <w:tcBorders>
              <w:top w:val="single" w:sz="8" w:color="D8EEF4"/>
              <w:bottom w:val="single" w:sz="8" w:color="D8EEF4"/>
            </w:tcBorders>
            <w:shd w:val="clear" w:color="auto" w:fill="D8EEF4"/>
          </w:tcPr>
          <w:p>
            <w:pPr>
              <w:spacing w:after="0"/>
              <w:rPr>
                <w:sz w:val="15"/>
                <w:szCs w:val="15"/>
                <w:color w:val="auto"/>
              </w:rPr>
            </w:pPr>
          </w:p>
        </w:tc>
        <w:tc>
          <w:tcPr>
            <w:tcW w:w="8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1"/>
                <w:szCs w:val="11"/>
                <w:color w:val="4C4C4E"/>
                <w:w w:val="71"/>
                <w:shd w:val="clear" w:color="auto" w:fill="D8EEF4"/>
              </w:rPr>
              <w:t>$</w:t>
            </w:r>
          </w:p>
        </w:tc>
        <w:tc>
          <w:tcPr>
            <w:tcW w:w="600" w:type="dxa"/>
            <w:vAlign w:val="bottom"/>
            <w:tcBorders>
              <w:top w:val="single" w:sz="8" w:color="4C4C4E"/>
              <w:bottom w:val="single" w:sz="8" w:color="4C4C4E"/>
            </w:tcBorders>
            <w:shd w:val="clear" w:color="auto" w:fill="D8EEF4"/>
          </w:tcPr>
          <w:p>
            <w:pPr>
              <w:jc w:val="right"/>
              <w:spacing w:after="0"/>
              <w:rPr>
                <w:sz w:val="20"/>
                <w:szCs w:val="20"/>
                <w:color w:val="auto"/>
              </w:rPr>
            </w:pPr>
            <w:r>
              <w:rPr>
                <w:rFonts w:ascii="Times New Roman" w:cs="Times New Roman" w:eastAsia="Times New Roman" w:hAnsi="Times New Roman"/>
                <w:sz w:val="13"/>
                <w:szCs w:val="13"/>
                <w:color w:val="4C4C4E"/>
                <w:shd w:val="clear" w:color="auto" w:fill="D8EEF4"/>
              </w:rPr>
              <w:t>952,212</w:t>
            </w:r>
          </w:p>
        </w:tc>
        <w:tc>
          <w:tcPr>
            <w:tcW w:w="120" w:type="dxa"/>
            <w:vAlign w:val="bottom"/>
            <w:tcBorders>
              <w:top w:val="single" w:sz="8" w:color="D8EEF4"/>
              <w:bottom w:val="single" w:sz="8" w:color="D8EEF4"/>
            </w:tcBorders>
            <w:shd w:val="clear" w:color="auto" w:fill="D8EEF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0" w:type="dxa"/>
            <w:vAlign w:val="bottom"/>
            <w:tcBorders>
              <w:bottom w:val="single" w:sz="8" w:color="4C4C4E"/>
            </w:tcBorders>
          </w:tcPr>
          <w:p>
            <w:pPr>
              <w:spacing w:after="0" w:line="20" w:lineRule="exact"/>
              <w:rPr>
                <w:sz w:val="1"/>
                <w:szCs w:val="1"/>
                <w:color w:val="auto"/>
              </w:rPr>
            </w:pPr>
          </w:p>
        </w:tc>
        <w:tc>
          <w:tcPr>
            <w:tcW w:w="40" w:type="dxa"/>
            <w:vAlign w:val="bottom"/>
            <w:tcBorders>
              <w:bottom w:val="single" w:sz="8" w:color="4C4C4E"/>
            </w:tcBorders>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4C4C4E"/>
            </w:tcBorders>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4C4C4E"/>
            </w:tcBorders>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4C4C4E"/>
            </w:tcBorders>
          </w:tcPr>
          <w:p>
            <w:pPr>
              <w:spacing w:after="0" w:line="20" w:lineRule="exact"/>
              <w:rPr>
                <w:sz w:val="1"/>
                <w:szCs w:val="1"/>
                <w:color w:val="auto"/>
              </w:rPr>
            </w:pPr>
          </w:p>
        </w:tc>
        <w:tc>
          <w:tcPr>
            <w:tcW w:w="62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4C4C4E"/>
            </w:tcBorders>
          </w:tcPr>
          <w:p>
            <w:pPr>
              <w:spacing w:after="0" w:line="20" w:lineRule="exact"/>
              <w:rPr>
                <w:sz w:val="1"/>
                <w:szCs w:val="1"/>
                <w:color w:val="auto"/>
              </w:rPr>
            </w:pPr>
          </w:p>
        </w:tc>
        <w:tc>
          <w:tcPr>
            <w:tcW w:w="620" w:type="dxa"/>
            <w:vAlign w:val="bottom"/>
            <w:tcBorders>
              <w:bottom w:val="single" w:sz="8" w:color="4C4C4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4C4C4E"/>
            </w:tcBorders>
          </w:tcPr>
          <w:p>
            <w:pPr>
              <w:spacing w:after="0" w:line="20" w:lineRule="exact"/>
              <w:rPr>
                <w:sz w:val="1"/>
                <w:szCs w:val="1"/>
                <w:color w:val="auto"/>
              </w:rPr>
            </w:pPr>
          </w:p>
        </w:tc>
        <w:tc>
          <w:tcPr>
            <w:tcW w:w="620" w:type="dxa"/>
            <w:vAlign w:val="bottom"/>
            <w:tcBorders>
              <w:bottom w:val="single" w:sz="8" w:color="4C4C4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4C4C4E"/>
            </w:tcBorders>
          </w:tcPr>
          <w:p>
            <w:pPr>
              <w:spacing w:after="0" w:line="20" w:lineRule="exact"/>
              <w:rPr>
                <w:sz w:val="1"/>
                <w:szCs w:val="1"/>
                <w:color w:val="auto"/>
              </w:rPr>
            </w:pPr>
          </w:p>
        </w:tc>
        <w:tc>
          <w:tcPr>
            <w:tcW w:w="620" w:type="dxa"/>
            <w:vAlign w:val="bottom"/>
            <w:tcBorders>
              <w:bottom w:val="single" w:sz="8" w:color="4C4C4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4C4C4E"/>
            </w:tcBorders>
          </w:tcPr>
          <w:p>
            <w:pPr>
              <w:spacing w:after="0" w:line="20" w:lineRule="exact"/>
              <w:rPr>
                <w:sz w:val="1"/>
                <w:szCs w:val="1"/>
                <w:color w:val="auto"/>
              </w:rPr>
            </w:pPr>
          </w:p>
        </w:tc>
        <w:tc>
          <w:tcPr>
            <w:tcW w:w="600" w:type="dxa"/>
            <w:vAlign w:val="bottom"/>
            <w:tcBorders>
              <w:bottom w:val="single" w:sz="8" w:color="4C4C4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-2986405</wp:posOffset>
            </wp:positionV>
            <wp:extent cx="516064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7">
                      <a:extLst>
                        <a:ext uri="{28A0092B-C50C-407E-A947-70E740481C1C}"/>
                      </a:extLst>
                    </a:blip>
                    <a:srcRect/>
                    <a:stretch>
                      <a:fillRect/>
                    </a:stretch>
                  </pic:blipFill>
                  <pic:spPr bwMode="auto">
                    <a:xfrm>
                      <a:off x="0" y="0"/>
                      <a:ext cx="5160645" cy="38100"/>
                    </a:xfrm>
                    <a:prstGeom prst="rect">
                      <a:avLst/>
                    </a:prstGeom>
                    <a:noFill/>
                  </pic:spPr>
                </pic:pic>
              </a:graphicData>
            </a:graphic>
          </wp:anchor>
        </w:drawing>
      </w:r>
    </w:p>
    <w:p>
      <w:pPr>
        <w:spacing w:after="0" w:line="191" w:lineRule="exact"/>
        <w:rPr>
          <w:sz w:val="20"/>
          <w:szCs w:val="20"/>
          <w:color w:val="auto"/>
        </w:rPr>
      </w:pPr>
    </w:p>
    <w:p>
      <w:pPr>
        <w:ind w:left="500" w:hanging="500"/>
        <w:spacing w:after="0"/>
        <w:tabs>
          <w:tab w:leader="none" w:pos="500" w:val="left"/>
        </w:tabs>
        <w:numPr>
          <w:ilvl w:val="0"/>
          <w:numId w:val="10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per share data was derived by using the weighted average shares outstanding during the period.</w:t>
      </w:r>
    </w:p>
    <w:p>
      <w:pPr>
        <w:spacing w:after="0" w:line="28" w:lineRule="exact"/>
        <w:rPr>
          <w:rFonts w:ascii="Times New Roman" w:cs="Times New Roman" w:eastAsia="Times New Roman" w:hAnsi="Times New Roman"/>
          <w:sz w:val="20"/>
          <w:szCs w:val="20"/>
          <w:color w:val="4C4C4E"/>
        </w:rPr>
      </w:pPr>
    </w:p>
    <w:p>
      <w:pPr>
        <w:ind w:left="500" w:hanging="500"/>
        <w:spacing w:after="0"/>
        <w:tabs>
          <w:tab w:leader="none" w:pos="500" w:val="left"/>
        </w:tabs>
        <w:numPr>
          <w:ilvl w:val="0"/>
          <w:numId w:val="10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per share data was derived by using the actual shares outstanding at the date of the relevant transactions.</w:t>
      </w:r>
    </w:p>
    <w:p>
      <w:pPr>
        <w:ind w:left="500" w:right="80" w:hanging="500"/>
        <w:spacing w:after="0" w:line="252" w:lineRule="auto"/>
        <w:tabs>
          <w:tab w:leader="none" w:pos="500" w:val="left"/>
        </w:tabs>
        <w:numPr>
          <w:ilvl w:val="0"/>
          <w:numId w:val="101"/>
        </w:numPr>
        <w:rPr>
          <w:rFonts w:ascii="Times New Roman" w:cs="Times New Roman" w:eastAsia="Times New Roman" w:hAnsi="Times New Roman"/>
          <w:sz w:val="19"/>
          <w:szCs w:val="19"/>
          <w:color w:val="4C4C4E"/>
        </w:rPr>
      </w:pPr>
      <w:r>
        <w:rPr>
          <w:rFonts w:ascii="Times New Roman" w:cs="Times New Roman" w:eastAsia="Times New Roman" w:hAnsi="Times New Roman"/>
          <w:sz w:val="19"/>
          <w:szCs w:val="19"/>
          <w:color w:val="4C4C4E"/>
        </w:rPr>
        <w:t>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rFonts w:ascii="Times New Roman" w:cs="Times New Roman" w:eastAsia="Times New Roman" w:hAnsi="Times New Roman"/>
          <w:sz w:val="19"/>
          <w:szCs w:val="19"/>
          <w:color w:val="4C4C4E"/>
        </w:rPr>
      </w:pPr>
    </w:p>
    <w:p>
      <w:pPr>
        <w:ind w:left="500" w:right="740" w:hanging="500"/>
        <w:spacing w:after="0"/>
        <w:tabs>
          <w:tab w:leader="none" w:pos="500" w:val="left"/>
        </w:tabs>
        <w:numPr>
          <w:ilvl w:val="0"/>
          <w:numId w:val="10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Total return based on market value is calculated as the change in market value per share during the period plus declared dividends per share, divided by the beginning market value per share.</w:t>
      </w:r>
    </w:p>
    <w:p>
      <w:pPr>
        <w:ind w:left="500" w:right="480" w:hanging="500"/>
        <w:spacing w:after="0"/>
        <w:tabs>
          <w:tab w:leader="none" w:pos="500" w:val="left"/>
        </w:tabs>
        <w:numPr>
          <w:ilvl w:val="0"/>
          <w:numId w:val="10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Total return based on net asset value is calculated as the change in net asset value per share during the period plus declared dividends per share, divided by the beginning net asset value per share.</w:t>
      </w:r>
    </w:p>
    <w:p>
      <w:pPr>
        <w:ind w:left="500" w:hanging="500"/>
        <w:spacing w:after="0"/>
        <w:tabs>
          <w:tab w:leader="none" w:pos="500" w:val="left"/>
        </w:tabs>
        <w:numPr>
          <w:ilvl w:val="0"/>
          <w:numId w:val="10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ratios reflect an annualized amount.</w:t>
      </w:r>
    </w:p>
    <w:p>
      <w:pPr>
        <w:ind w:left="500" w:right="20" w:hanging="500"/>
        <w:spacing w:after="0"/>
        <w:tabs>
          <w:tab w:leader="none" w:pos="500" w:val="left"/>
        </w:tabs>
        <w:numPr>
          <w:ilvl w:val="0"/>
          <w:numId w:val="10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The ratio of net expenses to average net assets in the table above reflects the Adviser’s waivers of its right to receive a portion of the Management Fee pursuant to the Leverage Waiver for the year ended December 31, 2025. Excluding the effects of the waivers, the ratio of net expenses to average net assets would have been 14.92%, 16.75%, 17.00%, 11.08%, 11.19% and 11.33% for the years ended December 31, 2025, 2024, 2023, 2022, 2021 and 2018, respectively. The ratio of net expenses to average net assets in the table above reflects the Adviser’s waivers of its right to receive a portion of the Management Fee pursuant to the Leverage Waiver for the years ended December 31, 2024, 2023, 2022 and 2021 and the Adviser’s waivers of its right to receive a portion of the Management and Incentive Fees with respect to the Company’s ownership of shares of common stock of Oxford Square Capital Corp. and Triangle Capital Corp. for the year ended December 31, 2018. The Adviser did not waive any Management Fees or Incentive Fees for the years ended December 31, 2020 and 2019. Excluding the effects of the waivers, the ratio of net expenses to average net assets would have been 9.42% and 9.43% for the years ended December 31, 2017 and 2016, respectively.</w:t>
      </w:r>
    </w:p>
    <w:p>
      <w:pPr>
        <w:ind w:left="500" w:hanging="500"/>
        <w:spacing w:after="0"/>
        <w:tabs>
          <w:tab w:leader="none" w:pos="500" w:val="left"/>
        </w:tabs>
        <w:numPr>
          <w:ilvl w:val="0"/>
          <w:numId w:val="101"/>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Table may not sum due to rounding.</w:t>
      </w:r>
    </w:p>
    <w:p>
      <w:pPr>
        <w:sectPr>
          <w:pgSz w:w="11880" w:h="15480" w:orient="portrait"/>
          <w:cols w:equalWidth="0" w:num="1">
            <w:col w:w="10800"/>
          </w:cols>
          <w:pgMar w:left="540" w:top="746"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4C4C4E"/>
        </w:rPr>
        <w:t>F-53</w:t>
      </w:r>
    </w:p>
    <w:p>
      <w:pPr>
        <w:sectPr>
          <w:pgSz w:w="11880" w:h="15480" w:orient="portrait"/>
          <w:cols w:equalWidth="0" w:num="1">
            <w:col w:w="10800"/>
          </w:cols>
          <w:pgMar w:left="540" w:top="746" w:right="540" w:bottom="6"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4C4C4E"/>
        </w:rPr>
        <w:t>14. Selected Quarterly Financial Data (Unaudited)</w:t>
      </w:r>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4C4C4E"/>
                <w:w w:val="99"/>
              </w:rPr>
              <w:t>2025</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5"/>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4C4C4E"/>
              </w:rPr>
              <w:t>Q4</w:t>
            </w:r>
          </w:p>
        </w:tc>
        <w:tc>
          <w:tcPr>
            <w:tcW w:w="180" w:type="dxa"/>
            <w:vAlign w:val="bottom"/>
          </w:tcPr>
          <w:p>
            <w:pPr>
              <w:spacing w:after="0"/>
              <w:rPr>
                <w:sz w:val="17"/>
                <w:szCs w:val="17"/>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4C4C4E"/>
              </w:rPr>
              <w:t>Q3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4C4C4E"/>
              </w:rPr>
              <w:t>Q2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4C4C4E"/>
              </w:rPr>
              <w:t>Q1</w:t>
            </w:r>
          </w:p>
        </w:tc>
      </w:tr>
      <w:tr>
        <w:trPr>
          <w:trHeight w:val="225"/>
        </w:trPr>
        <w:tc>
          <w:tcPr>
            <w:tcW w:w="4740" w:type="dxa"/>
            <w:vAlign w:val="bottom"/>
            <w:tcBorders>
              <w:top w:val="single" w:sz="8" w:color="D8EEF4"/>
            </w:tcBorders>
            <w:shd w:val="clear" w:color="auto" w:fill="D8EEF4"/>
          </w:tcPr>
          <w:p>
            <w:pPr>
              <w:spacing w:after="0" w:line="225" w:lineRule="exact"/>
              <w:rPr>
                <w:sz w:val="20"/>
                <w:szCs w:val="20"/>
                <w:color w:val="auto"/>
              </w:rPr>
            </w:pPr>
            <w:r>
              <w:rPr>
                <w:rFonts w:ascii="Times New Roman" w:cs="Times New Roman" w:eastAsia="Times New Roman" w:hAnsi="Times New Roman"/>
                <w:sz w:val="20"/>
                <w:szCs w:val="20"/>
                <w:color w:val="4C4C4E"/>
              </w:rPr>
              <w:t>Investment Income</w:t>
            </w:r>
          </w:p>
        </w:tc>
        <w:tc>
          <w:tcPr>
            <w:tcW w:w="240" w:type="dxa"/>
            <w:vAlign w:val="bottom"/>
            <w:tcBorders>
              <w:top w:val="single" w:sz="8" w:color="4C4C4E"/>
            </w:tcBorders>
            <w:shd w:val="clear" w:color="auto" w:fill="D8EE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8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108,247</w:t>
            </w:r>
          </w:p>
        </w:tc>
        <w:tc>
          <w:tcPr>
            <w:tcW w:w="260" w:type="dxa"/>
            <w:vAlign w:val="bottom"/>
            <w:tcBorders>
              <w:top w:val="single" w:sz="8" w:color="D8EEF4"/>
            </w:tcBorders>
            <w:shd w:val="clear" w:color="auto" w:fill="D8EEF4"/>
          </w:tcPr>
          <w:p>
            <w:pPr>
              <w:spacing w:after="0"/>
              <w:rPr>
                <w:sz w:val="19"/>
                <w:szCs w:val="19"/>
                <w:color w:val="auto"/>
              </w:rPr>
            </w:pPr>
          </w:p>
        </w:tc>
        <w:tc>
          <w:tcPr>
            <w:tcW w:w="1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109,444</w:t>
            </w:r>
          </w:p>
        </w:tc>
        <w:tc>
          <w:tcPr>
            <w:tcW w:w="80" w:type="dxa"/>
            <w:vAlign w:val="bottom"/>
            <w:tcBorders>
              <w:top w:val="single" w:sz="8" w:color="D8EEF4"/>
            </w:tcBorders>
            <w:shd w:val="clear" w:color="auto" w:fill="D8EEF4"/>
          </w:tcPr>
          <w:p>
            <w:pPr>
              <w:spacing w:after="0"/>
              <w:rPr>
                <w:sz w:val="19"/>
                <w:szCs w:val="19"/>
                <w:color w:val="auto"/>
              </w:rPr>
            </w:pPr>
          </w:p>
        </w:tc>
        <w:tc>
          <w:tcPr>
            <w:tcW w:w="200" w:type="dxa"/>
            <w:vAlign w:val="bottom"/>
            <w:tcBorders>
              <w:top w:val="single" w:sz="8" w:color="D8EEF4"/>
            </w:tcBorders>
            <w:shd w:val="clear" w:color="auto" w:fill="D8EEF4"/>
          </w:tcPr>
          <w:p>
            <w:pPr>
              <w:spacing w:after="0"/>
              <w:rPr>
                <w:sz w:val="19"/>
                <w:szCs w:val="19"/>
                <w:color w:val="auto"/>
              </w:rPr>
            </w:pPr>
          </w:p>
        </w:tc>
        <w:tc>
          <w:tcPr>
            <w:tcW w:w="240" w:type="dxa"/>
            <w:vAlign w:val="bottom"/>
            <w:tcBorders>
              <w:top w:val="single" w:sz="8" w:color="4C4C4E"/>
            </w:tcBorders>
            <w:shd w:val="clear" w:color="auto" w:fill="D8EE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6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115,015</w:t>
            </w:r>
          </w:p>
        </w:tc>
        <w:tc>
          <w:tcPr>
            <w:tcW w:w="140" w:type="dxa"/>
            <w:vAlign w:val="bottom"/>
            <w:tcBorders>
              <w:top w:val="single" w:sz="8" w:color="D8EEF4"/>
            </w:tcBorders>
            <w:shd w:val="clear" w:color="auto" w:fill="D8EEF4"/>
          </w:tcPr>
          <w:p>
            <w:pPr>
              <w:spacing w:after="0"/>
              <w:rPr>
                <w:sz w:val="19"/>
                <w:szCs w:val="19"/>
                <w:color w:val="auto"/>
              </w:rPr>
            </w:pPr>
          </w:p>
        </w:tc>
        <w:tc>
          <w:tcPr>
            <w:tcW w:w="160" w:type="dxa"/>
            <w:vAlign w:val="bottom"/>
            <w:tcBorders>
              <w:top w:val="single" w:sz="8" w:color="D8EEF4"/>
            </w:tcBorders>
            <w:shd w:val="clear" w:color="auto" w:fill="D8EEF4"/>
          </w:tcPr>
          <w:p>
            <w:pPr>
              <w:spacing w:after="0"/>
              <w:rPr>
                <w:sz w:val="19"/>
                <w:szCs w:val="19"/>
                <w:color w:val="auto"/>
              </w:rPr>
            </w:pPr>
          </w:p>
        </w:tc>
        <w:tc>
          <w:tcPr>
            <w:tcW w:w="280" w:type="dxa"/>
            <w:vAlign w:val="bottom"/>
            <w:tcBorders>
              <w:top w:val="single" w:sz="8" w:color="4C4C4E"/>
            </w:tcBorders>
            <w:shd w:val="clear" w:color="auto" w:fill="D8EE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116,349</w:t>
            </w:r>
          </w:p>
        </w:tc>
        <w:tc>
          <w:tcPr>
            <w:tcW w:w="160" w:type="dxa"/>
            <w:vAlign w:val="bottom"/>
            <w:tcBorders>
              <w:top w:val="single" w:sz="8" w:color="D8EEF4"/>
            </w:tcBorders>
            <w:shd w:val="clear" w:color="auto" w:fill="D8EEF4"/>
          </w:tcPr>
          <w:p>
            <w:pPr>
              <w:spacing w:after="0"/>
              <w:rPr>
                <w:sz w:val="19"/>
                <w:szCs w:val="19"/>
                <w:color w:val="auto"/>
              </w:rPr>
            </w:pPr>
          </w:p>
        </w:tc>
      </w:tr>
      <w:tr>
        <w:trPr>
          <w:trHeight w:val="230"/>
        </w:trPr>
        <w:tc>
          <w:tcPr>
            <w:tcW w:w="47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C4C4E"/>
              </w:rPr>
              <w:t xml:space="preserve">Net Expenses </w:t>
            </w:r>
            <w:r>
              <w:rPr>
                <w:rFonts w:ascii="Times New Roman" w:cs="Times New Roman" w:eastAsia="Times New Roman" w:hAnsi="Times New Roman"/>
                <w:sz w:val="26"/>
                <w:szCs w:val="26"/>
                <w:color w:val="4C4C4E"/>
                <w:vertAlign w:val="superscript"/>
              </w:rPr>
              <w:t>(1)</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57,750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58,764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64,175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58,371</w:t>
            </w:r>
          </w:p>
        </w:tc>
        <w:tc>
          <w:tcPr>
            <w:tcW w:w="160" w:type="dxa"/>
            <w:vAlign w:val="bottom"/>
          </w:tcPr>
          <w:p>
            <w:pPr>
              <w:spacing w:after="0"/>
              <w:rPr>
                <w:sz w:val="20"/>
                <w:szCs w:val="20"/>
                <w:color w:val="auto"/>
              </w:rPr>
            </w:pPr>
          </w:p>
        </w:tc>
      </w:tr>
      <w:tr>
        <w:trPr>
          <w:trHeight w:val="230"/>
        </w:trPr>
        <w:tc>
          <w:tcPr>
            <w:tcW w:w="47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Net Investment Income</w:t>
            </w:r>
          </w:p>
        </w:tc>
        <w:tc>
          <w:tcPr>
            <w:tcW w:w="240" w:type="dxa"/>
            <w:vAlign w:val="bottom"/>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50,497</w:t>
            </w:r>
          </w:p>
        </w:tc>
        <w:tc>
          <w:tcPr>
            <w:tcW w:w="260" w:type="dxa"/>
            <w:vAlign w:val="bottom"/>
            <w:shd w:val="clear" w:color="auto" w:fill="D8EEF4"/>
          </w:tcPr>
          <w:p>
            <w:pPr>
              <w:spacing w:after="0"/>
              <w:rPr>
                <w:sz w:val="20"/>
                <w:szCs w:val="20"/>
                <w:color w:val="auto"/>
              </w:rPr>
            </w:pPr>
          </w:p>
        </w:tc>
        <w:tc>
          <w:tcPr>
            <w:tcW w:w="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50,680</w:t>
            </w:r>
          </w:p>
        </w:tc>
        <w:tc>
          <w:tcPr>
            <w:tcW w:w="44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rPr>
              <w:t>$</w:t>
            </w:r>
          </w:p>
        </w:tc>
        <w:tc>
          <w:tcPr>
            <w:tcW w:w="900" w:type="dxa"/>
            <w:vAlign w:val="bottom"/>
            <w:gridSpan w:val="2"/>
            <w:shd w:val="clear" w:color="auto" w:fill="D8EEF4"/>
          </w:tcPr>
          <w:p>
            <w:pPr>
              <w:jc w:val="right"/>
              <w:ind w:right="140"/>
              <w:spacing w:after="0"/>
              <w:rPr>
                <w:sz w:val="20"/>
                <w:szCs w:val="20"/>
                <w:color w:val="auto"/>
              </w:rPr>
            </w:pPr>
            <w:r>
              <w:rPr>
                <w:rFonts w:ascii="Times New Roman" w:cs="Times New Roman" w:eastAsia="Times New Roman" w:hAnsi="Times New Roman"/>
                <w:sz w:val="20"/>
                <w:szCs w:val="20"/>
                <w:color w:val="4C4C4E"/>
              </w:rPr>
              <w:t>50,840</w:t>
            </w:r>
          </w:p>
        </w:tc>
        <w:tc>
          <w:tcPr>
            <w:tcW w:w="44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57,978</w:t>
            </w:r>
          </w:p>
        </w:tc>
        <w:tc>
          <w:tcPr>
            <w:tcW w:w="160" w:type="dxa"/>
            <w:vAlign w:val="bottom"/>
            <w:shd w:val="clear" w:color="auto" w:fill="D8EEF4"/>
          </w:tcPr>
          <w:p>
            <w:pPr>
              <w:spacing w:after="0"/>
              <w:rPr>
                <w:sz w:val="20"/>
                <w:szCs w:val="20"/>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4C4C4E"/>
              </w:rPr>
              <w:t>Total unrealized and realized gains (losses)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C4C4E"/>
              </w:rPr>
              <w:t>(20,538)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(6,080)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C4C4E"/>
              </w:rPr>
              <w:t>8,163</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(21,023)</w:t>
            </w:r>
          </w:p>
        </w:tc>
      </w:tr>
      <w:tr>
        <w:trPr>
          <w:trHeight w:val="230"/>
        </w:trPr>
        <w:tc>
          <w:tcPr>
            <w:tcW w:w="474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Increase in Net Assets Resulting from Operations</w:t>
            </w:r>
          </w:p>
        </w:tc>
        <w:tc>
          <w:tcPr>
            <w:tcW w:w="240" w:type="dxa"/>
            <w:vAlign w:val="bottom"/>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29,959</w:t>
            </w:r>
          </w:p>
        </w:tc>
        <w:tc>
          <w:tcPr>
            <w:tcW w:w="260" w:type="dxa"/>
            <w:vAlign w:val="bottom"/>
            <w:shd w:val="clear" w:color="auto" w:fill="D8EEF4"/>
          </w:tcPr>
          <w:p>
            <w:pPr>
              <w:spacing w:after="0"/>
              <w:rPr>
                <w:sz w:val="20"/>
                <w:szCs w:val="20"/>
                <w:color w:val="auto"/>
              </w:rPr>
            </w:pPr>
          </w:p>
        </w:tc>
        <w:tc>
          <w:tcPr>
            <w:tcW w:w="1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44,600</w:t>
            </w:r>
          </w:p>
        </w:tc>
        <w:tc>
          <w:tcPr>
            <w:tcW w:w="440" w:type="dxa"/>
            <w:vAlign w:val="bottom"/>
            <w:gridSpan w:val="2"/>
            <w:shd w:val="clear" w:color="auto" w:fill="D8EEF4"/>
          </w:tcPr>
          <w:p>
            <w:pPr>
              <w:jc w:val="right"/>
              <w:ind w:right="40"/>
              <w:spacing w:after="0"/>
              <w:rPr>
                <w:sz w:val="20"/>
                <w:szCs w:val="20"/>
                <w:color w:val="auto"/>
              </w:rPr>
            </w:pPr>
            <w:r>
              <w:rPr>
                <w:rFonts w:ascii="Times New Roman" w:cs="Times New Roman" w:eastAsia="Times New Roman" w:hAnsi="Times New Roman"/>
                <w:sz w:val="20"/>
                <w:szCs w:val="20"/>
                <w:color w:val="4C4C4E"/>
              </w:rPr>
              <w:t>$</w:t>
            </w:r>
          </w:p>
        </w:tc>
        <w:tc>
          <w:tcPr>
            <w:tcW w:w="900" w:type="dxa"/>
            <w:vAlign w:val="bottom"/>
            <w:gridSpan w:val="2"/>
            <w:shd w:val="clear" w:color="auto" w:fill="D8EEF4"/>
          </w:tcPr>
          <w:p>
            <w:pPr>
              <w:jc w:val="right"/>
              <w:ind w:right="140"/>
              <w:spacing w:after="0"/>
              <w:rPr>
                <w:sz w:val="20"/>
                <w:szCs w:val="20"/>
                <w:color w:val="auto"/>
              </w:rPr>
            </w:pPr>
            <w:r>
              <w:rPr>
                <w:rFonts w:ascii="Times New Roman" w:cs="Times New Roman" w:eastAsia="Times New Roman" w:hAnsi="Times New Roman"/>
                <w:sz w:val="20"/>
                <w:szCs w:val="20"/>
                <w:color w:val="4C4C4E"/>
              </w:rPr>
              <w:t>59,003</w:t>
            </w:r>
          </w:p>
        </w:tc>
        <w:tc>
          <w:tcPr>
            <w:tcW w:w="440" w:type="dxa"/>
            <w:vAlign w:val="bottom"/>
            <w:gridSpan w:val="2"/>
            <w:shd w:val="clear" w:color="auto" w:fill="D8EEF4"/>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c>
          <w:tcPr>
            <w:tcW w:w="880" w:type="dxa"/>
            <w:vAlign w:val="bottom"/>
            <w:shd w:val="clear" w:color="auto" w:fill="D8EEF4"/>
          </w:tcPr>
          <w:p>
            <w:pPr>
              <w:jc w:val="right"/>
              <w:spacing w:after="0"/>
              <w:rPr>
                <w:sz w:val="20"/>
                <w:szCs w:val="20"/>
                <w:color w:val="auto"/>
              </w:rPr>
            </w:pPr>
            <w:r>
              <w:rPr>
                <w:rFonts w:ascii="Times New Roman" w:cs="Times New Roman" w:eastAsia="Times New Roman" w:hAnsi="Times New Roman"/>
                <w:sz w:val="20"/>
                <w:szCs w:val="20"/>
                <w:color w:val="4C4C4E"/>
              </w:rPr>
              <w:t>36,955</w:t>
            </w:r>
          </w:p>
        </w:tc>
        <w:tc>
          <w:tcPr>
            <w:tcW w:w="160" w:type="dxa"/>
            <w:vAlign w:val="bottom"/>
            <w:shd w:val="clear" w:color="auto" w:fill="D8EEF4"/>
          </w:tcPr>
          <w:p>
            <w:pPr>
              <w:spacing w:after="0"/>
              <w:rPr>
                <w:sz w:val="20"/>
                <w:szCs w:val="20"/>
                <w:color w:val="auto"/>
              </w:rPr>
            </w:pPr>
          </w:p>
        </w:tc>
      </w:tr>
      <w:tr>
        <w:trPr>
          <w:trHeight w:val="266"/>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4C4C4E"/>
              </w:rPr>
              <w:t>Net Asset Value per Share as of the End of the Quarter</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16.98</w:t>
            </w:r>
          </w:p>
        </w:tc>
        <w:tc>
          <w:tcPr>
            <w:tcW w:w="2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17.14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C4C4E"/>
              </w:rPr>
              <w:t>17.17</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17.04</w:t>
            </w:r>
          </w:p>
        </w:tc>
        <w:tc>
          <w:tcPr>
            <w:tcW w:w="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-1049020</wp:posOffset>
            </wp:positionV>
            <wp:extent cx="317627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8">
                      <a:extLst>
                        <a:ext uri="{28A0092B-C50C-407E-A947-70E740481C1C}"/>
                      </a:extLst>
                    </a:blip>
                    <a:srcRect/>
                    <a:stretch>
                      <a:fillRect/>
                    </a:stretch>
                  </pic:blipFill>
                  <pic:spPr bwMode="auto">
                    <a:xfrm>
                      <a:off x="0" y="0"/>
                      <a:ext cx="3176270" cy="38100"/>
                    </a:xfrm>
                    <a:prstGeom prst="rect">
                      <a:avLst/>
                    </a:prstGeom>
                    <a:noFill/>
                  </pic:spPr>
                </pic:pic>
              </a:graphicData>
            </a:graphic>
          </wp:anchor>
        </w:drawing>
      </w:r>
    </w:p>
    <w:p>
      <w:pPr>
        <w:sectPr>
          <w:pgSz w:w="11880" w:h="15480" w:orient="portrait"/>
          <w:cols w:equalWidth="0" w:num="1">
            <w:col w:w="10740"/>
          </w:cols>
          <w:pgMar w:left="540" w:top="746" w:right="6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80" w:type="dxa"/>
        <w:tblCellMar>
          <w:top w:w="0" w:type="dxa"/>
          <w:left w:w="0" w:type="dxa"/>
          <w:bottom w:w="0" w:type="dxa"/>
          <w:right w:w="0" w:type="dxa"/>
        </w:tblCellMar>
      </w:tblPr>
      <w:tr>
        <w:trPr>
          <w:trHeight w:val="245"/>
        </w:trPr>
        <w:tc>
          <w:tcPr>
            <w:tcW w:w="47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shd w:val="clear" w:color="auto" w:fill="D8EEF4"/>
              </w:rPr>
              <w:t>$</w:t>
            </w:r>
          </w:p>
        </w:tc>
      </w:tr>
      <w:tr>
        <w:trPr>
          <w:trHeight w:val="211"/>
        </w:trPr>
        <w:tc>
          <w:tcPr>
            <w:tcW w:w="4700" w:type="dxa"/>
            <w:vAlign w:val="bottom"/>
          </w:tcPr>
          <w:p>
            <w:pPr>
              <w:spacing w:after="0" w:line="211" w:lineRule="exact"/>
              <w:rPr>
                <w:sz w:val="20"/>
                <w:szCs w:val="20"/>
                <w:color w:val="auto"/>
              </w:rPr>
            </w:pPr>
            <w:r>
              <w:rPr>
                <w:rFonts w:ascii="Times New Roman" w:cs="Times New Roman" w:eastAsia="Times New Roman" w:hAnsi="Times New Roman"/>
                <w:sz w:val="19"/>
                <w:szCs w:val="19"/>
                <w:color w:val="4C4C4E"/>
              </w:rPr>
              <w:t xml:space="preserve">Net Expenses </w:t>
            </w:r>
            <w:r>
              <w:rPr>
                <w:rFonts w:ascii="Times New Roman" w:cs="Times New Roman" w:eastAsia="Times New Roman" w:hAnsi="Times New Roman"/>
                <w:sz w:val="24"/>
                <w:szCs w:val="24"/>
                <w:color w:val="4C4C4E"/>
                <w:vertAlign w:val="superscript"/>
              </w:rPr>
              <w:t>(1)</w:t>
            </w: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w w:val="79"/>
              </w:rPr>
              <w:t>$</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4C4C4E"/>
              </w:rPr>
              <w:t>Net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4C4C4E"/>
              </w:rPr>
              <w:t>Total unrealized and realized gains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4C4C4E"/>
              </w:rPr>
              <w:t>Increase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r>
      <w:tr>
        <w:trPr>
          <w:trHeight w:val="266"/>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4C4C4E"/>
              </w:rPr>
              <w:t>Net Asset Value per Share as of the End of the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308610</wp:posOffset>
                </wp:positionH>
                <wp:positionV relativeFrom="paragraph">
                  <wp:posOffset>-594360</wp:posOffset>
                </wp:positionV>
                <wp:extent cx="6240780" cy="14605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0780" cy="146050"/>
                        </a:xfrm>
                        <a:prstGeom prst="rect">
                          <a:avLst/>
                        </a:prstGeom>
                        <a:solidFill>
                          <a:srgbClr val="D8EEF4"/>
                        </a:solidFill>
                      </wps:spPr>
                      <wps:bodyPr/>
                    </wps:wsp>
                  </a:graphicData>
                </a:graphic>
              </wp:anchor>
            </w:drawing>
          </mc:Choice>
          <mc:Fallback>
            <w:pict>
              <v:rect id="Shape 112" o:spid="_x0000_s1137" style="position:absolute;margin-left:24.3pt;margin-top:-46.7999pt;width:491.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308610</wp:posOffset>
                </wp:positionH>
                <wp:positionV relativeFrom="paragraph">
                  <wp:posOffset>-302260</wp:posOffset>
                </wp:positionV>
                <wp:extent cx="6240780" cy="14605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0780" cy="146050"/>
                        </a:xfrm>
                        <a:prstGeom prst="rect">
                          <a:avLst/>
                        </a:prstGeom>
                        <a:solidFill>
                          <a:srgbClr val="D8EEF4"/>
                        </a:solidFill>
                      </wps:spPr>
                      <wps:bodyPr/>
                    </wps:wsp>
                  </a:graphicData>
                </a:graphic>
              </wp:anchor>
            </w:drawing>
          </mc:Choice>
          <mc:Fallback>
            <w:pict>
              <v:rect id="Shape 113" o:spid="_x0000_s1138" style="position:absolute;margin-left:24.3pt;margin-top:-23.7999pt;width:491.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C4C4E"/>
              </w:rPr>
              <w:t>2024</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8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4C4C4E"/>
                <w:w w:val="97"/>
              </w:rPr>
              <w:t>Q4</w:t>
            </w:r>
          </w:p>
        </w:tc>
        <w:tc>
          <w:tcPr>
            <w:tcW w:w="280" w:type="dxa"/>
            <w:vAlign w:val="bottom"/>
          </w:tcPr>
          <w:p>
            <w:pPr>
              <w:spacing w:after="0"/>
              <w:rPr>
                <w:sz w:val="17"/>
                <w:szCs w:val="17"/>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4C4C4E"/>
              </w:rPr>
              <w:t>Q3</w:t>
            </w:r>
          </w:p>
        </w:tc>
        <w:tc>
          <w:tcPr>
            <w:tcW w:w="220" w:type="dxa"/>
            <w:vAlign w:val="bottom"/>
          </w:tcPr>
          <w:p>
            <w:pPr>
              <w:spacing w:after="0"/>
              <w:rPr>
                <w:sz w:val="17"/>
                <w:szCs w:val="17"/>
                <w:color w:val="auto"/>
              </w:rPr>
            </w:pP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4C4C4E"/>
              </w:rPr>
              <w:t>Q2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4C4C4E"/>
              </w:rPr>
              <w:t>Q1</w:t>
            </w:r>
          </w:p>
        </w:tc>
      </w:tr>
      <w:tr>
        <w:trPr>
          <w:trHeight w:val="225"/>
        </w:trPr>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4C4C4E"/>
                <w:w w:val="98"/>
                <w:shd w:val="clear" w:color="auto" w:fill="D8EEF4"/>
              </w:rPr>
              <w:t>123,704</w:t>
            </w:r>
          </w:p>
        </w:tc>
        <w:tc>
          <w:tcPr>
            <w:tcW w:w="220" w:type="dxa"/>
            <w:vAlign w:val="bottom"/>
            <w:tcBorders>
              <w:top w:val="single" w:sz="8" w:color="D8EEF4"/>
            </w:tcBorders>
            <w:shd w:val="clear" w:color="auto" w:fill="D8EEF4"/>
          </w:tcPr>
          <w:p>
            <w:pPr>
              <w:spacing w:after="0"/>
              <w:rPr>
                <w:sz w:val="19"/>
                <w:szCs w:val="19"/>
                <w:color w:val="auto"/>
              </w:rPr>
            </w:pPr>
          </w:p>
        </w:tc>
        <w:tc>
          <w:tcPr>
            <w:tcW w:w="280" w:type="dxa"/>
            <w:vAlign w:val="bottom"/>
            <w:tcBorders>
              <w:top w:val="single" w:sz="8" w:color="4C4C4E"/>
            </w:tcBorders>
            <w:shd w:val="clear" w:color="auto" w:fill="D8EE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82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119,223</w:t>
            </w:r>
          </w:p>
        </w:tc>
        <w:tc>
          <w:tcPr>
            <w:tcW w:w="220" w:type="dxa"/>
            <w:vAlign w:val="bottom"/>
            <w:tcBorders>
              <w:top w:val="single" w:sz="8" w:color="D8EEF4"/>
            </w:tcBorders>
            <w:shd w:val="clear" w:color="auto" w:fill="D8EEF4"/>
          </w:tcPr>
          <w:p>
            <w:pPr>
              <w:spacing w:after="0"/>
              <w:rPr>
                <w:sz w:val="19"/>
                <w:szCs w:val="19"/>
                <w:color w:val="auto"/>
              </w:rPr>
            </w:pPr>
          </w:p>
        </w:tc>
        <w:tc>
          <w:tcPr>
            <w:tcW w:w="220" w:type="dxa"/>
            <w:vAlign w:val="bottom"/>
            <w:tcBorders>
              <w:top w:val="single" w:sz="8" w:color="4C4C4E"/>
            </w:tcBorders>
            <w:shd w:val="clear" w:color="auto" w:fill="D8EE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121,816</w:t>
            </w:r>
          </w:p>
        </w:tc>
        <w:tc>
          <w:tcPr>
            <w:tcW w:w="140" w:type="dxa"/>
            <w:vAlign w:val="bottom"/>
            <w:tcBorders>
              <w:top w:val="single" w:sz="8" w:color="D8EEF4"/>
            </w:tcBorders>
            <w:shd w:val="clear" w:color="auto" w:fill="D8EEF4"/>
          </w:tcPr>
          <w:p>
            <w:pPr>
              <w:spacing w:after="0"/>
              <w:rPr>
                <w:sz w:val="19"/>
                <w:szCs w:val="19"/>
                <w:color w:val="auto"/>
              </w:rPr>
            </w:pPr>
          </w:p>
        </w:tc>
        <w:tc>
          <w:tcPr>
            <w:tcW w:w="80" w:type="dxa"/>
            <w:vAlign w:val="bottom"/>
            <w:tcBorders>
              <w:top w:val="single" w:sz="8" w:color="D8EEF4"/>
            </w:tcBorders>
            <w:shd w:val="clear" w:color="auto" w:fill="D8EEF4"/>
          </w:tcPr>
          <w:p>
            <w:pPr>
              <w:spacing w:after="0"/>
              <w:rPr>
                <w:sz w:val="19"/>
                <w:szCs w:val="19"/>
                <w:color w:val="auto"/>
              </w:rPr>
            </w:pPr>
          </w:p>
        </w:tc>
        <w:tc>
          <w:tcPr>
            <w:tcW w:w="300" w:type="dxa"/>
            <w:vAlign w:val="bottom"/>
            <w:tcBorders>
              <w:top w:val="single" w:sz="8" w:color="4C4C4E"/>
            </w:tcBorders>
            <w:shd w:val="clear" w:color="auto" w:fill="D8EE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117,783</w:t>
            </w:r>
          </w:p>
        </w:tc>
        <w:tc>
          <w:tcPr>
            <w:tcW w:w="100" w:type="dxa"/>
            <w:vAlign w:val="bottom"/>
            <w:tcBorders>
              <w:top w:val="single" w:sz="8" w:color="D8EEF4"/>
            </w:tcBorders>
            <w:shd w:val="clear" w:color="auto" w:fill="D8EEF4"/>
          </w:tcPr>
          <w:p>
            <w:pPr>
              <w:spacing w:after="0"/>
              <w:rPr>
                <w:sz w:val="19"/>
                <w:szCs w:val="19"/>
                <w:color w:val="auto"/>
              </w:rPr>
            </w:pPr>
          </w:p>
        </w:tc>
      </w:tr>
      <w:tr>
        <w:trPr>
          <w:trHeight w:val="211"/>
        </w:trPr>
        <w:tc>
          <w:tcPr>
            <w:tcW w:w="6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rPr>
              <w:t>64,949</w:t>
            </w:r>
          </w:p>
        </w:tc>
        <w:tc>
          <w:tcPr>
            <w:tcW w:w="220" w:type="dxa"/>
            <w:vAlign w:val="bottom"/>
          </w:tcPr>
          <w:p>
            <w:pPr>
              <w:spacing w:after="0"/>
              <w:rPr>
                <w:sz w:val="18"/>
                <w:szCs w:val="18"/>
                <w:color w:val="auto"/>
              </w:rPr>
            </w:pPr>
          </w:p>
        </w:tc>
        <w:tc>
          <w:tcPr>
            <w:tcW w:w="280" w:type="dxa"/>
            <w:vAlign w:val="bottom"/>
          </w:tcPr>
          <w:p>
            <w:pPr>
              <w:jc w:val="right"/>
              <w:ind w:right="80"/>
              <w:spacing w:after="0" w:line="210" w:lineRule="exact"/>
              <w:rPr>
                <w:sz w:val="20"/>
                <w:szCs w:val="20"/>
                <w:color w:val="auto"/>
              </w:rPr>
            </w:pPr>
            <w:r>
              <w:rPr>
                <w:rFonts w:ascii="Times New Roman" w:cs="Times New Roman" w:eastAsia="Times New Roman" w:hAnsi="Times New Roman"/>
                <w:sz w:val="20"/>
                <w:szCs w:val="20"/>
                <w:color w:val="4C4C4E"/>
                <w:w w:val="79"/>
              </w:rPr>
              <w:t>$</w:t>
            </w:r>
          </w:p>
        </w:tc>
        <w:tc>
          <w:tcPr>
            <w:tcW w:w="8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rPr>
              <w:t>63,599</w:t>
            </w:r>
          </w:p>
        </w:tc>
        <w:tc>
          <w:tcPr>
            <w:tcW w:w="220" w:type="dxa"/>
            <w:vAlign w:val="bottom"/>
          </w:tcPr>
          <w:p>
            <w:pPr>
              <w:spacing w:after="0"/>
              <w:rPr>
                <w:sz w:val="18"/>
                <w:szCs w:val="18"/>
                <w:color w:val="auto"/>
              </w:rPr>
            </w:pPr>
          </w:p>
        </w:tc>
        <w:tc>
          <w:tcPr>
            <w:tcW w:w="220" w:type="dxa"/>
            <w:vAlign w:val="bottom"/>
          </w:tcPr>
          <w:p>
            <w:pPr>
              <w:jc w:val="right"/>
              <w:ind w:right="20"/>
              <w:spacing w:after="0" w:line="210" w:lineRule="exact"/>
              <w:rPr>
                <w:sz w:val="20"/>
                <w:szCs w:val="20"/>
                <w:color w:val="auto"/>
              </w:rPr>
            </w:pPr>
            <w:r>
              <w:rPr>
                <w:rFonts w:ascii="Times New Roman" w:cs="Times New Roman" w:eastAsia="Times New Roman" w:hAnsi="Times New Roman"/>
                <w:sz w:val="20"/>
                <w:szCs w:val="20"/>
                <w:color w:val="4C4C4E"/>
                <w:w w:val="79"/>
              </w:rPr>
              <w:t>$</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rPr>
              <w:t>65,446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00"/>
              <w:spacing w:after="0" w:line="210" w:lineRule="exact"/>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rPr>
              <w:t>64,571</w:t>
            </w:r>
          </w:p>
        </w:tc>
        <w:tc>
          <w:tcPr>
            <w:tcW w:w="100" w:type="dxa"/>
            <w:vAlign w:val="bottom"/>
          </w:tcPr>
          <w:p>
            <w:pPr>
              <w:spacing w:after="0"/>
              <w:rPr>
                <w:sz w:val="18"/>
                <w:szCs w:val="18"/>
                <w:color w:val="auto"/>
              </w:rPr>
            </w:pPr>
          </w:p>
        </w:tc>
      </w:tr>
      <w:tr>
        <w:trPr>
          <w:trHeight w:val="230"/>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57,585</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4C4C4E"/>
                <w:w w:val="79"/>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54,926</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C4C4E"/>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55,144</w:t>
            </w:r>
          </w:p>
        </w:tc>
        <w:tc>
          <w:tcPr>
            <w:tcW w:w="1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52,362</w:t>
            </w:r>
          </w:p>
        </w:tc>
      </w:tr>
      <w:tr>
        <w:trPr>
          <w:trHeight w:val="230"/>
        </w:trPr>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C4C4E"/>
              </w:rPr>
              <w:t>(6,594)</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4C4C4E"/>
                <w:w w:val="7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C4C4E"/>
              </w:rPr>
              <w:t>(14,271)</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C4C4E"/>
                <w:w w:val="79"/>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C4C4E"/>
              </w:rPr>
              <w:t>(7,742)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C4C4E"/>
              </w:rPr>
              <w:t>(4,844)</w:t>
            </w:r>
          </w:p>
        </w:tc>
      </w:tr>
      <w:tr>
        <w:trPr>
          <w:trHeight w:val="230"/>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50,992</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4C4C4E"/>
                <w:w w:val="79"/>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40,655</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C4C4E"/>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47,401</w:t>
            </w:r>
          </w:p>
        </w:tc>
        <w:tc>
          <w:tcPr>
            <w:tcW w:w="1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47,518</w:t>
            </w:r>
          </w:p>
        </w:tc>
      </w:tr>
      <w:tr>
        <w:trPr>
          <w:trHeight w:val="266"/>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17.16</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4C4C4E"/>
                <w:w w:val="79"/>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C4C4E"/>
              </w:rPr>
              <w:t>17.12</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C4C4E"/>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17.19</w:t>
            </w:r>
          </w:p>
        </w:tc>
        <w:tc>
          <w:tcPr>
            <w:tcW w:w="140" w:type="dxa"/>
            <w:vAlign w:val="bottom"/>
          </w:tcPr>
          <w:p>
            <w:pPr>
              <w:spacing w:after="0"/>
              <w:rPr>
                <w:sz w:val="23"/>
                <w:szCs w:val="23"/>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C4C4E"/>
              </w:rPr>
              <w:t>17.17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-1036320</wp:posOffset>
            </wp:positionV>
            <wp:extent cx="324040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9">
                      <a:extLst>
                        <a:ext uri="{28A0092B-C50C-407E-A947-70E740481C1C}"/>
                      </a:extLst>
                    </a:blip>
                    <a:srcRect/>
                    <a:stretch>
                      <a:fillRect/>
                    </a:stretch>
                  </pic:blipFill>
                  <pic:spPr bwMode="auto">
                    <a:xfrm>
                      <a:off x="0" y="0"/>
                      <a:ext cx="324040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-282575</wp:posOffset>
                </wp:positionH>
                <wp:positionV relativeFrom="paragraph">
                  <wp:posOffset>-891540</wp:posOffset>
                </wp:positionV>
                <wp:extent cx="70612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499pt,-70.1999pt" to="33.35pt,-70.1999pt" o:allowincell="f" strokecolor="#4C4C4E" strokeweight="0.75pt"/>
            </w:pict>
          </mc:Fallback>
        </mc:AlternateContent>
      </w:r>
    </w:p>
    <w:p>
      <w:pPr>
        <w:spacing w:after="0" w:line="200" w:lineRule="exact"/>
        <w:rPr>
          <w:sz w:val="20"/>
          <w:szCs w:val="20"/>
          <w:color w:val="auto"/>
        </w:rPr>
      </w:pPr>
    </w:p>
    <w:p>
      <w:pPr>
        <w:sectPr>
          <w:pgSz w:w="11880" w:h="15480" w:orient="portrait"/>
          <w:cols w:equalWidth="0" w:num="2">
            <w:col w:w="5280" w:space="340"/>
            <w:col w:w="5120"/>
          </w:cols>
          <w:pgMar w:left="540" w:top="746" w:right="600" w:bottom="6" w:gutter="0" w:footer="0" w:header="0"/>
          <w:type w:val="continuous"/>
        </w:sectPr>
      </w:pPr>
    </w:p>
    <w:p>
      <w:pPr>
        <w:spacing w:after="0" w:line="1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6"/>
          <w:szCs w:val="16"/>
          <w:b w:val="1"/>
          <w:bCs w:val="1"/>
          <w:color w:val="4C4C4E"/>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12700</wp:posOffset>
            </wp:positionV>
            <wp:extent cx="325247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0">
                      <a:extLst>
                        <a:ext uri="{28A0092B-C50C-407E-A947-70E740481C1C}"/>
                      </a:extLst>
                    </a:blip>
                    <a:srcRect/>
                    <a:stretch>
                      <a:fillRect/>
                    </a:stretch>
                  </pic:blipFill>
                  <pic:spPr bwMode="auto">
                    <a:xfrm>
                      <a:off x="0" y="0"/>
                      <a:ext cx="3252470" cy="38100"/>
                    </a:xfrm>
                    <a:prstGeom prst="rect">
                      <a:avLst/>
                    </a:prstGeom>
                    <a:noFill/>
                  </pic:spPr>
                </pic:pic>
              </a:graphicData>
            </a:graphic>
          </wp:anchor>
        </w:drawing>
      </w:r>
    </w:p>
    <w:p>
      <w:pPr>
        <w:sectPr>
          <w:pgSz w:w="11880" w:h="15480" w:orient="portrait"/>
          <w:cols w:equalWidth="0" w:num="1">
            <w:col w:w="10740"/>
          </w:cols>
          <w:pgMar w:left="540" w:top="746" w:right="600" w:bottom="6" w:gutter="0" w:footer="0" w:header="0"/>
          <w:type w:val="continuous"/>
        </w:sectPr>
      </w:pPr>
    </w:p>
    <w:p>
      <w:pPr>
        <w:spacing w:after="0" w:line="241" w:lineRule="exact"/>
        <w:rPr>
          <w:sz w:val="20"/>
          <w:szCs w:val="20"/>
          <w:color w:val="auto"/>
        </w:rPr>
      </w:pPr>
    </w:p>
    <w:tbl>
      <w:tblPr>
        <w:tblLayout w:type="fixed"/>
        <w:tblInd w:w="480" w:type="dxa"/>
        <w:tblCellMar>
          <w:top w:w="0" w:type="dxa"/>
          <w:left w:w="0" w:type="dxa"/>
          <w:bottom w:w="0" w:type="dxa"/>
          <w:right w:w="0" w:type="dxa"/>
        </w:tblCellMar>
      </w:tblPr>
      <w:tr>
        <w:trPr>
          <w:trHeight w:val="245"/>
        </w:trPr>
        <w:tc>
          <w:tcPr>
            <w:tcW w:w="4700" w:type="dxa"/>
            <w:vAlign w:val="bottom"/>
            <w:shd w:val="clear" w:color="auto" w:fill="D8EEF4"/>
          </w:tcPr>
          <w:p>
            <w:pPr>
              <w:spacing w:after="0"/>
              <w:rPr>
                <w:sz w:val="20"/>
                <w:szCs w:val="20"/>
                <w:color w:val="auto"/>
              </w:rPr>
            </w:pPr>
            <w:r>
              <w:rPr>
                <w:rFonts w:ascii="Times New Roman" w:cs="Times New Roman" w:eastAsia="Times New Roman" w:hAnsi="Times New Roman"/>
                <w:sz w:val="20"/>
                <w:szCs w:val="20"/>
                <w:color w:val="4C4C4E"/>
              </w:rPr>
              <w:t>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r>
      <w:tr>
        <w:trPr>
          <w:trHeight w:val="210"/>
        </w:trPr>
        <w:tc>
          <w:tcPr>
            <w:tcW w:w="4700" w:type="dxa"/>
            <w:vAlign w:val="bottom"/>
          </w:tcPr>
          <w:p>
            <w:pPr>
              <w:spacing w:after="0" w:line="211" w:lineRule="exact"/>
              <w:rPr>
                <w:sz w:val="20"/>
                <w:szCs w:val="20"/>
                <w:color w:val="auto"/>
              </w:rPr>
            </w:pPr>
            <w:r>
              <w:rPr>
                <w:rFonts w:ascii="Times New Roman" w:cs="Times New Roman" w:eastAsia="Times New Roman" w:hAnsi="Times New Roman"/>
                <w:sz w:val="19"/>
                <w:szCs w:val="19"/>
                <w:color w:val="4C4C4E"/>
              </w:rPr>
              <w:t xml:space="preserve">Net Expenses </w:t>
            </w:r>
            <w:r>
              <w:rPr>
                <w:rFonts w:ascii="Times New Roman" w:cs="Times New Roman" w:eastAsia="Times New Roman" w:hAnsi="Times New Roman"/>
                <w:sz w:val="24"/>
                <w:szCs w:val="24"/>
                <w:color w:val="4C4C4E"/>
                <w:vertAlign w:val="superscript"/>
              </w:rPr>
              <w:t>(1)</w:t>
            </w: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w w:val="79"/>
              </w:rPr>
              <w:t>$</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4C4C4E"/>
              </w:rPr>
              <w:t>Net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4C4C4E"/>
              </w:rPr>
              <w:t>Total unrealized and realized gains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4C4C4E"/>
              </w:rPr>
              <w:t>Increase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r>
      <w:tr>
        <w:trPr>
          <w:trHeight w:val="266"/>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4C4C4E"/>
              </w:rPr>
              <w:t>Net Asset Value per Share as of the End of the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308610</wp:posOffset>
                </wp:positionH>
                <wp:positionV relativeFrom="paragraph">
                  <wp:posOffset>-594360</wp:posOffset>
                </wp:positionV>
                <wp:extent cx="6240145" cy="14605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0145" cy="146050"/>
                        </a:xfrm>
                        <a:prstGeom prst="rect">
                          <a:avLst/>
                        </a:prstGeom>
                        <a:solidFill>
                          <a:srgbClr val="D8EEF4"/>
                        </a:solidFill>
                      </wps:spPr>
                      <wps:bodyPr/>
                    </wps:wsp>
                  </a:graphicData>
                </a:graphic>
              </wp:anchor>
            </w:drawing>
          </mc:Choice>
          <mc:Fallback>
            <w:pict>
              <v:rect id="Shape 117" o:spid="_x0000_s1142" style="position:absolute;margin-left:24.3pt;margin-top:-46.7999pt;width:491.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308610</wp:posOffset>
                </wp:positionH>
                <wp:positionV relativeFrom="paragraph">
                  <wp:posOffset>-302260</wp:posOffset>
                </wp:positionV>
                <wp:extent cx="6240145" cy="14605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0145" cy="146050"/>
                        </a:xfrm>
                        <a:prstGeom prst="rect">
                          <a:avLst/>
                        </a:prstGeom>
                        <a:solidFill>
                          <a:srgbClr val="D8EEF4"/>
                        </a:solidFill>
                      </wps:spPr>
                      <wps:bodyPr/>
                    </wps:wsp>
                  </a:graphicData>
                </a:graphic>
              </wp:anchor>
            </w:drawing>
          </mc:Choice>
          <mc:Fallback>
            <w:pict>
              <v:rect id="Shape 118" o:spid="_x0000_s1143" style="position:absolute;margin-left:24.3pt;margin-top:-23.7999pt;width:491.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w:r>
    </w:p>
    <w:p>
      <w:pPr>
        <w:spacing w:after="0" w:line="174" w:lineRule="exact"/>
        <w:rPr>
          <w:sz w:val="20"/>
          <w:szCs w:val="20"/>
          <w:color w:val="auto"/>
        </w:rPr>
      </w:pPr>
    </w:p>
    <w:p>
      <w:pPr>
        <w:ind w:left="500" w:hanging="500"/>
        <w:spacing w:after="0"/>
        <w:tabs>
          <w:tab w:leader="none" w:pos="500" w:val="left"/>
        </w:tabs>
        <w:numPr>
          <w:ilvl w:val="0"/>
          <w:numId w:val="102"/>
        </w:numPr>
        <w:rPr>
          <w:rFonts w:ascii="Times New Roman" w:cs="Times New Roman" w:eastAsia="Times New Roman" w:hAnsi="Times New Roman"/>
          <w:sz w:val="18"/>
          <w:szCs w:val="18"/>
          <w:color w:val="4C4C4E"/>
        </w:rPr>
      </w:pPr>
      <w:r>
        <w:rPr>
          <w:rFonts w:ascii="Times New Roman" w:cs="Times New Roman" w:eastAsia="Times New Roman" w:hAnsi="Times New Roman"/>
          <w:sz w:val="20"/>
          <w:szCs w:val="20"/>
          <w:color w:val="4C4C4E"/>
        </w:rPr>
        <w:t>Net expenses include income taxes, including excise taxes.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4C4C4E"/>
                <w:w w:val="87"/>
              </w:rPr>
              <w:t>Q4</w:t>
            </w:r>
          </w:p>
        </w:tc>
        <w:tc>
          <w:tcPr>
            <w:tcW w:w="200" w:type="dxa"/>
            <w:vAlign w:val="bottom"/>
          </w:tcPr>
          <w:p>
            <w:pPr>
              <w:spacing w:after="0"/>
              <w:rPr>
                <w:sz w:val="17"/>
                <w:szCs w:val="17"/>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4C4C4E"/>
              </w:rPr>
              <w:t>Q3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4C4C4E"/>
              </w:rPr>
              <w:t>Q2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4C4C4E"/>
              </w:rPr>
              <w:t>Q1</w:t>
            </w:r>
          </w:p>
        </w:tc>
        <w:tc>
          <w:tcPr>
            <w:tcW w:w="80" w:type="dxa"/>
            <w:vAlign w:val="bottom"/>
          </w:tcPr>
          <w:p>
            <w:pPr>
              <w:spacing w:after="0"/>
              <w:rPr>
                <w:sz w:val="17"/>
                <w:szCs w:val="17"/>
                <w:color w:val="auto"/>
              </w:rPr>
            </w:pPr>
          </w:p>
        </w:tc>
      </w:tr>
      <w:tr>
        <w:trPr>
          <w:trHeight w:val="225"/>
        </w:trPr>
        <w:tc>
          <w:tcPr>
            <w:tcW w:w="7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4C4C4E"/>
              </w:rPr>
              <w:t>119,542</w:t>
            </w:r>
          </w:p>
        </w:tc>
        <w:tc>
          <w:tcPr>
            <w:tcW w:w="260" w:type="dxa"/>
            <w:vAlign w:val="bottom"/>
            <w:tcBorders>
              <w:top w:val="single" w:sz="8" w:color="D8EEF4"/>
            </w:tcBorders>
            <w:shd w:val="clear" w:color="auto" w:fill="D8EEF4"/>
          </w:tcPr>
          <w:p>
            <w:pPr>
              <w:spacing w:after="0"/>
              <w:rPr>
                <w:sz w:val="19"/>
                <w:szCs w:val="19"/>
                <w:color w:val="auto"/>
              </w:rPr>
            </w:pPr>
          </w:p>
        </w:tc>
        <w:tc>
          <w:tcPr>
            <w:tcW w:w="2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114,435</w:t>
            </w:r>
          </w:p>
        </w:tc>
        <w:tc>
          <w:tcPr>
            <w:tcW w:w="140" w:type="dxa"/>
            <w:vAlign w:val="bottom"/>
            <w:tcBorders>
              <w:top w:val="single" w:sz="8" w:color="D8EEF4"/>
            </w:tcBorders>
            <w:shd w:val="clear" w:color="auto" w:fill="D8EEF4"/>
          </w:tcPr>
          <w:p>
            <w:pPr>
              <w:spacing w:after="0"/>
              <w:rPr>
                <w:sz w:val="19"/>
                <w:szCs w:val="19"/>
                <w:color w:val="auto"/>
              </w:rPr>
            </w:pPr>
          </w:p>
        </w:tc>
        <w:tc>
          <w:tcPr>
            <w:tcW w:w="140" w:type="dxa"/>
            <w:vAlign w:val="bottom"/>
            <w:tcBorders>
              <w:top w:val="single" w:sz="8" w:color="D8EEF4"/>
            </w:tcBorders>
            <w:shd w:val="clear" w:color="auto" w:fill="D8EEF4"/>
          </w:tcPr>
          <w:p>
            <w:pPr>
              <w:spacing w:after="0"/>
              <w:rPr>
                <w:sz w:val="19"/>
                <w:szCs w:val="19"/>
                <w:color w:val="auto"/>
              </w:rPr>
            </w:pPr>
          </w:p>
        </w:tc>
        <w:tc>
          <w:tcPr>
            <w:tcW w:w="18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w w:val="79"/>
                <w:shd w:val="clear" w:color="auto" w:fill="D8EEF4"/>
              </w:rPr>
              <w:t>$</w:t>
            </w:r>
          </w:p>
        </w:tc>
        <w:tc>
          <w:tcPr>
            <w:tcW w:w="74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shd w:val="clear" w:color="auto" w:fill="D8EEF4"/>
              </w:rPr>
              <w:t>107,605</w:t>
            </w:r>
          </w:p>
        </w:tc>
        <w:tc>
          <w:tcPr>
            <w:tcW w:w="120" w:type="dxa"/>
            <w:vAlign w:val="bottom"/>
            <w:tcBorders>
              <w:top w:val="single" w:sz="8" w:color="D8EEF4"/>
            </w:tcBorders>
            <w:shd w:val="clear" w:color="auto" w:fill="D8EEF4"/>
          </w:tcPr>
          <w:p>
            <w:pPr>
              <w:spacing w:after="0"/>
              <w:rPr>
                <w:sz w:val="19"/>
                <w:szCs w:val="19"/>
                <w:color w:val="auto"/>
              </w:rPr>
            </w:pPr>
          </w:p>
        </w:tc>
        <w:tc>
          <w:tcPr>
            <w:tcW w:w="140" w:type="dxa"/>
            <w:vAlign w:val="bottom"/>
            <w:tcBorders>
              <w:top w:val="single" w:sz="8" w:color="D8EEF4"/>
            </w:tcBorders>
            <w:shd w:val="clear" w:color="auto" w:fill="D8EEF4"/>
          </w:tcPr>
          <w:p>
            <w:pPr>
              <w:spacing w:after="0"/>
              <w:rPr>
                <w:sz w:val="19"/>
                <w:szCs w:val="19"/>
                <w:color w:val="auto"/>
              </w:rPr>
            </w:pPr>
          </w:p>
        </w:tc>
        <w:tc>
          <w:tcPr>
            <w:tcW w:w="280" w:type="dxa"/>
            <w:vAlign w:val="bottom"/>
            <w:tcBorders>
              <w:top w:val="single" w:sz="8" w:color="4C4C4E"/>
            </w:tcBorders>
            <w:shd w:val="clear" w:color="auto" w:fill="D8EE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tcBorders>
              <w:top w:val="single" w:sz="8" w:color="4C4C4E"/>
            </w:tcBorders>
            <w:shd w:val="clear" w:color="auto" w:fill="D8EEF4"/>
          </w:tcPr>
          <w:p>
            <w:pPr>
              <w:jc w:val="right"/>
              <w:spacing w:after="0" w:line="225" w:lineRule="exact"/>
              <w:rPr>
                <w:sz w:val="20"/>
                <w:szCs w:val="20"/>
                <w:color w:val="auto"/>
              </w:rPr>
            </w:pPr>
            <w:r>
              <w:rPr>
                <w:rFonts w:ascii="Times New Roman" w:cs="Times New Roman" w:eastAsia="Times New Roman" w:hAnsi="Times New Roman"/>
                <w:sz w:val="20"/>
                <w:szCs w:val="20"/>
                <w:color w:val="4C4C4E"/>
              </w:rPr>
              <w:t>96,505</w:t>
            </w:r>
          </w:p>
        </w:tc>
        <w:tc>
          <w:tcPr>
            <w:tcW w:w="80" w:type="dxa"/>
            <w:vAlign w:val="bottom"/>
            <w:tcBorders>
              <w:top w:val="single" w:sz="8" w:color="D8EEF4"/>
            </w:tcBorders>
            <w:shd w:val="clear" w:color="auto" w:fill="D8EEF4"/>
          </w:tcPr>
          <w:p>
            <w:pPr>
              <w:spacing w:after="0"/>
              <w:rPr>
                <w:sz w:val="19"/>
                <w:szCs w:val="19"/>
                <w:color w:val="auto"/>
              </w:rPr>
            </w:pPr>
          </w:p>
        </w:tc>
      </w:tr>
      <w:tr>
        <w:trPr>
          <w:trHeight w:val="210"/>
        </w:trPr>
        <w:tc>
          <w:tcPr>
            <w:tcW w:w="7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rPr>
              <w:t>64,269</w:t>
            </w:r>
          </w:p>
        </w:tc>
        <w:tc>
          <w:tcPr>
            <w:tcW w:w="260" w:type="dxa"/>
            <w:vAlign w:val="bottom"/>
          </w:tcPr>
          <w:p>
            <w:pPr>
              <w:spacing w:after="0"/>
              <w:rPr>
                <w:sz w:val="18"/>
                <w:szCs w:val="18"/>
                <w:color w:val="auto"/>
              </w:rPr>
            </w:pPr>
          </w:p>
        </w:tc>
        <w:tc>
          <w:tcPr>
            <w:tcW w:w="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w w:val="79"/>
              </w:rPr>
              <w:t>$</w:t>
            </w: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rPr>
              <w:t>63,980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w w:val="79"/>
              </w:rPr>
              <w:t>$</w:t>
            </w: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rPr>
              <w:t>57,919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80"/>
              <w:spacing w:after="0" w:line="210" w:lineRule="exact"/>
              <w:rPr>
                <w:sz w:val="20"/>
                <w:szCs w:val="20"/>
                <w:color w:val="auto"/>
              </w:rPr>
            </w:pPr>
            <w:r>
              <w:rPr>
                <w:rFonts w:ascii="Times New Roman" w:cs="Times New Roman" w:eastAsia="Times New Roman" w:hAnsi="Times New Roman"/>
                <w:sz w:val="20"/>
                <w:szCs w:val="20"/>
                <w:color w:val="4C4C4E"/>
                <w:w w:val="79"/>
              </w:rPr>
              <w:t>$</w:t>
            </w:r>
          </w:p>
        </w:tc>
        <w:tc>
          <w:tcPr>
            <w:tcW w:w="8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C4C4E"/>
              </w:rPr>
              <w:t>53,155</w:t>
            </w:r>
          </w:p>
        </w:tc>
        <w:tc>
          <w:tcPr>
            <w:tcW w:w="80" w:type="dxa"/>
            <w:vAlign w:val="bottom"/>
          </w:tcPr>
          <w:p>
            <w:pPr>
              <w:spacing w:after="0"/>
              <w:rPr>
                <w:sz w:val="18"/>
                <w:szCs w:val="18"/>
                <w:color w:val="auto"/>
              </w:rPr>
            </w:pP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54,684</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C4C4E"/>
              </w:rPr>
              <w:t>49,994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48,784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42,937</w:t>
            </w:r>
          </w:p>
        </w:tc>
        <w:tc>
          <w:tcPr>
            <w:tcW w:w="80" w:type="dxa"/>
            <w:vAlign w:val="bottom"/>
          </w:tcPr>
          <w:p>
            <w:pPr>
              <w:spacing w:after="0"/>
              <w:rPr>
                <w:sz w:val="20"/>
                <w:szCs w:val="20"/>
                <w:color w:val="auto"/>
              </w:rPr>
            </w:pPr>
          </w:p>
        </w:tc>
      </w:tr>
      <w:tr>
        <w:trPr>
          <w:trHeight w:val="230"/>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C4C4E"/>
              </w:rPr>
              <w:t>(3,523)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C4C4E"/>
              </w:rPr>
              <w:t>14,826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4,306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10,015</w:t>
            </w:r>
          </w:p>
        </w:tc>
        <w:tc>
          <w:tcPr>
            <w:tcW w:w="80" w:type="dxa"/>
            <w:vAlign w:val="bottom"/>
          </w:tcPr>
          <w:p>
            <w:pPr>
              <w:spacing w:after="0"/>
              <w:rPr>
                <w:sz w:val="20"/>
                <w:szCs w:val="20"/>
                <w:color w:val="auto"/>
              </w:rPr>
            </w:pP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51,161</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C4C4E"/>
              </w:rPr>
              <w:t>64,820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53,090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52,952</w:t>
            </w:r>
          </w:p>
        </w:tc>
        <w:tc>
          <w:tcPr>
            <w:tcW w:w="80" w:type="dxa"/>
            <w:vAlign w:val="bottom"/>
          </w:tcPr>
          <w:p>
            <w:pPr>
              <w:spacing w:after="0"/>
              <w:rPr>
                <w:sz w:val="20"/>
                <w:szCs w:val="20"/>
                <w:color w:val="auto"/>
              </w:rPr>
            </w:pPr>
          </w:p>
        </w:tc>
      </w:tr>
      <w:tr>
        <w:trPr>
          <w:trHeight w:val="266"/>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17.04</w:t>
            </w:r>
          </w:p>
        </w:tc>
        <w:tc>
          <w:tcPr>
            <w:tcW w:w="2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4C4C4E"/>
                <w:w w:val="7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C4C4E"/>
              </w:rPr>
              <w:t>16.97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C4C4E"/>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C4C4E"/>
              </w:rPr>
              <w:t>16.74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C4C4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C4C4E"/>
              </w:rPr>
              <w:t>16.59</w:t>
            </w: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-355600</wp:posOffset>
                </wp:positionH>
                <wp:positionV relativeFrom="paragraph">
                  <wp:posOffset>-886460</wp:posOffset>
                </wp:positionV>
                <wp:extent cx="835660" cy="14605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660" cy="146050"/>
                        </a:xfrm>
                        <a:prstGeom prst="rect">
                          <a:avLst/>
                        </a:prstGeom>
                        <a:solidFill>
                          <a:srgbClr val="D8EEF4"/>
                        </a:solidFill>
                      </wps:spPr>
                      <wps:bodyPr/>
                    </wps:wsp>
                  </a:graphicData>
                </a:graphic>
              </wp:anchor>
            </w:drawing>
          </mc:Choice>
          <mc:Fallback>
            <w:pict>
              <v:rect id="Shape 119" o:spid="_x0000_s1144" style="position:absolute;margin-left:-28pt;margin-top:-69.7999pt;width:65.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EF4" stroked="f"/>
            </w:pict>
          </mc:Fallback>
        </mc:AlternateContent>
        <mc:AlternateContent>
          <mc:Choice Requires="wps">
            <w:drawing>
              <wp:anchor simplePos="0" relativeHeight="251657728" behindDoc="1" locked="0" layoutInCell="0" allowOverlap="1">
                <wp:simplePos x="0" y="0"/>
                <wp:positionH relativeFrom="column">
                  <wp:posOffset>-355600</wp:posOffset>
                </wp:positionH>
                <wp:positionV relativeFrom="paragraph">
                  <wp:posOffset>-891540</wp:posOffset>
                </wp:positionV>
                <wp:extent cx="83566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660" cy="4763"/>
                        </a:xfrm>
                        <a:prstGeom prst="line">
                          <a:avLst/>
                        </a:prstGeom>
                        <a:solidFill>
                          <a:srgbClr val="FFFFFF"/>
                        </a:solidFill>
                        <a:ln w="9525">
                          <a:solidFill>
                            <a:srgbClr val="4C4C4E"/>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pt,-70.1999pt" to="37.8pt,-70.1999pt" o:allowincell="f" strokecolor="#4C4C4E" strokeweight="0.75pt"/>
            </w:pict>
          </mc:Fallback>
        </mc:AlternateContent>
      </w:r>
    </w:p>
    <w:p>
      <w:pPr>
        <w:spacing w:after="0" w:line="623" w:lineRule="exact"/>
        <w:rPr>
          <w:sz w:val="20"/>
          <w:szCs w:val="20"/>
          <w:color w:val="auto"/>
        </w:rPr>
      </w:pPr>
    </w:p>
    <w:p>
      <w:pPr>
        <w:sectPr>
          <w:pgSz w:w="11880" w:h="15480" w:orient="portrait"/>
          <w:cols w:equalWidth="0" w:num="2">
            <w:col w:w="5280" w:space="460"/>
            <w:col w:w="5000"/>
          </w:cols>
          <w:pgMar w:left="540" w:top="746" w:right="600" w:bottom="6" w:gutter="0" w:footer="0" w:header="0"/>
          <w:type w:val="continuous"/>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15. Subsequent Events</w:t>
      </w:r>
    </w:p>
    <w:p>
      <w:pPr>
        <w:spacing w:after="0" w:line="124"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4C4C4E"/>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2025.</w:t>
      </w:r>
    </w:p>
    <w:p>
      <w:pPr>
        <w:sectPr>
          <w:pgSz w:w="11880" w:h="15480" w:orient="portrait"/>
          <w:cols w:equalWidth="0" w:num="1">
            <w:col w:w="10740"/>
          </w:cols>
          <w:pgMar w:left="540" w:top="746" w:right="600" w:bottom="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4C4C4E"/>
        </w:rPr>
        <w:t>F-54</w:t>
      </w:r>
    </w:p>
    <w:p>
      <w:pPr>
        <w:sectPr>
          <w:pgSz w:w="11880" w:h="15480" w:orient="portrait"/>
          <w:cols w:equalWidth="0" w:num="1">
            <w:col w:w="10740"/>
          </w:cols>
          <w:pgMar w:left="540" w:top="746" w:right="600" w:bottom="6" w:gutter="0" w:footer="0" w:header="0"/>
          <w:type w:val="continuous"/>
        </w:sectPr>
      </w:pPr>
    </w:p>
    <w:bookmarkStart w:id="143" w:name="page144"/>
    <w:bookmarkEnd w:id="143"/>
    <w:p>
      <w:pPr>
        <w:ind w:right="780"/>
        <w:spacing w:after="0" w:line="286" w:lineRule="auto"/>
        <w:rPr>
          <w:sz w:val="20"/>
          <w:szCs w:val="20"/>
          <w:color w:val="auto"/>
        </w:rPr>
      </w:pPr>
      <w:r>
        <w:rPr>
          <w:rFonts w:ascii="Times New Roman" w:cs="Times New Roman" w:eastAsia="Times New Roman" w:hAnsi="Times New Roman"/>
          <w:sz w:val="20"/>
          <w:szCs w:val="20"/>
          <w:b w:val="1"/>
          <w:bCs w:val="1"/>
          <w:color w:val="4C4C4E"/>
        </w:rPr>
        <w:t>ITEM 9. CHANGES IN AND DISAGREEMENTS WITH ACCOUNTANTS ON ACCOUNTING AND FINANCIAL DISCLOSURE</w:t>
      </w: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9A. CONTROLS AND PROCEDURES</w:t>
      </w:r>
    </w:p>
    <w:p>
      <w:pPr>
        <w:spacing w:after="0" w:line="124"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b w:val="1"/>
          <w:bCs w:val="1"/>
          <w:i w:val="1"/>
          <w:iCs w:val="1"/>
          <w:color w:val="4C4C4E"/>
        </w:rPr>
        <w:t xml:space="preserve">Evaluation of Disclosure Controls and Procedures. </w:t>
      </w:r>
      <w:r>
        <w:rPr>
          <w:rFonts w:ascii="Times New Roman" w:cs="Times New Roman" w:eastAsia="Times New Roman" w:hAnsi="Times New Roman"/>
          <w:sz w:val="20"/>
          <w:szCs w:val="20"/>
          <w:color w:val="4C4C4E"/>
        </w:rPr>
        <w:t>As of the end of the period covered by this Annual Report, we carried out an</w:t>
      </w:r>
      <w:r>
        <w:rPr>
          <w:rFonts w:ascii="Times New Roman" w:cs="Times New Roman" w:eastAsia="Times New Roman" w:hAnsi="Times New Roman"/>
          <w:sz w:val="20"/>
          <w:szCs w:val="20"/>
          <w:b w:val="1"/>
          <w:bCs w:val="1"/>
          <w:i w:val="1"/>
          <w:iCs w:val="1"/>
          <w:color w:val="4C4C4E"/>
        </w:rPr>
        <w:t xml:space="preserve"> </w:t>
      </w:r>
      <w:r>
        <w:rPr>
          <w:rFonts w:ascii="Times New Roman" w:cs="Times New Roman" w:eastAsia="Times New Roman" w:hAnsi="Times New Roman"/>
          <w:sz w:val="20"/>
          <w:szCs w:val="20"/>
          <w:color w:val="4C4C4E"/>
        </w:rPr>
        <w:t>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200" w:lineRule="exact"/>
        <w:rPr>
          <w:sz w:val="20"/>
          <w:szCs w:val="20"/>
          <w:color w:val="auto"/>
        </w:rPr>
      </w:pPr>
    </w:p>
    <w:p>
      <w:pPr>
        <w:ind w:right="80" w:firstLine="245"/>
        <w:spacing w:after="0" w:line="246" w:lineRule="auto"/>
        <w:rPr>
          <w:sz w:val="20"/>
          <w:szCs w:val="20"/>
          <w:color w:val="auto"/>
        </w:rPr>
      </w:pPr>
      <w:r>
        <w:rPr>
          <w:rFonts w:ascii="Times New Roman" w:cs="Times New Roman" w:eastAsia="Times New Roman" w:hAnsi="Times New Roman"/>
          <w:sz w:val="20"/>
          <w:szCs w:val="20"/>
          <w:b w:val="1"/>
          <w:bCs w:val="1"/>
          <w:i w:val="1"/>
          <w:iCs w:val="1"/>
          <w:color w:val="4C4C4E"/>
        </w:rPr>
        <w:t xml:space="preserve">Management’s Report on Internal Control Over Financial Reporting. </w:t>
      </w:r>
      <w:r>
        <w:rPr>
          <w:rFonts w:ascii="Times New Roman" w:cs="Times New Roman" w:eastAsia="Times New Roman" w:hAnsi="Times New Roman"/>
          <w:sz w:val="20"/>
          <w:szCs w:val="20"/>
          <w:color w:val="4C4C4E"/>
        </w:rPr>
        <w:t>Our management is responsible for establishing and</w:t>
      </w:r>
      <w:r>
        <w:rPr>
          <w:rFonts w:ascii="Times New Roman" w:cs="Times New Roman" w:eastAsia="Times New Roman" w:hAnsi="Times New Roman"/>
          <w:sz w:val="20"/>
          <w:szCs w:val="20"/>
          <w:b w:val="1"/>
          <w:bCs w:val="1"/>
          <w:i w:val="1"/>
          <w:iCs w:val="1"/>
          <w:color w:val="4C4C4E"/>
        </w:rPr>
        <w:t xml:space="preserve"> </w:t>
      </w:r>
      <w:r>
        <w:rPr>
          <w:rFonts w:ascii="Times New Roman" w:cs="Times New Roman" w:eastAsia="Times New Roman" w:hAnsi="Times New Roman"/>
          <w:sz w:val="20"/>
          <w:szCs w:val="20"/>
          <w:color w:val="4C4C4E"/>
        </w:rPr>
        <w:t xml:space="preserve">maintaining adequate 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20"/>
          <w:szCs w:val="20"/>
          <w:i w:val="1"/>
          <w:iCs w:val="1"/>
          <w:color w:val="4C4C4E"/>
        </w:rPr>
        <w:t xml:space="preserve">Internal Control—Integrated Framework (2013) </w:t>
      </w:r>
      <w:r>
        <w:rPr>
          <w:rFonts w:ascii="Times New Roman" w:cs="Times New Roman" w:eastAsia="Times New Roman" w:hAnsi="Times New Roman"/>
          <w:sz w:val="20"/>
          <w:szCs w:val="20"/>
          <w:color w:val="4C4C4E"/>
        </w:rPr>
        <w:t>issued by the Committee of Sponsoring Organizations of the Treadway Commission</w:t>
      </w:r>
      <w:r>
        <w:rPr>
          <w:rFonts w:ascii="Times New Roman" w:cs="Times New Roman" w:eastAsia="Times New Roman" w:hAnsi="Times New Roman"/>
          <w:sz w:val="20"/>
          <w:szCs w:val="20"/>
          <w:i w:val="1"/>
          <w:iCs w:val="1"/>
          <w:color w:val="4C4C4E"/>
        </w:rPr>
        <w:t xml:space="preserve"> </w:t>
      </w:r>
      <w:r>
        <w:rPr>
          <w:rFonts w:ascii="Times New Roman" w:cs="Times New Roman" w:eastAsia="Times New Roman" w:hAnsi="Times New Roman"/>
          <w:sz w:val="20"/>
          <w:szCs w:val="20"/>
          <w:color w:val="4C4C4E"/>
        </w:rPr>
        <w:t xml:space="preserve">(2013 COSO Framework). Based on our evaluation under the framework in </w:t>
      </w:r>
      <w:r>
        <w:rPr>
          <w:rFonts w:ascii="Times New Roman" w:cs="Times New Roman" w:eastAsia="Times New Roman" w:hAnsi="Times New Roman"/>
          <w:sz w:val="20"/>
          <w:szCs w:val="20"/>
          <w:i w:val="1"/>
          <w:iCs w:val="1"/>
          <w:color w:val="4C4C4E"/>
        </w:rPr>
        <w:t>Internal Control—Integrated Framework</w:t>
      </w:r>
      <w:r>
        <w:rPr>
          <w:rFonts w:ascii="Times New Roman" w:cs="Times New Roman" w:eastAsia="Times New Roman" w:hAnsi="Times New Roman"/>
          <w:sz w:val="20"/>
          <w:szCs w:val="20"/>
          <w:color w:val="4C4C4E"/>
        </w:rPr>
        <w:t>, management concluded that our internal control over financial reporting was effective as of December 31, 2025.</w:t>
      </w:r>
    </w:p>
    <w:p>
      <w:pPr>
        <w:spacing w:after="0" w:line="200"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4C4C4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 xml:space="preserve">Attestation Report of the Independent Registered Public Accounting Firm. </w:t>
      </w:r>
      <w:r>
        <w:rPr>
          <w:rFonts w:ascii="Times New Roman" w:cs="Times New Roman" w:eastAsia="Times New Roman" w:hAnsi="Times New Roman"/>
          <w:sz w:val="20"/>
          <w:szCs w:val="20"/>
          <w:color w:val="4C4C4E"/>
        </w:rPr>
        <w:t>Our independent registered public accounting firm,</w:t>
      </w:r>
      <w:r>
        <w:rPr>
          <w:rFonts w:ascii="Times New Roman" w:cs="Times New Roman" w:eastAsia="Times New Roman" w:hAnsi="Times New Roman"/>
          <w:sz w:val="20"/>
          <w:szCs w:val="20"/>
          <w:b w:val="1"/>
          <w:bCs w:val="1"/>
          <w:i w:val="1"/>
          <w:iCs w:val="1"/>
          <w:color w:val="4C4C4E"/>
        </w:rPr>
        <w:t xml:space="preserve"> </w:t>
      </w:r>
      <w:r>
        <w:rPr>
          <w:rFonts w:ascii="Times New Roman" w:cs="Times New Roman" w:eastAsia="Times New Roman" w:hAnsi="Times New Roman"/>
          <w:sz w:val="20"/>
          <w:szCs w:val="20"/>
          <w:color w:val="4C4C4E"/>
        </w:rPr>
        <w:t>KPMG LLP, has issued an audit report on the effectiveness of our internal control over financial reporting, which is set forth under the heading “Report of Independent Registered Public Accounting Firm” on page F-2.</w:t>
      </w:r>
    </w:p>
    <w:p>
      <w:pPr>
        <w:spacing w:after="0" w:line="188" w:lineRule="exact"/>
        <w:rPr>
          <w:sz w:val="20"/>
          <w:szCs w:val="20"/>
          <w:color w:val="auto"/>
        </w:rPr>
      </w:pPr>
    </w:p>
    <w:p>
      <w:pPr>
        <w:ind w:right="420" w:firstLine="245"/>
        <w:spacing w:after="0" w:line="258" w:lineRule="auto"/>
        <w:rPr>
          <w:sz w:val="20"/>
          <w:szCs w:val="20"/>
          <w:color w:val="auto"/>
        </w:rPr>
      </w:pPr>
      <w:r>
        <w:rPr>
          <w:rFonts w:ascii="Times New Roman" w:cs="Times New Roman" w:eastAsia="Times New Roman" w:hAnsi="Times New Roman"/>
          <w:sz w:val="20"/>
          <w:szCs w:val="20"/>
          <w:b w:val="1"/>
          <w:bCs w:val="1"/>
          <w:i w:val="1"/>
          <w:iCs w:val="1"/>
          <w:color w:val="4C4C4E"/>
        </w:rPr>
        <w:t xml:space="preserve">Changes in Internal Control over Financial Reporting. </w:t>
      </w:r>
      <w:r>
        <w:rPr>
          <w:rFonts w:ascii="Times New Roman" w:cs="Times New Roman" w:eastAsia="Times New Roman" w:hAnsi="Times New Roman"/>
          <w:sz w:val="20"/>
          <w:szCs w:val="20"/>
          <w:color w:val="4C4C4E"/>
        </w:rPr>
        <w:t>There have been no changes in our internal control over financial</w:t>
      </w:r>
      <w:r>
        <w:rPr>
          <w:rFonts w:ascii="Times New Roman" w:cs="Times New Roman" w:eastAsia="Times New Roman" w:hAnsi="Times New Roman"/>
          <w:sz w:val="20"/>
          <w:szCs w:val="20"/>
          <w:b w:val="1"/>
          <w:bCs w:val="1"/>
          <w:i w:val="1"/>
          <w:iCs w:val="1"/>
          <w:color w:val="4C4C4E"/>
        </w:rPr>
        <w:t xml:space="preserve"> </w:t>
      </w:r>
      <w:r>
        <w:rPr>
          <w:rFonts w:ascii="Times New Roman" w:cs="Times New Roman" w:eastAsia="Times New Roman" w:hAnsi="Times New Roman"/>
          <w:sz w:val="20"/>
          <w:szCs w:val="20"/>
          <w:color w:val="4C4C4E"/>
        </w:rPr>
        <w:t>reporting that occurred during our most recently completed fiscal quarter that have materially affected, or are reasonably likely to materially affect, our internal control over financial reporting.</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9B. OTHER INFORMATION</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None.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9C. DISCLOSURE REGARDING FOREIGN JURISDICTIONS THAT PREVENT INSPECTIONS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Not Applicable.</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89</w:t>
      </w:r>
    </w:p>
    <w:p>
      <w:pPr>
        <w:sectPr>
          <w:pgSz w:w="11880" w:h="15480" w:orient="portrait"/>
          <w:cols w:equalWidth="0" w:num="1">
            <w:col w:w="10780"/>
          </w:cols>
          <w:pgMar w:left="540" w:top="746" w:right="560" w:bottom="0" w:gutter="0" w:footer="0" w:header="0"/>
          <w:type w:val="continuous"/>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20"/>
          <w:szCs w:val="20"/>
          <w:b w:val="1"/>
          <w:bCs w:val="1"/>
          <w:color w:val="4C4C4E"/>
        </w:rPr>
        <w:t>PART III</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10. DIRECTORS, EXECUTIVE OFFICERS AND CORPORATE GOVERNANCE</w:t>
      </w:r>
    </w:p>
    <w:p>
      <w:pPr>
        <w:spacing w:after="0" w:line="124" w:lineRule="exact"/>
        <w:rPr>
          <w:sz w:val="20"/>
          <w:szCs w:val="20"/>
          <w:color w:val="auto"/>
        </w:rPr>
      </w:pPr>
    </w:p>
    <w:p>
      <w:pPr>
        <w:ind w:right="100" w:firstLine="245"/>
        <w:spacing w:after="0" w:line="252" w:lineRule="auto"/>
        <w:rPr>
          <w:sz w:val="20"/>
          <w:szCs w:val="20"/>
          <w:color w:val="auto"/>
        </w:rPr>
      </w:pPr>
      <w:r>
        <w:rPr>
          <w:rFonts w:ascii="Times New Roman" w:cs="Times New Roman" w:eastAsia="Times New Roman" w:hAnsi="Times New Roman"/>
          <w:sz w:val="20"/>
          <w:szCs w:val="20"/>
          <w:color w:val="4C4C4E"/>
        </w:rPr>
        <w:t>Except for the information regarding the SOX Code of Business Conduct and Ethics (which is set forth below), information in response to this item is incorporated by reference from our Proxy Statement relating to our 2026 annual meeting of stockholders. The Proxy Statement will be filed with the SEC within 120 days after the end of the fiscal year covered by this Form 10-K pursuant to Regulation 14A under the Exchange Act.</w:t>
      </w:r>
    </w:p>
    <w:p>
      <w:pPr>
        <w:spacing w:after="0" w:line="194"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4C4C4E"/>
        </w:rPr>
        <w:t>Our SOX Code of Business Conduct and Ethics may be found at http://www.sixthstreetspecialtylending.com in the “Investor Resources” section of our website. We intend to disclose any substantive amendments to or waivers of required provisions of the SOX Code of Business Conduct and Ethics on our website.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11. EXECUTIVE COMPENSATION</w:t>
      </w:r>
    </w:p>
    <w:p>
      <w:pPr>
        <w:spacing w:after="0" w:line="124" w:lineRule="exact"/>
        <w:rPr>
          <w:sz w:val="20"/>
          <w:szCs w:val="20"/>
          <w:color w:val="auto"/>
        </w:rPr>
      </w:pPr>
    </w:p>
    <w:p>
      <w:pPr>
        <w:ind w:right="120" w:firstLine="245"/>
        <w:spacing w:after="0" w:line="277" w:lineRule="auto"/>
        <w:rPr>
          <w:sz w:val="20"/>
          <w:szCs w:val="20"/>
          <w:color w:val="auto"/>
        </w:rPr>
      </w:pPr>
      <w:r>
        <w:rPr>
          <w:rFonts w:ascii="Times New Roman" w:cs="Times New Roman" w:eastAsia="Times New Roman" w:hAnsi="Times New Roman"/>
          <w:sz w:val="20"/>
          <w:szCs w:val="20"/>
          <w:color w:val="4C4C4E"/>
        </w:rPr>
        <w:t>Information in response to this item is incorporated by reference from our Proxy Statement relating to our 2026 annual meeting of stockholders.</w:t>
      </w:r>
    </w:p>
    <w:p>
      <w:pPr>
        <w:spacing w:after="0" w:line="33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20"/>
          <w:szCs w:val="20"/>
          <w:b w:val="1"/>
          <w:bCs w:val="1"/>
          <w:color w:val="4C4C4E"/>
        </w:rPr>
        <w:t>ITEM 12. SECURITY OWNERSHIP OF CERTAIN BENEFICIAL OWNERS AND MANAGEMENT AND RELATED STOCKHOLDER MATTERS</w:t>
      </w:r>
    </w:p>
    <w:p>
      <w:pPr>
        <w:spacing w:after="0" w:line="36" w:lineRule="exact"/>
        <w:rPr>
          <w:sz w:val="20"/>
          <w:szCs w:val="20"/>
          <w:color w:val="auto"/>
        </w:rPr>
      </w:pPr>
    </w:p>
    <w:p>
      <w:pPr>
        <w:ind w:right="120" w:firstLine="245"/>
        <w:spacing w:after="0" w:line="277" w:lineRule="auto"/>
        <w:rPr>
          <w:sz w:val="20"/>
          <w:szCs w:val="20"/>
          <w:color w:val="auto"/>
        </w:rPr>
      </w:pPr>
      <w:r>
        <w:rPr>
          <w:rFonts w:ascii="Times New Roman" w:cs="Times New Roman" w:eastAsia="Times New Roman" w:hAnsi="Times New Roman"/>
          <w:sz w:val="20"/>
          <w:szCs w:val="20"/>
          <w:color w:val="4C4C4E"/>
        </w:rPr>
        <w:t>Information in response to this item is incorporated by reference from our Proxy Statement relating to our 2026 annual meeting of stockholders.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13. CERTAIN RELATIONSHIP AND RELATED TRANSACTION, AND DIRECTOR INDEPENDENCE</w:t>
      </w:r>
    </w:p>
    <w:p>
      <w:pPr>
        <w:spacing w:after="0" w:line="124" w:lineRule="exact"/>
        <w:rPr>
          <w:sz w:val="20"/>
          <w:szCs w:val="20"/>
          <w:color w:val="auto"/>
        </w:rPr>
      </w:pPr>
    </w:p>
    <w:p>
      <w:pPr>
        <w:ind w:right="120" w:firstLine="245"/>
        <w:spacing w:after="0" w:line="277" w:lineRule="auto"/>
        <w:rPr>
          <w:sz w:val="20"/>
          <w:szCs w:val="20"/>
          <w:color w:val="auto"/>
        </w:rPr>
      </w:pPr>
      <w:r>
        <w:rPr>
          <w:rFonts w:ascii="Times New Roman" w:cs="Times New Roman" w:eastAsia="Times New Roman" w:hAnsi="Times New Roman"/>
          <w:sz w:val="20"/>
          <w:szCs w:val="20"/>
          <w:color w:val="4C4C4E"/>
        </w:rPr>
        <w:t>Information in response to this item is incorporated by reference from our Proxy Statement relating to our 2026 annual meeting of stockholders.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14. PRINCIPAL ACCOUNTANT FEES AND SERVICES</w:t>
      </w:r>
    </w:p>
    <w:p>
      <w:pPr>
        <w:spacing w:after="0" w:line="124" w:lineRule="exact"/>
        <w:rPr>
          <w:sz w:val="20"/>
          <w:szCs w:val="20"/>
          <w:color w:val="auto"/>
        </w:rPr>
      </w:pPr>
    </w:p>
    <w:p>
      <w:pPr>
        <w:ind w:right="120" w:firstLine="245"/>
        <w:spacing w:after="0" w:line="277" w:lineRule="auto"/>
        <w:rPr>
          <w:sz w:val="20"/>
          <w:szCs w:val="20"/>
          <w:color w:val="auto"/>
        </w:rPr>
      </w:pPr>
      <w:r>
        <w:rPr>
          <w:rFonts w:ascii="Times New Roman" w:cs="Times New Roman" w:eastAsia="Times New Roman" w:hAnsi="Times New Roman"/>
          <w:sz w:val="20"/>
          <w:szCs w:val="20"/>
          <w:color w:val="4C4C4E"/>
        </w:rPr>
        <w:t>Information in response to this item is incorporated by reference from our Proxy Statement relating to our 2026 annual meeting of stockholders.</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90</w:t>
      </w:r>
    </w:p>
    <w:p>
      <w:pPr>
        <w:sectPr>
          <w:pgSz w:w="11880" w:h="15480" w:orient="portrait"/>
          <w:cols w:equalWidth="0" w:num="1">
            <w:col w:w="10780"/>
          </w:cols>
          <w:pgMar w:left="540" w:top="746" w:right="560" w:bottom="0"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4C4C4E"/>
        </w:rPr>
        <w:t>PART IV</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C4C4E"/>
        </w:rPr>
        <w:t>ITEM 15. EXHIBITS AND FINANCIAL STATEMENT SCHEDULES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4C4C4E"/>
        </w:rPr>
        <w:t>The following documents are filed as part of this Annual Report:</w:t>
      </w:r>
    </w:p>
    <w:p>
      <w:pPr>
        <w:spacing w:after="0" w:line="120" w:lineRule="exact"/>
        <w:rPr>
          <w:sz w:val="20"/>
          <w:szCs w:val="20"/>
          <w:color w:val="auto"/>
        </w:rPr>
      </w:pPr>
    </w:p>
    <w:p>
      <w:pPr>
        <w:ind w:left="440" w:right="400" w:hanging="440"/>
        <w:spacing w:after="0" w:line="277" w:lineRule="auto"/>
        <w:tabs>
          <w:tab w:leader="none" w:pos="440" w:val="left"/>
        </w:tabs>
        <w:numPr>
          <w:ilvl w:val="0"/>
          <w:numId w:val="103"/>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Financial Statements—Financial statements are included in Item 8. See the Index to the consolidated financial statements on page F-1 of this annual report on Form 10-K.</w:t>
      </w:r>
    </w:p>
    <w:p>
      <w:pPr>
        <w:spacing w:after="0" w:line="49" w:lineRule="exact"/>
        <w:rPr>
          <w:rFonts w:ascii="Times New Roman" w:cs="Times New Roman" w:eastAsia="Times New Roman" w:hAnsi="Times New Roman"/>
          <w:sz w:val="20"/>
          <w:szCs w:val="20"/>
          <w:color w:val="4C4C4E"/>
        </w:rPr>
      </w:pPr>
    </w:p>
    <w:p>
      <w:pPr>
        <w:ind w:left="440" w:right="120" w:hanging="440"/>
        <w:spacing w:after="0" w:line="258" w:lineRule="auto"/>
        <w:tabs>
          <w:tab w:leader="none" w:pos="440" w:val="left"/>
        </w:tabs>
        <w:numPr>
          <w:ilvl w:val="0"/>
          <w:numId w:val="103"/>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68" w:lineRule="exact"/>
        <w:rPr>
          <w:rFonts w:ascii="Times New Roman" w:cs="Times New Roman" w:eastAsia="Times New Roman" w:hAnsi="Times New Roman"/>
          <w:sz w:val="20"/>
          <w:szCs w:val="20"/>
          <w:color w:val="4C4C4E"/>
        </w:rPr>
      </w:pPr>
    </w:p>
    <w:p>
      <w:pPr>
        <w:ind w:left="440" w:right="220" w:hanging="440"/>
        <w:spacing w:after="0" w:line="277" w:lineRule="auto"/>
        <w:tabs>
          <w:tab w:leader="none" w:pos="440" w:val="left"/>
        </w:tabs>
        <w:numPr>
          <w:ilvl w:val="0"/>
          <w:numId w:val="103"/>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Exhibits—The following is a list of all exhibits filed as a part of this annual report on Form 10-K, including those incorporated by reference.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16"/>
                <w:szCs w:val="16"/>
                <w:color w:val="4C4C4E"/>
              </w:rPr>
              <w:t>Exhibit No</w:t>
            </w:r>
          </w:p>
        </w:tc>
        <w:tc>
          <w:tcPr>
            <w:tcW w:w="100" w:type="dxa"/>
            <w:vAlign w:val="bottom"/>
          </w:tcPr>
          <w:p>
            <w:pPr>
              <w:spacing w:after="0"/>
              <w:rPr>
                <w:sz w:val="17"/>
                <w:szCs w:val="17"/>
                <w:color w:val="auto"/>
              </w:rPr>
            </w:pPr>
          </w:p>
        </w:tc>
        <w:tc>
          <w:tcPr>
            <w:tcW w:w="988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16"/>
                <w:szCs w:val="16"/>
                <w:color w:val="4C4C4E"/>
              </w:rPr>
              <w:t>Description of Exhibits</w:t>
            </w:r>
          </w:p>
        </w:tc>
      </w:tr>
      <w:tr>
        <w:trPr>
          <w:trHeight w:val="33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3.1</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Restated Certificate of Incorporation (incorporated by reference to Exhibit 3.2 to Amendment No. 1 to the Company’s</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Current Report on Form 8-K filed on June 19, 2020).</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3.2</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Third Amended and Restated Bylaws dated November 4, 2025 (incorporated by reference to Exhibit 3.2 to the Company’s</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Quarterly Report on Form 10-Q filed on November 4, 2025).</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4.1</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Form of Common Stock Certificate (incorporated by reference to Exhibit 4.2 to the Company’s Annual Report on Form</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10-K filed on March 22, 2012).</w:t>
            </w:r>
          </w:p>
        </w:tc>
      </w:tr>
      <w:tr>
        <w:trPr>
          <w:trHeight w:val="54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4.2</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Third Supplemental Indenture, dated as of February 3, 2021, between Sixth Street Specialty Lending, Inc. and Wells Fargo</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Bank, National Association, as Trustee (incorporated by reference to Exhibit 4.2 to the Company’s Current Report on</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Form 8-K filed on February 3, 2021).</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4.3</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Form of 2.500% Note (incorporated by reference to Exhibit 4.2 to the Company’s Current Report on Form 8-K filed on</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February 3, 2021).</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4.4</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Fourth Supplemental Indenture, dated as of August 14, 2023, between Sixth Street Specialty Lending, Inc. and</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Computershare Trust Company, N.A., as successor to Wells Fargo Bank, National Association, as Trustee (incorporated</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by reference to Exhibit 4.2 to the Company’s Current Report on Form 8-K filed on August 14, 2023).</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4.5</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Form of 6.950% Note Due 2028 (incorporated by reference to Exhibit 4.2 to the Company’s Current Report on Form 8-K</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filed on August 14, 2023).</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4.6</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Indenture, dated as of January 16, 2024, between Sixth Street Specialty Lending, Inc. and U.S. Bank Trust Company,</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National Association, as Trustee (incorporated by reference to Exhibit 4.1 to the Company’s Current Report on Form 8-K</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filed on January 16, 2024).</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4.7</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First Supplemental Indenture, dated as of January 16, 2024, between Sixth Street Specialty Lending, Inc. and U.S. Bank</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Trust Company, National Association, as Trustee (incorporated by reference to Exhibit 4.2 to the Company's Current</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Report on Form 8-K filed on January 16, 2024).</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4.8</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Form of 6.125% Note Due 2029 (included in Exhibit 4.2 to the Company’s Current Report on Form 8-K filed on January</w:t>
            </w:r>
          </w:p>
        </w:tc>
      </w:tr>
      <w:tr>
        <w:trPr>
          <w:trHeight w:val="266"/>
        </w:trPr>
        <w:tc>
          <w:tcPr>
            <w:tcW w:w="820" w:type="dxa"/>
            <w:vAlign w:val="bottom"/>
          </w:tcPr>
          <w:p>
            <w:pPr>
              <w:spacing w:after="0"/>
              <w:rPr>
                <w:sz w:val="23"/>
                <w:szCs w:val="23"/>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4C4C4E"/>
              </w:rPr>
              <w:t>16, 2024).</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4.9</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Second Supplemental Indenture, dated as of February 25, 2025, between Sixth Street Specialty Lending, Inc. and U.S.</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w w:val="99"/>
              </w:rPr>
              <w:t>Bank Trust Company, National Association, as Trustee (incorporated by reference to Exhibit 4.2 to the Company’s Current</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Report on Form 8-K filed on February 25, 2025).</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4.10</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Form of 5.625% Note Due 2030 (included in Exhibit 4.2 to the Company’s Current Report on Form 8-K filed on February</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25, 2025 and incorporated by reference).</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4C4C4E"/>
              </w:rPr>
              <w:t>4.11</w:t>
            </w:r>
          </w:p>
        </w:tc>
        <w:tc>
          <w:tcPr>
            <w:tcW w:w="10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Description of Securities Registered Pursuant to Section 12 of the Securities Exchange Act of 1934 (incorporated by</w:t>
            </w:r>
          </w:p>
        </w:tc>
      </w:tr>
      <w:tr>
        <w:trPr>
          <w:trHeight w:val="266"/>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20"/>
                <w:szCs w:val="20"/>
                <w:color w:val="4C4C4E"/>
              </w:rPr>
              <w:t>reference to Exhibit 4.8 to the Company’s Annual Report on Form 10-K filed on February 15, 2024).</w:t>
            </w:r>
          </w:p>
        </w:tc>
      </w:tr>
    </w:tbl>
    <w:p>
      <w:pPr>
        <w:spacing w:after="0" w:line="200" w:lineRule="exact"/>
        <w:rPr>
          <w:sz w:val="20"/>
          <w:szCs w:val="20"/>
          <w:color w:val="auto"/>
        </w:rPr>
      </w:pP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91</w:t>
      </w:r>
    </w:p>
    <w:p>
      <w:pPr>
        <w:sectPr>
          <w:pgSz w:w="11880" w:h="15480" w:orient="portrait"/>
          <w:cols w:equalWidth="0" w:num="1">
            <w:col w:w="10800"/>
          </w:cols>
          <w:pgMar w:left="540" w:top="746" w:right="540" w:bottom="0" w:gutter="0" w:footer="0" w:header="0"/>
          <w:type w:val="continuous"/>
        </w:sectPr>
      </w:pPr>
    </w:p>
    <w:bookmarkStart w:id="146" w:name="page147"/>
    <w:bookmarkEnd w:id="146"/>
    <w:p>
      <w:pPr>
        <w:spacing w:after="0"/>
        <w:tabs>
          <w:tab w:leader="none" w:pos="900" w:val="left"/>
        </w:tabs>
        <w:rPr>
          <w:sz w:val="20"/>
          <w:szCs w:val="20"/>
          <w:color w:val="auto"/>
        </w:rPr>
      </w:pPr>
      <w:r>
        <w:rPr>
          <w:rFonts w:ascii="Times New Roman" w:cs="Times New Roman" w:eastAsia="Times New Roman" w:hAnsi="Times New Roman"/>
          <w:sz w:val="16"/>
          <w:szCs w:val="16"/>
          <w:color w:val="4C4C4E"/>
        </w:rPr>
        <w:t>Exhibit No</w:t>
        <w:tab/>
        <w:t>Description of Exhibits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52133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335" cy="4763"/>
                        </a:xfrm>
                        <a:prstGeom prst="line">
                          <a:avLst/>
                        </a:prstGeom>
                        <a:solidFill>
                          <a:srgbClr val="FFFFFF"/>
                        </a:solidFill>
                        <a:ln w="6350">
                          <a:solidFill>
                            <a:srgbClr val="4C4C4E"/>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41.05pt,1pt" o:allowincell="f" strokecolor="#4C4C4E" strokeweight="0.5pt"/>
            </w:pict>
          </mc:Fallback>
        </mc:AlternateContent>
        <mc:AlternateContent>
          <mc:Choice Requires="wps">
            <w:drawing>
              <wp:anchor simplePos="0" relativeHeight="251657728" behindDoc="1" locked="0" layoutInCell="0" allowOverlap="1">
                <wp:simplePos x="0" y="0"/>
                <wp:positionH relativeFrom="column">
                  <wp:posOffset>589280</wp:posOffset>
                </wp:positionH>
                <wp:positionV relativeFrom="paragraph">
                  <wp:posOffset>12700</wp:posOffset>
                </wp:positionV>
                <wp:extent cx="626872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8720" cy="4763"/>
                        </a:xfrm>
                        <a:prstGeom prst="line">
                          <a:avLst/>
                        </a:prstGeom>
                        <a:solidFill>
                          <a:srgbClr val="FFFFFF"/>
                        </a:solidFill>
                        <a:ln w="6350">
                          <a:solidFill>
                            <a:srgbClr val="4C4C4E"/>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pt,1pt" to="540pt,1pt" o:allowincell="f" strokecolor="#4C4C4E" strokeweight="0.5pt"/>
            </w:pict>
          </mc:Fallback>
        </mc:AlternateContent>
      </w:r>
    </w:p>
    <w:p>
      <w:pPr>
        <w:spacing w:after="0" w:line="124" w:lineRule="exact"/>
        <w:rPr>
          <w:sz w:val="20"/>
          <w:szCs w:val="20"/>
          <w:color w:val="auto"/>
        </w:rPr>
      </w:pPr>
    </w:p>
    <w:p>
      <w:pPr>
        <w:ind w:left="920" w:right="40" w:hanging="928"/>
        <w:spacing w:after="0" w:line="277" w:lineRule="auto"/>
        <w:tabs>
          <w:tab w:leader="none" w:pos="900" w:val="left"/>
        </w:tabs>
        <w:rPr>
          <w:sz w:val="20"/>
          <w:szCs w:val="20"/>
          <w:color w:val="auto"/>
        </w:rPr>
      </w:pPr>
      <w:r>
        <w:rPr>
          <w:rFonts w:ascii="Times New Roman" w:cs="Times New Roman" w:eastAsia="Times New Roman" w:hAnsi="Times New Roman"/>
          <w:sz w:val="20"/>
          <w:szCs w:val="20"/>
          <w:color w:val="4C4C4E"/>
        </w:rPr>
        <w:t>10.1</w:t>
      </w:r>
      <w:r>
        <w:rPr>
          <w:sz w:val="20"/>
          <w:szCs w:val="20"/>
          <w:color w:val="auto"/>
        </w:rPr>
        <w:tab/>
      </w:r>
      <w:r>
        <w:rPr>
          <w:rFonts w:ascii="Times New Roman" w:cs="Times New Roman" w:eastAsia="Times New Roman" w:hAnsi="Times New Roman"/>
          <w:sz w:val="20"/>
          <w:szCs w:val="20"/>
          <w:color w:val="4C4C4E"/>
        </w:rPr>
        <w:t>Form of Indemnification Agreement between the Company and certain officers and directors (incorporated by reference to Exhibit 10.3 to Amendment No. 1 to the Company’s Registration Statement on Form 10 filed on March 14, 2011).</w:t>
      </w:r>
    </w:p>
    <w:p>
      <w:pPr>
        <w:spacing w:after="0" w:line="67" w:lineRule="exact"/>
        <w:rPr>
          <w:sz w:val="20"/>
          <w:szCs w:val="20"/>
          <w:color w:val="auto"/>
        </w:rPr>
      </w:pPr>
    </w:p>
    <w:p>
      <w:pPr>
        <w:ind w:left="920" w:right="100" w:hanging="928"/>
        <w:spacing w:after="0" w:line="258" w:lineRule="auto"/>
        <w:tabs>
          <w:tab w:leader="none" w:pos="900" w:val="left"/>
        </w:tabs>
        <w:rPr>
          <w:sz w:val="20"/>
          <w:szCs w:val="20"/>
          <w:color w:val="auto"/>
        </w:rPr>
      </w:pPr>
      <w:r>
        <w:rPr>
          <w:rFonts w:ascii="Times New Roman" w:cs="Times New Roman" w:eastAsia="Times New Roman" w:hAnsi="Times New Roman"/>
          <w:sz w:val="20"/>
          <w:szCs w:val="20"/>
          <w:color w:val="4C4C4E"/>
        </w:rPr>
        <w:t>10.2</w:t>
      </w:r>
      <w:r>
        <w:rPr>
          <w:sz w:val="20"/>
          <w:szCs w:val="20"/>
          <w:color w:val="auto"/>
        </w:rPr>
        <w:tab/>
      </w:r>
      <w:r>
        <w:rPr>
          <w:rFonts w:ascii="Times New Roman" w:cs="Times New Roman" w:eastAsia="Times New Roman" w:hAnsi="Times New Roman"/>
          <w:sz w:val="20"/>
          <w:szCs w:val="20"/>
          <w:color w:val="4C4C4E"/>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86" w:lineRule="exact"/>
        <w:rPr>
          <w:sz w:val="20"/>
          <w:szCs w:val="20"/>
          <w:color w:val="auto"/>
        </w:rPr>
      </w:pPr>
    </w:p>
    <w:p>
      <w:pPr>
        <w:ind w:left="920" w:right="420" w:hanging="928"/>
        <w:spacing w:after="0" w:line="277" w:lineRule="auto"/>
        <w:tabs>
          <w:tab w:leader="none" w:pos="900" w:val="left"/>
        </w:tabs>
        <w:rPr>
          <w:sz w:val="20"/>
          <w:szCs w:val="20"/>
          <w:color w:val="auto"/>
        </w:rPr>
      </w:pPr>
      <w:r>
        <w:rPr>
          <w:rFonts w:ascii="Times New Roman" w:cs="Times New Roman" w:eastAsia="Times New Roman" w:hAnsi="Times New Roman"/>
          <w:sz w:val="20"/>
          <w:szCs w:val="20"/>
          <w:color w:val="4C4C4E"/>
        </w:rPr>
        <w:t>10.3</w:t>
      </w:r>
      <w:r>
        <w:rPr>
          <w:sz w:val="20"/>
          <w:szCs w:val="20"/>
          <w:color w:val="auto"/>
        </w:rPr>
        <w:tab/>
      </w:r>
      <w:r>
        <w:rPr>
          <w:rFonts w:ascii="Times New Roman" w:cs="Times New Roman" w:eastAsia="Times New Roman" w:hAnsi="Times New Roman"/>
          <w:sz w:val="20"/>
          <w:szCs w:val="20"/>
          <w:color w:val="4C4C4E"/>
        </w:rPr>
        <w:t>Custodian Agreement dated November 29, 2012 (incorporated by reference to Exhibit 10.1 to the Company’s Current Report on Form 8-K filed on December 4, 2012).</w:t>
      </w:r>
    </w:p>
    <w:p>
      <w:pPr>
        <w:spacing w:after="0" w:line="67" w:lineRule="exact"/>
        <w:rPr>
          <w:sz w:val="20"/>
          <w:szCs w:val="20"/>
          <w:color w:val="auto"/>
        </w:rPr>
      </w:pPr>
    </w:p>
    <w:p>
      <w:pPr>
        <w:ind w:left="920" w:right="2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10.4</w:t>
      </w:r>
      <w:r>
        <w:rPr>
          <w:sz w:val="20"/>
          <w:szCs w:val="20"/>
          <w:color w:val="auto"/>
        </w:rPr>
        <w:tab/>
      </w:r>
      <w:r>
        <w:rPr>
          <w:rFonts w:ascii="Times New Roman" w:cs="Times New Roman" w:eastAsia="Times New Roman" w:hAnsi="Times New Roman"/>
          <w:sz w:val="20"/>
          <w:szCs w:val="20"/>
          <w:color w:val="4C4C4E"/>
        </w:rPr>
        <w:t>Second Amended and Restated Senior Secured Credit Agreement, dated February 27, 2014, among TPG Specialty Lending, Inc., as Borrower, the Lenders Party Hereto and Truist Bank (as successor by merger to SunTrust Bank), as Administrative Agent, and JPMorgan Chase Bank, N.A., as Syndication Agent (incorporated by reference to Exhibit 10.20 to the Company’s Annual Report on Form 10-K filed on March 4, 2014).</w:t>
      </w:r>
    </w:p>
    <w:p>
      <w:pPr>
        <w:spacing w:after="0" w:line="92" w:lineRule="exact"/>
        <w:rPr>
          <w:sz w:val="20"/>
          <w:szCs w:val="20"/>
          <w:color w:val="auto"/>
        </w:rPr>
      </w:pPr>
    </w:p>
    <w:p>
      <w:pPr>
        <w:ind w:left="920" w:right="380" w:hanging="928"/>
        <w:spacing w:after="0" w:line="277" w:lineRule="auto"/>
        <w:tabs>
          <w:tab w:leader="none" w:pos="900" w:val="left"/>
        </w:tabs>
        <w:rPr>
          <w:sz w:val="20"/>
          <w:szCs w:val="20"/>
          <w:color w:val="auto"/>
        </w:rPr>
      </w:pPr>
      <w:r>
        <w:rPr>
          <w:rFonts w:ascii="Times New Roman" w:cs="Times New Roman" w:eastAsia="Times New Roman" w:hAnsi="Times New Roman"/>
          <w:sz w:val="20"/>
          <w:szCs w:val="20"/>
          <w:color w:val="4C4C4E"/>
        </w:rPr>
        <w:t>10.5</w:t>
      </w:r>
      <w:r>
        <w:rPr>
          <w:sz w:val="20"/>
          <w:szCs w:val="20"/>
          <w:color w:val="auto"/>
        </w:rPr>
        <w:tab/>
      </w:r>
      <w:r>
        <w:rPr>
          <w:rFonts w:ascii="Times New Roman" w:cs="Times New Roman" w:eastAsia="Times New Roman" w:hAnsi="Times New Roman"/>
          <w:sz w:val="20"/>
          <w:szCs w:val="20"/>
          <w:color w:val="4C4C4E"/>
        </w:rPr>
        <w:t>Dividend Reinvestment Plan of TPG Specialty Lending, Inc. (incorporated by reference to Exhibit (e) to Pre-Effective Amendment No. 4 to the Company’s Registration Statement on Form N-2 filed on March 17, 2014).</w:t>
      </w:r>
    </w:p>
    <w:p>
      <w:pPr>
        <w:spacing w:after="0" w:line="67" w:lineRule="exact"/>
        <w:rPr>
          <w:sz w:val="20"/>
          <w:szCs w:val="20"/>
          <w:color w:val="auto"/>
        </w:rPr>
      </w:pPr>
    </w:p>
    <w:p>
      <w:pPr>
        <w:ind w:left="92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10.6</w:t>
      </w:r>
      <w:r>
        <w:rPr>
          <w:sz w:val="20"/>
          <w:szCs w:val="20"/>
          <w:color w:val="auto"/>
        </w:rPr>
        <w:tab/>
      </w:r>
      <w:r>
        <w:rPr>
          <w:rFonts w:ascii="Times New Roman" w:cs="Times New Roman" w:eastAsia="Times New Roman" w:hAnsi="Times New Roman"/>
          <w:sz w:val="20"/>
          <w:szCs w:val="20"/>
          <w:color w:val="4C4C4E"/>
        </w:rPr>
        <w:t>Form of Increase Letter pursuant to the Second Amended and Restated Senior Secured Credit Agreement, dated February 27, 2014, among TPG Specialty Lending, Inc., as Borrower, the Lenders Party Hereto and Truist Bank (as successor by merger to SunTrust Bank), as Administrative Agent, and JPMorgan Chase Bank, N.A., as Syndication Agent (incorporated by reference to Exhibit 10.3 to the Company’s Quarterly Annual Report on Form 10-Q filed on August 4, 2014).</w:t>
      </w:r>
    </w:p>
    <w:p>
      <w:pPr>
        <w:spacing w:after="0" w:line="92" w:lineRule="exact"/>
        <w:rPr>
          <w:sz w:val="20"/>
          <w:szCs w:val="20"/>
          <w:color w:val="auto"/>
        </w:rPr>
      </w:pPr>
    </w:p>
    <w:p>
      <w:pPr>
        <w:ind w:left="920" w:right="26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10.7</w:t>
      </w:r>
      <w:r>
        <w:rPr>
          <w:sz w:val="20"/>
          <w:szCs w:val="20"/>
          <w:color w:val="auto"/>
        </w:rPr>
        <w:tab/>
      </w:r>
      <w:r>
        <w:rPr>
          <w:rFonts w:ascii="Times New Roman" w:cs="Times New Roman" w:eastAsia="Times New Roman" w:hAnsi="Times New Roman"/>
          <w:sz w:val="20"/>
          <w:szCs w:val="20"/>
          <w:color w:val="4C4C4E"/>
        </w:rPr>
        <w:t>First Amendment to Second Amended and Restated Senior Secured Revolving Credit Agreement, dated June 3, 2014, among TPG Specialty Lending, Inc., as Borrower, the Lenders party thereto and Truist Bank (as successor by merger to SunTrust Bank), as Administrative Agent and Collateral Agent (incorporated by reference to Exhibit 10.4 to the Company’s Quarterly Report on Form 10-Q filed on August 4, 2014).</w:t>
      </w:r>
    </w:p>
    <w:p>
      <w:pPr>
        <w:spacing w:after="0" w:line="92" w:lineRule="exact"/>
        <w:rPr>
          <w:sz w:val="20"/>
          <w:szCs w:val="20"/>
          <w:color w:val="auto"/>
        </w:rPr>
      </w:pPr>
    </w:p>
    <w:p>
      <w:pPr>
        <w:ind w:left="920" w:right="2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10.8</w:t>
      </w:r>
      <w:r>
        <w:rPr>
          <w:sz w:val="20"/>
          <w:szCs w:val="20"/>
          <w:color w:val="auto"/>
        </w:rPr>
        <w:tab/>
      </w:r>
      <w:r>
        <w:rPr>
          <w:rFonts w:ascii="Times New Roman" w:cs="Times New Roman" w:eastAsia="Times New Roman" w:hAnsi="Times New Roman"/>
          <w:sz w:val="20"/>
          <w:szCs w:val="20"/>
          <w:color w:val="4C4C4E"/>
        </w:rPr>
        <w:t>Second Amendment to Second Amended and Restated Senior Secured Revolving Credit Agreement, dated June 27, 2014, among TPG Specialty Lending, Inc., as Borrower, Morgan Stanley Bank, N.A., as a Lender, and Truist Bank (as successor by merger to SunTrust Bank), as Administrative Agent (incorporated by reference to Exhibit 10.5 to the Company’s Quarterly Report on Form 10-Q filed on August 4, 2014).</w:t>
      </w:r>
    </w:p>
    <w:p>
      <w:pPr>
        <w:spacing w:after="0" w:line="92" w:lineRule="exact"/>
        <w:rPr>
          <w:sz w:val="20"/>
          <w:szCs w:val="20"/>
          <w:color w:val="auto"/>
        </w:rPr>
      </w:pPr>
    </w:p>
    <w:p>
      <w:pPr>
        <w:ind w:left="92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10.9</w:t>
      </w:r>
      <w:r>
        <w:rPr>
          <w:sz w:val="20"/>
          <w:szCs w:val="20"/>
          <w:color w:val="auto"/>
        </w:rPr>
        <w:tab/>
      </w:r>
      <w:r>
        <w:rPr>
          <w:rFonts w:ascii="Times New Roman" w:cs="Times New Roman" w:eastAsia="Times New Roman" w:hAnsi="Times New Roman"/>
          <w:sz w:val="20"/>
          <w:szCs w:val="20"/>
          <w:color w:val="4C4C4E"/>
        </w:rPr>
        <w:t>Third Amendment to Second Amended and Restated Senior Secured Revolving Credit Agreement, dated October 17, 2014, among TPG Specialty Lending, Inc., as Borrower, the Lenders party thereto and Truist Bank (as successor by merger to SunTrust Bank), as Administrative Agent (incorporated by reference to Exhibit 10.1 to the Company’s Quarterly Report on Form 10-Q filed on November 3, 2014).</w:t>
      </w:r>
    </w:p>
    <w:p>
      <w:pPr>
        <w:spacing w:after="0" w:line="92" w:lineRule="exact"/>
        <w:rPr>
          <w:sz w:val="20"/>
          <w:szCs w:val="20"/>
          <w:color w:val="auto"/>
        </w:rPr>
      </w:pPr>
    </w:p>
    <w:p>
      <w:pPr>
        <w:ind w:left="92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10.10</w:t>
      </w:r>
      <w:r>
        <w:rPr>
          <w:sz w:val="20"/>
          <w:szCs w:val="20"/>
          <w:color w:val="auto"/>
        </w:rPr>
        <w:tab/>
      </w:r>
      <w:r>
        <w:rPr>
          <w:rFonts w:ascii="Times New Roman" w:cs="Times New Roman" w:eastAsia="Times New Roman" w:hAnsi="Times New Roman"/>
          <w:sz w:val="20"/>
          <w:szCs w:val="20"/>
          <w:color w:val="4C4C4E"/>
        </w:rPr>
        <w:t>Second Amended and Restated Credit and Security Agreement, dated as of March 27, 2015, among TPG SL SPV, LLC, as Borrower, the Lenders from time to time parties thereto, Natixis, New York Branch, as Facility Agent and State Street Bank and Trust Company, as Collateral Agent (incorporated by reference to Exhibit 10.1 to the Company’s Current Report on Form 8-K filed on March 30, 2015).</w:t>
      </w:r>
    </w:p>
    <w:p>
      <w:pPr>
        <w:spacing w:after="0" w:line="92" w:lineRule="exact"/>
        <w:rPr>
          <w:sz w:val="20"/>
          <w:szCs w:val="20"/>
          <w:color w:val="auto"/>
        </w:rPr>
      </w:pPr>
    </w:p>
    <w:p>
      <w:pPr>
        <w:ind w:left="92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10.11</w:t>
      </w:r>
      <w:r>
        <w:rPr>
          <w:sz w:val="20"/>
          <w:szCs w:val="20"/>
          <w:color w:val="auto"/>
        </w:rPr>
        <w:tab/>
      </w:r>
      <w:r>
        <w:rPr>
          <w:rFonts w:ascii="Times New Roman" w:cs="Times New Roman" w:eastAsia="Times New Roman" w:hAnsi="Times New Roman"/>
          <w:sz w:val="20"/>
          <w:szCs w:val="20"/>
          <w:color w:val="4C4C4E"/>
        </w:rPr>
        <w:t>Fourth Amendment to Second Amended and Restated Senior Secured Revolving Credit Agreement, dated October 2, 2015, among TPG Specialty Lending, Inc., as Borrower, the Lenders party thereto and Truist Bank (as successor by merger to SunTrust Bank), as Administrative Agent (incorporated by reference to Exhibit 10.1 to the Company’s Quarterly Report on Form 10-Q filed on November 3, 2015).</w:t>
      </w:r>
    </w:p>
    <w:p>
      <w:pPr>
        <w:spacing w:after="0" w:line="92" w:lineRule="exact"/>
        <w:rPr>
          <w:sz w:val="20"/>
          <w:szCs w:val="20"/>
          <w:color w:val="auto"/>
        </w:rPr>
      </w:pPr>
    </w:p>
    <w:p>
      <w:pPr>
        <w:ind w:left="920" w:right="8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10.12</w:t>
      </w:r>
      <w:r>
        <w:rPr>
          <w:sz w:val="20"/>
          <w:szCs w:val="20"/>
          <w:color w:val="auto"/>
        </w:rPr>
        <w:tab/>
      </w:r>
      <w:r>
        <w:rPr>
          <w:rFonts w:ascii="Times New Roman" w:cs="Times New Roman" w:eastAsia="Times New Roman" w:hAnsi="Times New Roman"/>
          <w:sz w:val="20"/>
          <w:szCs w:val="20"/>
          <w:color w:val="4C4C4E"/>
        </w:rPr>
        <w:t>Fifth Amendment to Second Amended and Restated Senior Secured Revolving Credit Agreement, dated December 22, 2016, among TPG Specialty Lending, Inc., as Borrower, the Lenders party thereto and Truist Bank (as successor by merger to SunTrust Bank), as Administrative Agent (incorporated by reference to Exhibit 10.15 to the Company’s Annual Report on Form 10-K filed on February 22, 2017).</w:t>
      </w:r>
    </w:p>
    <w:p>
      <w:pPr>
        <w:spacing w:after="0" w:line="92" w:lineRule="exact"/>
        <w:rPr>
          <w:sz w:val="20"/>
          <w:szCs w:val="20"/>
          <w:color w:val="auto"/>
        </w:rPr>
      </w:pPr>
    </w:p>
    <w:p>
      <w:pPr>
        <w:jc w:val="right"/>
        <w:ind w:right="160"/>
        <w:spacing w:after="0" w:line="277" w:lineRule="auto"/>
        <w:rPr>
          <w:sz w:val="20"/>
          <w:szCs w:val="20"/>
          <w:color w:val="auto"/>
        </w:rPr>
      </w:pPr>
      <w:r>
        <w:rPr>
          <w:rFonts w:ascii="Times New Roman" w:cs="Times New Roman" w:eastAsia="Times New Roman" w:hAnsi="Times New Roman"/>
          <w:sz w:val="20"/>
          <w:szCs w:val="20"/>
          <w:color w:val="4C4C4E"/>
        </w:rPr>
        <w:t>10.13     Amended and Restated Administration Agreement, dated as of February 22, 2017 between the Company and the Adviser (incorporated by reference to Exhibit 10.16 to the Company’s Annual Report on Form 10-K filed on February 22, 2017).</w:t>
      </w:r>
    </w:p>
    <w:p>
      <w:pPr>
        <w:spacing w:after="0" w:line="67" w:lineRule="exact"/>
        <w:rPr>
          <w:sz w:val="20"/>
          <w:szCs w:val="20"/>
          <w:color w:val="auto"/>
        </w:rPr>
      </w:pPr>
    </w:p>
    <w:p>
      <w:pPr>
        <w:ind w:left="920" w:right="8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10.14</w:t>
      </w:r>
      <w:r>
        <w:rPr>
          <w:sz w:val="20"/>
          <w:szCs w:val="20"/>
          <w:color w:val="auto"/>
        </w:rPr>
        <w:tab/>
      </w:r>
      <w:r>
        <w:rPr>
          <w:rFonts w:ascii="Times New Roman" w:cs="Times New Roman" w:eastAsia="Times New Roman" w:hAnsi="Times New Roman"/>
          <w:sz w:val="20"/>
          <w:szCs w:val="20"/>
          <w:color w:val="4C4C4E"/>
        </w:rPr>
        <w:t>Sixth Amendment to Second Amended and Restated Senior Secured Revolving Credit Agreement, dated February 20, 2018, among TPG Specialty Lending, Inc., as Borrower, the Lenders party thereto and Truist Bank (as successor by merger to SunTrust Bank), as Administrative Agent (incorporated by reference to Exhibit 10.16 to the Company’s Annual Report on Form 10-K filed on February 21, 2018).</w:t>
      </w:r>
    </w:p>
    <w:p>
      <w:pPr>
        <w:sectPr>
          <w:pgSz w:w="11880" w:h="15480" w:orient="portrait"/>
          <w:cols w:equalWidth="0" w:num="1">
            <w:col w:w="10780"/>
          </w:cols>
          <w:pgMar w:left="540" w:top="75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C4C4E"/>
        </w:rPr>
        <w:t>92</w:t>
      </w:r>
    </w:p>
    <w:p>
      <w:pPr>
        <w:sectPr>
          <w:pgSz w:w="11880" w:h="15480" w:orient="portrait"/>
          <w:cols w:equalWidth="0" w:num="1">
            <w:col w:w="10780"/>
          </w:cols>
          <w:pgMar w:left="540" w:top="754" w:right="560" w:bottom="0" w:gutter="0" w:footer="0" w:header="0"/>
          <w:type w:val="continuous"/>
        </w:sectPr>
      </w:pPr>
    </w:p>
    <w:bookmarkStart w:id="147" w:name="page148"/>
    <w:bookmarkEnd w:id="147"/>
    <w:p>
      <w:pPr>
        <w:spacing w:after="0"/>
        <w:tabs>
          <w:tab w:leader="none" w:pos="900" w:val="left"/>
        </w:tabs>
        <w:rPr>
          <w:sz w:val="20"/>
          <w:szCs w:val="20"/>
          <w:color w:val="auto"/>
        </w:rPr>
      </w:pPr>
      <w:r>
        <w:rPr>
          <w:rFonts w:ascii="Times New Roman" w:cs="Times New Roman" w:eastAsia="Times New Roman" w:hAnsi="Times New Roman"/>
          <w:sz w:val="16"/>
          <w:szCs w:val="16"/>
          <w:color w:val="4C4C4E"/>
        </w:rPr>
        <w:t>Exhibit No</w:t>
        <w:tab/>
        <w:t>Description of Exhibits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52133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335" cy="4763"/>
                        </a:xfrm>
                        <a:prstGeom prst="line">
                          <a:avLst/>
                        </a:prstGeom>
                        <a:solidFill>
                          <a:srgbClr val="FFFFFF"/>
                        </a:solidFill>
                        <a:ln w="6350">
                          <a:solidFill>
                            <a:srgbClr val="4C4C4E"/>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41.05pt,1pt" o:allowincell="f" strokecolor="#4C4C4E" strokeweight="0.5pt"/>
            </w:pict>
          </mc:Fallback>
        </mc:AlternateContent>
        <mc:AlternateContent>
          <mc:Choice Requires="wps">
            <w:drawing>
              <wp:anchor simplePos="0" relativeHeight="251657728" behindDoc="1" locked="0" layoutInCell="0" allowOverlap="1">
                <wp:simplePos x="0" y="0"/>
                <wp:positionH relativeFrom="column">
                  <wp:posOffset>589280</wp:posOffset>
                </wp:positionH>
                <wp:positionV relativeFrom="paragraph">
                  <wp:posOffset>12700</wp:posOffset>
                </wp:positionV>
                <wp:extent cx="626872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8720" cy="4763"/>
                        </a:xfrm>
                        <a:prstGeom prst="line">
                          <a:avLst/>
                        </a:prstGeom>
                        <a:solidFill>
                          <a:srgbClr val="FFFFFF"/>
                        </a:solidFill>
                        <a:ln w="6350">
                          <a:solidFill>
                            <a:srgbClr val="4C4C4E"/>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pt,1pt" to="540pt,1pt" o:allowincell="f" strokecolor="#4C4C4E" strokeweight="0.5pt"/>
            </w:pict>
          </mc:Fallback>
        </mc:AlternateContent>
      </w:r>
    </w:p>
    <w:p>
      <w:pPr>
        <w:spacing w:after="0" w:line="124" w:lineRule="exact"/>
        <w:rPr>
          <w:sz w:val="20"/>
          <w:szCs w:val="20"/>
          <w:color w:val="auto"/>
        </w:rPr>
      </w:pPr>
    </w:p>
    <w:p>
      <w:pPr>
        <w:ind w:left="920" w:right="58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10.15</w:t>
      </w:r>
      <w:r>
        <w:rPr>
          <w:sz w:val="20"/>
          <w:szCs w:val="20"/>
          <w:color w:val="auto"/>
        </w:rPr>
        <w:tab/>
      </w:r>
      <w:r>
        <w:rPr>
          <w:rFonts w:ascii="Times New Roman" w:cs="Times New Roman" w:eastAsia="Times New Roman" w:hAnsi="Times New Roman"/>
          <w:sz w:val="20"/>
          <w:szCs w:val="20"/>
          <w:color w:val="4C4C4E"/>
        </w:rPr>
        <w:t>Seventh Amendment to Second Amended and Restated Senior Secured Revolving Credit Agreement, dated as of November 5, 2018, among TPG Specialty Lending, Inc., as Borrower, the Lenders party thereto and Truist Bank (as successor by merger to SunTrust Bank), as Administrative Agent (incorporated by reference to Exhibit 10.1 to the Company’s Quarterly Report on Form 10-Q filed on November 6, 2018).</w:t>
      </w:r>
    </w:p>
    <w:p>
      <w:pPr>
        <w:spacing w:after="0" w:line="92" w:lineRule="exact"/>
        <w:rPr>
          <w:sz w:val="20"/>
          <w:szCs w:val="20"/>
          <w:color w:val="auto"/>
        </w:rPr>
      </w:pPr>
    </w:p>
    <w:p>
      <w:pPr>
        <w:ind w:left="920" w:right="4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10.16</w:t>
      </w:r>
      <w:r>
        <w:rPr>
          <w:sz w:val="20"/>
          <w:szCs w:val="20"/>
          <w:color w:val="auto"/>
        </w:rPr>
        <w:tab/>
      </w:r>
      <w:r>
        <w:rPr>
          <w:rFonts w:ascii="Times New Roman" w:cs="Times New Roman" w:eastAsia="Times New Roman" w:hAnsi="Times New Roman"/>
          <w:sz w:val="20"/>
          <w:szCs w:val="20"/>
          <w:color w:val="4C4C4E"/>
        </w:rPr>
        <w:t>Eighth Amendment to Second Amended and Restated Senior Secured Revolving Credit Agreement, dated as of February 14, 2019, among TPG Specialty Lending, Inc., as Borrower, the Lenders party thereto and Truist Bank (as successor by merger to SunTrust Bank), as Administrative Agent. (incorporated by reference to Exhibit 10.16 to the Company’s Annual Report on Form 10-K filed on February 20, 2019).</w:t>
      </w:r>
    </w:p>
    <w:p>
      <w:pPr>
        <w:spacing w:after="0" w:line="92" w:lineRule="exact"/>
        <w:rPr>
          <w:sz w:val="20"/>
          <w:szCs w:val="20"/>
          <w:color w:val="auto"/>
        </w:rPr>
      </w:pPr>
    </w:p>
    <w:p>
      <w:pPr>
        <w:ind w:left="920" w:right="4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10.17</w:t>
      </w:r>
      <w:r>
        <w:rPr>
          <w:sz w:val="20"/>
          <w:szCs w:val="20"/>
          <w:color w:val="auto"/>
        </w:rPr>
        <w:tab/>
      </w:r>
      <w:r>
        <w:rPr>
          <w:rFonts w:ascii="Times New Roman" w:cs="Times New Roman" w:eastAsia="Times New Roman" w:hAnsi="Times New Roman"/>
          <w:sz w:val="20"/>
          <w:szCs w:val="20"/>
          <w:color w:val="4C4C4E"/>
        </w:rPr>
        <w:t>Ninth Amendment to Second Amended and Restated Senior Secured Revolving Credit Agreement, dated as of January 31, 2020, among TPG Specialty Lending, Inc., as Borrower, the Lenders party thereto and Truist Bank (as successor by merger to SunTrust Bank), as Administrative Agent. (incorporated by reference to Exhibit 10.17 to the Company’s Annual Report on Form 10-K filed on February 19, 2020).</w:t>
      </w:r>
    </w:p>
    <w:p>
      <w:pPr>
        <w:spacing w:after="0" w:line="92" w:lineRule="exact"/>
        <w:rPr>
          <w:sz w:val="20"/>
          <w:szCs w:val="20"/>
          <w:color w:val="auto"/>
        </w:rPr>
      </w:pPr>
    </w:p>
    <w:p>
      <w:pPr>
        <w:jc w:val="both"/>
        <w:ind w:left="920" w:right="4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10.18</w:t>
      </w:r>
      <w:r>
        <w:rPr>
          <w:sz w:val="20"/>
          <w:szCs w:val="20"/>
          <w:color w:val="auto"/>
        </w:rPr>
        <w:tab/>
      </w:r>
      <w:r>
        <w:rPr>
          <w:rFonts w:ascii="Times New Roman" w:cs="Times New Roman" w:eastAsia="Times New Roman" w:hAnsi="Times New Roman"/>
          <w:sz w:val="20"/>
          <w:szCs w:val="20"/>
          <w:color w:val="4C4C4E"/>
        </w:rPr>
        <w:t>Tenth Amendment to Second Amended and Restated Senior Secured Revolving Credit Agreement, dated as of February 5, 2021, among Sixth Street Specialty Lending, Inc., as Borrower, the Lenders party thereto and Truist Bank (as successor by merger to SunTrust Bank), as Administrative Agent (incorporated by reference to Exhibit 10.18 to the Company’s Annual Report on Form 10-K filed on February 17, 2021).</w:t>
      </w:r>
    </w:p>
    <w:p>
      <w:pPr>
        <w:spacing w:after="0" w:line="184" w:lineRule="exact"/>
        <w:rPr>
          <w:sz w:val="20"/>
          <w:szCs w:val="20"/>
          <w:color w:val="auto"/>
        </w:rPr>
      </w:pPr>
    </w:p>
    <w:p>
      <w:pPr>
        <w:ind w:left="920" w:right="22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10.19</w:t>
      </w:r>
      <w:r>
        <w:rPr>
          <w:sz w:val="20"/>
          <w:szCs w:val="20"/>
          <w:color w:val="auto"/>
        </w:rPr>
        <w:tab/>
      </w:r>
      <w:r>
        <w:rPr>
          <w:rFonts w:ascii="Times New Roman" w:cs="Times New Roman" w:eastAsia="Times New Roman" w:hAnsi="Times New Roman"/>
          <w:sz w:val="20"/>
          <w:szCs w:val="20"/>
          <w:color w:val="4C4C4E"/>
        </w:rPr>
        <w:t>Eleventh Amendment to Second Amended and Restated Senior Secured Revolving Credit Agreement, dated as of December 21, 2021, among Sixth Street Specialty Lending, Inc., as Borrower, the Lenders party thereto and Truist Bank (as successor by merger to SunTrust Bank), as Administrative Agent (incorporated by reference to Exhibit 10.19 to the Company’s Annual Report on Form 10-K filed on February 17, 2022).</w:t>
      </w:r>
    </w:p>
    <w:p>
      <w:pPr>
        <w:spacing w:after="0" w:line="184" w:lineRule="exact"/>
        <w:rPr>
          <w:sz w:val="20"/>
          <w:szCs w:val="20"/>
          <w:color w:val="auto"/>
        </w:rPr>
      </w:pPr>
    </w:p>
    <w:p>
      <w:pPr>
        <w:jc w:val="both"/>
        <w:ind w:left="920" w:right="2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10.20</w:t>
      </w:r>
      <w:r>
        <w:rPr>
          <w:sz w:val="20"/>
          <w:szCs w:val="20"/>
          <w:color w:val="auto"/>
        </w:rPr>
        <w:tab/>
      </w:r>
      <w:r>
        <w:rPr>
          <w:rFonts w:ascii="Times New Roman" w:cs="Times New Roman" w:eastAsia="Times New Roman" w:hAnsi="Times New Roman"/>
          <w:sz w:val="20"/>
          <w:szCs w:val="20"/>
          <w:color w:val="4C4C4E"/>
        </w:rPr>
        <w:t>Twelfth Amendment to Second Amended and Restated Senior Secured Revolving Credit Agreement, dated as of April 25, 2022, among Sixth Street Specialty Lending, Inc., as Borrower, the Lenders party thereto and Truist Bank (as successor by merger to SunTrust Bank), as Administrative Agent (incorporated by reference to Exhibit 10.1 to the Company’s Quarterly Report on Form 10-Q filed on May 5, 2022).</w:t>
      </w:r>
    </w:p>
    <w:p>
      <w:pPr>
        <w:spacing w:after="0" w:line="184" w:lineRule="exact"/>
        <w:rPr>
          <w:sz w:val="20"/>
          <w:szCs w:val="20"/>
          <w:color w:val="auto"/>
        </w:rPr>
      </w:pPr>
    </w:p>
    <w:p>
      <w:pPr>
        <w:ind w:left="920" w:right="22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10.21</w:t>
      </w:r>
      <w:r>
        <w:rPr>
          <w:sz w:val="20"/>
          <w:szCs w:val="20"/>
          <w:color w:val="auto"/>
        </w:rPr>
        <w:tab/>
      </w:r>
      <w:r>
        <w:rPr>
          <w:rFonts w:ascii="Times New Roman" w:cs="Times New Roman" w:eastAsia="Times New Roman" w:hAnsi="Times New Roman"/>
          <w:sz w:val="20"/>
          <w:szCs w:val="20"/>
          <w:color w:val="4C4C4E"/>
        </w:rPr>
        <w:t>Thirteenth Amendment to Second Amended and Restated Senior Secured Revolving Credit Agreement, dated as of May 19, 2022, among Sixth Street Specialty Lending, Inc., as Borrower, the Lenders party thereto and Truist Bank (as successor by merger to SunTrust Bank), as Administrative Agent (incorporated by reference to Exhibit 10.2 to the Company’s Quarterly Report on Form 10-Q filed on August 2, 2022).</w:t>
      </w:r>
    </w:p>
    <w:p>
      <w:pPr>
        <w:spacing w:after="0" w:line="184" w:lineRule="exact"/>
        <w:rPr>
          <w:sz w:val="20"/>
          <w:szCs w:val="20"/>
          <w:color w:val="auto"/>
        </w:rPr>
      </w:pPr>
    </w:p>
    <w:p>
      <w:pPr>
        <w:ind w:left="920" w:right="20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10.22</w:t>
      </w:r>
      <w:r>
        <w:rPr>
          <w:sz w:val="20"/>
          <w:szCs w:val="20"/>
          <w:color w:val="auto"/>
        </w:rPr>
        <w:tab/>
      </w:r>
      <w:r>
        <w:rPr>
          <w:rFonts w:ascii="Times New Roman" w:cs="Times New Roman" w:eastAsia="Times New Roman" w:hAnsi="Times New Roman"/>
          <w:sz w:val="20"/>
          <w:szCs w:val="20"/>
          <w:color w:val="4C4C4E"/>
        </w:rPr>
        <w:t>Fourteenth Amendment to Second Amended and Restated Senior Secured Revolving Credit Agreement, dated as of June 12, 2023, among Sixth Street Specialty Lending, Inc., as Borrower, the Lenders party thereto and Truist Bank (as successor by merger to SunTrust Bank), as Administrative Agent (incorporated by reference to Exhibit 10.1 to the Company’s Quarterly Report on Form 10-Q filed on August 3, 2023).</w:t>
      </w:r>
    </w:p>
    <w:p>
      <w:pPr>
        <w:spacing w:after="0" w:line="184" w:lineRule="exact"/>
        <w:rPr>
          <w:sz w:val="20"/>
          <w:szCs w:val="20"/>
          <w:color w:val="auto"/>
        </w:rPr>
      </w:pPr>
    </w:p>
    <w:p>
      <w:pPr>
        <w:ind w:left="920" w:right="28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10.23</w:t>
      </w:r>
      <w:r>
        <w:rPr>
          <w:sz w:val="20"/>
          <w:szCs w:val="20"/>
          <w:color w:val="auto"/>
        </w:rPr>
        <w:tab/>
      </w:r>
      <w:r>
        <w:rPr>
          <w:rFonts w:ascii="Times New Roman" w:cs="Times New Roman" w:eastAsia="Times New Roman" w:hAnsi="Times New Roman"/>
          <w:sz w:val="20"/>
          <w:szCs w:val="20"/>
          <w:color w:val="4C4C4E"/>
        </w:rPr>
        <w:t>Fifteenth Amendment to Second Amended and Restated Senior Secured Revolving Credit Agreement, dated as of April 24, 2024, among Sixth Street Specialty Lending, Inc., as Borrower, the Lenders party thereto and Truist Bank (as successor by merger to SunTrust Bank), as Administrative Agent (incorporated by reference to Exhibit 10.1 to the Company’s Quarterly Report on Form 10-Q filed on July 31, 2024).</w:t>
      </w:r>
    </w:p>
    <w:p>
      <w:pPr>
        <w:spacing w:after="0" w:line="184" w:lineRule="exact"/>
        <w:rPr>
          <w:sz w:val="20"/>
          <w:szCs w:val="20"/>
          <w:color w:val="auto"/>
        </w:rPr>
      </w:pPr>
    </w:p>
    <w:p>
      <w:pPr>
        <w:ind w:left="920" w:right="100" w:hanging="928"/>
        <w:spacing w:after="0" w:line="252" w:lineRule="auto"/>
        <w:tabs>
          <w:tab w:leader="none" w:pos="900" w:val="left"/>
        </w:tabs>
        <w:rPr>
          <w:sz w:val="20"/>
          <w:szCs w:val="20"/>
          <w:color w:val="auto"/>
        </w:rPr>
      </w:pPr>
      <w:r>
        <w:rPr>
          <w:rFonts w:ascii="Times New Roman" w:cs="Times New Roman" w:eastAsia="Times New Roman" w:hAnsi="Times New Roman"/>
          <w:sz w:val="20"/>
          <w:szCs w:val="20"/>
          <w:color w:val="4C4C4E"/>
        </w:rPr>
        <w:t>10.24</w:t>
      </w:r>
      <w:r>
        <w:rPr>
          <w:sz w:val="20"/>
          <w:szCs w:val="20"/>
          <w:color w:val="auto"/>
        </w:rPr>
        <w:tab/>
      </w:r>
      <w:r>
        <w:rPr>
          <w:rFonts w:ascii="Times New Roman" w:cs="Times New Roman" w:eastAsia="Times New Roman" w:hAnsi="Times New Roman"/>
          <w:sz w:val="20"/>
          <w:szCs w:val="20"/>
          <w:color w:val="4C4C4E"/>
        </w:rPr>
        <w:t>Sixteenth Amendment to Second Amended and Restated Senior Secured Revolving Credit Agreement, dated as of March 4, 2025, among Sixth Street Specialty Lending, Inc., as Borrower, the Lenders party thereto and Truist Bank (as successor by merger to SunTrust Bank), as Administrative Agent (incorporated by reference to Exhibit 10.2 to the Company’s Quarterly Report on Form 10-Q filed on April 30, 2025).</w:t>
      </w:r>
    </w:p>
    <w:p>
      <w:pPr>
        <w:spacing w:after="0" w:line="184" w:lineRule="exact"/>
        <w:rPr>
          <w:sz w:val="20"/>
          <w:szCs w:val="20"/>
          <w:color w:val="auto"/>
        </w:rPr>
      </w:pPr>
    </w:p>
    <w:p>
      <w:pPr>
        <w:ind w:left="920" w:hanging="928"/>
        <w:spacing w:after="0" w:line="258" w:lineRule="auto"/>
        <w:tabs>
          <w:tab w:leader="none" w:pos="900" w:val="left"/>
        </w:tabs>
        <w:rPr>
          <w:sz w:val="20"/>
          <w:szCs w:val="20"/>
          <w:color w:val="auto"/>
        </w:rPr>
      </w:pPr>
      <w:r>
        <w:rPr>
          <w:rFonts w:ascii="Times New Roman" w:cs="Times New Roman" w:eastAsia="Times New Roman" w:hAnsi="Times New Roman"/>
          <w:sz w:val="20"/>
          <w:szCs w:val="20"/>
          <w:color w:val="4C4C4E"/>
        </w:rPr>
        <w:t>10.25</w:t>
      </w:r>
      <w:r>
        <w:rPr>
          <w:sz w:val="20"/>
          <w:szCs w:val="20"/>
          <w:color w:val="auto"/>
        </w:rPr>
        <w:tab/>
      </w:r>
      <w:r>
        <w:rPr>
          <w:rFonts w:ascii="Times New Roman" w:cs="Times New Roman" w:eastAsia="Times New Roman" w:hAnsi="Times New Roman"/>
          <w:sz w:val="20"/>
          <w:szCs w:val="20"/>
          <w:color w:val="4C4C4E"/>
        </w:rPr>
        <w:t>Form of Equity Distribution Agreement, dated as of February 28, 2025, by and among Sixth Street Specialty Lending, Inc., Sixth Street Specialty Lending Advisers, LLC and the sales agent party thereto (incorporated by reference to Exhibit 10.1 to the Company’s Current Report on Form 8-K filed on February 28, 2025).</w:t>
      </w:r>
    </w:p>
    <w:p>
      <w:pPr>
        <w:spacing w:after="0" w:line="17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4C4C4E"/>
        </w:rPr>
        <w:t>19.1</w:t>
      </w:r>
      <w:r>
        <w:rPr>
          <w:sz w:val="20"/>
          <w:szCs w:val="20"/>
          <w:color w:val="auto"/>
        </w:rPr>
        <w:tab/>
      </w:r>
      <w:r>
        <w:rPr>
          <w:rFonts w:ascii="Times New Roman" w:cs="Times New Roman" w:eastAsia="Times New Roman" w:hAnsi="Times New Roman"/>
          <w:sz w:val="20"/>
          <w:szCs w:val="20"/>
          <w:color w:val="4C4C4E"/>
        </w:rPr>
        <w:t>Sixth Street Specialty Lending, Inc.’s Statement of Policy on Insider Trading (incorporated by reference to the Exhibit</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4C4C4E"/>
        </w:rPr>
        <w:t>19.1 to the Company's Annual Report on Form 10-K filed on February 13, 2025).</w:t>
      </w:r>
    </w:p>
    <w:p>
      <w:pPr>
        <w:spacing w:after="0" w:line="20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4C4C4E"/>
        </w:rPr>
        <w:t>21.1</w:t>
      </w:r>
      <w:r>
        <w:rPr>
          <w:sz w:val="20"/>
          <w:szCs w:val="20"/>
          <w:color w:val="auto"/>
        </w:rPr>
        <w:tab/>
      </w:r>
      <w:r>
        <w:rPr>
          <w:rFonts w:ascii="Times New Roman" w:cs="Times New Roman" w:eastAsia="Times New Roman" w:hAnsi="Times New Roman"/>
          <w:sz w:val="19"/>
          <w:szCs w:val="19"/>
          <w:color w:val="4C4C4E"/>
        </w:rPr>
        <w:t>Subsidiaries of Sixth Street Specialty Lending, Inc.</w:t>
      </w:r>
    </w:p>
    <w:p>
      <w:pPr>
        <w:sectPr>
          <w:pgSz w:w="11880" w:h="15480" w:orient="portrait"/>
          <w:cols w:equalWidth="0" w:num="1">
            <w:col w:w="10800"/>
          </w:cols>
          <w:pgMar w:left="540" w:top="754" w:right="54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93</w:t>
      </w:r>
    </w:p>
    <w:p>
      <w:pPr>
        <w:sectPr>
          <w:pgSz w:w="11880" w:h="15480" w:orient="portrait"/>
          <w:cols w:equalWidth="0" w:num="1">
            <w:col w:w="10800"/>
          </w:cols>
          <w:pgMar w:left="540" w:top="754" w:right="540" w:bottom="0" w:gutter="0" w:footer="0" w:header="0"/>
          <w:type w:val="continuous"/>
        </w:sectPr>
      </w:pPr>
    </w:p>
    <w:bookmarkStart w:id="148" w:name="page149"/>
    <w:bookmarkEnd w:id="148"/>
    <w:p>
      <w:pPr>
        <w:spacing w:after="0"/>
        <w:tabs>
          <w:tab w:leader="none" w:pos="900" w:val="left"/>
        </w:tabs>
        <w:rPr>
          <w:sz w:val="20"/>
          <w:szCs w:val="20"/>
          <w:color w:val="auto"/>
        </w:rPr>
      </w:pPr>
      <w:r>
        <w:rPr>
          <w:rFonts w:ascii="Times New Roman" w:cs="Times New Roman" w:eastAsia="Times New Roman" w:hAnsi="Times New Roman"/>
          <w:sz w:val="16"/>
          <w:szCs w:val="16"/>
          <w:color w:val="4C4C4E"/>
        </w:rPr>
        <w:t>Exhibit No</w:t>
        <w:tab/>
        <w:t>Description of Exhibits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52133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335" cy="4763"/>
                        </a:xfrm>
                        <a:prstGeom prst="line">
                          <a:avLst/>
                        </a:prstGeom>
                        <a:solidFill>
                          <a:srgbClr val="FFFFFF"/>
                        </a:solidFill>
                        <a:ln w="6350">
                          <a:solidFill>
                            <a:srgbClr val="4C4C4E"/>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41.05pt,1pt" o:allowincell="f" strokecolor="#4C4C4E" strokeweight="0.5pt"/>
            </w:pict>
          </mc:Fallback>
        </mc:AlternateContent>
        <mc:AlternateContent>
          <mc:Choice Requires="wps">
            <w:drawing>
              <wp:anchor simplePos="0" relativeHeight="251657728" behindDoc="1" locked="0" layoutInCell="0" allowOverlap="1">
                <wp:simplePos x="0" y="0"/>
                <wp:positionH relativeFrom="column">
                  <wp:posOffset>589280</wp:posOffset>
                </wp:positionH>
                <wp:positionV relativeFrom="paragraph">
                  <wp:posOffset>12700</wp:posOffset>
                </wp:positionV>
                <wp:extent cx="626872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8720" cy="4763"/>
                        </a:xfrm>
                        <a:prstGeom prst="line">
                          <a:avLst/>
                        </a:prstGeom>
                        <a:solidFill>
                          <a:srgbClr val="FFFFFF"/>
                        </a:solidFill>
                        <a:ln w="6350">
                          <a:solidFill>
                            <a:srgbClr val="4C4C4E"/>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pt,1pt" to="540pt,1pt" o:allowincell="f" strokecolor="#4C4C4E" strokeweight="0.5pt"/>
            </w:pict>
          </mc:Fallback>
        </mc:AlternateContent>
      </w:r>
    </w:p>
    <w:p>
      <w:pPr>
        <w:spacing w:after="0" w:line="1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4C4C4E"/>
        </w:rPr>
        <w:t>23.1</w:t>
      </w:r>
      <w:r>
        <w:rPr>
          <w:sz w:val="20"/>
          <w:szCs w:val="20"/>
          <w:color w:val="auto"/>
        </w:rPr>
        <w:tab/>
      </w:r>
      <w:r>
        <w:rPr>
          <w:rFonts w:ascii="Times New Roman" w:cs="Times New Roman" w:eastAsia="Times New Roman" w:hAnsi="Times New Roman"/>
          <w:sz w:val="19"/>
          <w:szCs w:val="19"/>
          <w:color w:val="4C4C4E"/>
        </w:rPr>
        <w:t>Consent of Independent Registered Public Accounting Firm</w:t>
      </w:r>
    </w:p>
    <w:p>
      <w:pPr>
        <w:spacing w:after="0" w:line="138" w:lineRule="exact"/>
        <w:rPr>
          <w:sz w:val="20"/>
          <w:szCs w:val="20"/>
          <w:color w:val="auto"/>
        </w:rPr>
      </w:pPr>
    </w:p>
    <w:p>
      <w:pPr>
        <w:ind w:left="920" w:right="180" w:hanging="928"/>
        <w:spacing w:after="0" w:line="277" w:lineRule="auto"/>
        <w:tabs>
          <w:tab w:leader="none" w:pos="900" w:val="left"/>
        </w:tabs>
        <w:rPr>
          <w:sz w:val="20"/>
          <w:szCs w:val="20"/>
          <w:color w:val="auto"/>
        </w:rPr>
      </w:pPr>
      <w:r>
        <w:rPr>
          <w:rFonts w:ascii="Times New Roman" w:cs="Times New Roman" w:eastAsia="Times New Roman" w:hAnsi="Times New Roman"/>
          <w:sz w:val="20"/>
          <w:szCs w:val="20"/>
          <w:color w:val="4C4C4E"/>
        </w:rPr>
        <w:t>31.1</w:t>
      </w:r>
      <w:r>
        <w:rPr>
          <w:sz w:val="20"/>
          <w:szCs w:val="20"/>
          <w:color w:val="auto"/>
        </w:rPr>
        <w:tab/>
      </w:r>
      <w:r>
        <w:rPr>
          <w:rFonts w:ascii="Times New Roman" w:cs="Times New Roman" w:eastAsia="Times New Roman" w:hAnsi="Times New Roman"/>
          <w:sz w:val="20"/>
          <w:szCs w:val="20"/>
          <w:color w:val="4C4C4E"/>
        </w:rPr>
        <w:t>Certification of Chief Executive Officer Pursuant to 18 U.S.C. Section 1350, as Adopted Pursuant to Section 302 of the Sarbanes-Oxley Act of 2002.</w:t>
      </w:r>
    </w:p>
    <w:p>
      <w:pPr>
        <w:spacing w:after="0" w:line="67" w:lineRule="exact"/>
        <w:rPr>
          <w:sz w:val="20"/>
          <w:szCs w:val="20"/>
          <w:color w:val="auto"/>
        </w:rPr>
      </w:pPr>
    </w:p>
    <w:p>
      <w:pPr>
        <w:ind w:left="920" w:right="240" w:hanging="928"/>
        <w:spacing w:after="0" w:line="277" w:lineRule="auto"/>
        <w:tabs>
          <w:tab w:leader="none" w:pos="900" w:val="left"/>
        </w:tabs>
        <w:rPr>
          <w:sz w:val="20"/>
          <w:szCs w:val="20"/>
          <w:color w:val="auto"/>
        </w:rPr>
      </w:pPr>
      <w:r>
        <w:rPr>
          <w:rFonts w:ascii="Times New Roman" w:cs="Times New Roman" w:eastAsia="Times New Roman" w:hAnsi="Times New Roman"/>
          <w:sz w:val="20"/>
          <w:szCs w:val="20"/>
          <w:color w:val="4C4C4E"/>
        </w:rPr>
        <w:t>31.2</w:t>
      </w:r>
      <w:r>
        <w:rPr>
          <w:sz w:val="20"/>
          <w:szCs w:val="20"/>
          <w:color w:val="auto"/>
        </w:rPr>
        <w:tab/>
      </w:r>
      <w:r>
        <w:rPr>
          <w:rFonts w:ascii="Times New Roman" w:cs="Times New Roman" w:eastAsia="Times New Roman" w:hAnsi="Times New Roman"/>
          <w:sz w:val="20"/>
          <w:szCs w:val="20"/>
          <w:color w:val="4C4C4E"/>
        </w:rPr>
        <w:t>Certification of Chief Financial Officer Pursuant to 18 U.S.C. Section 1350, as Adopted Pursuant to Section 302 of the Sarbanes-Oxley Act of 2002.</w:t>
      </w:r>
    </w:p>
    <w:p>
      <w:pPr>
        <w:spacing w:after="0" w:line="67" w:lineRule="exact"/>
        <w:rPr>
          <w:sz w:val="20"/>
          <w:szCs w:val="20"/>
          <w:color w:val="auto"/>
        </w:rPr>
      </w:pPr>
    </w:p>
    <w:p>
      <w:pPr>
        <w:ind w:left="920" w:right="100" w:hanging="920"/>
        <w:spacing w:after="0" w:line="277" w:lineRule="auto"/>
        <w:tabs>
          <w:tab w:leader="none" w:pos="920" w:val="left"/>
        </w:tabs>
        <w:numPr>
          <w:ilvl w:val="0"/>
          <w:numId w:val="104"/>
        </w:numPr>
        <w:rPr>
          <w:rFonts w:ascii="Times New Roman" w:cs="Times New Roman" w:eastAsia="Times New Roman" w:hAnsi="Times New Roman"/>
          <w:sz w:val="20"/>
          <w:szCs w:val="20"/>
          <w:color w:val="4C4C4E"/>
        </w:rPr>
      </w:pPr>
      <w:r>
        <w:rPr>
          <w:rFonts w:ascii="Times New Roman" w:cs="Times New Roman" w:eastAsia="Times New Roman" w:hAnsi="Times New Roman"/>
          <w:sz w:val="20"/>
          <w:szCs w:val="20"/>
          <w:color w:val="4C4C4E"/>
        </w:rPr>
        <w:t>Certification of CEO and CFO Pursuant to 18 U.S.C. Section 1350, as Adopted Pursuant to Section 906 of the Sarbanes-Oxley Act of 2002.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4C4C4E"/>
              </w:rPr>
              <w:t>97.1</w:t>
            </w:r>
          </w:p>
        </w:tc>
        <w:tc>
          <w:tcPr>
            <w:tcW w:w="9840" w:type="dxa"/>
            <w:vAlign w:val="bottom"/>
          </w:tcPr>
          <w:p>
            <w:pPr>
              <w:ind w:left="80"/>
              <w:spacing w:after="0"/>
              <w:rPr>
                <w:sz w:val="20"/>
                <w:szCs w:val="20"/>
                <w:color w:val="auto"/>
              </w:rPr>
            </w:pPr>
            <w:r>
              <w:rPr>
                <w:rFonts w:ascii="Times New Roman" w:cs="Times New Roman" w:eastAsia="Times New Roman" w:hAnsi="Times New Roman"/>
                <w:sz w:val="20"/>
                <w:szCs w:val="20"/>
                <w:color w:val="4C4C4E"/>
              </w:rPr>
              <w:t>Incentive Compensation Clawback Policy (incorporated by reference to Exhibit 97.1 to the Company’s Annual Report on</w:t>
            </w:r>
          </w:p>
        </w:tc>
      </w:tr>
      <w:tr>
        <w:trPr>
          <w:trHeight w:val="266"/>
        </w:trPr>
        <w:tc>
          <w:tcPr>
            <w:tcW w:w="840" w:type="dxa"/>
            <w:vAlign w:val="bottom"/>
          </w:tcPr>
          <w:p>
            <w:pPr>
              <w:spacing w:after="0"/>
              <w:rPr>
                <w:sz w:val="23"/>
                <w:szCs w:val="23"/>
                <w:color w:val="auto"/>
              </w:rPr>
            </w:pPr>
          </w:p>
        </w:tc>
        <w:tc>
          <w:tcPr>
            <w:tcW w:w="9840" w:type="dxa"/>
            <w:vAlign w:val="bottom"/>
          </w:tcPr>
          <w:p>
            <w:pPr>
              <w:ind w:left="80"/>
              <w:spacing w:after="0"/>
              <w:rPr>
                <w:sz w:val="20"/>
                <w:szCs w:val="20"/>
                <w:color w:val="auto"/>
              </w:rPr>
            </w:pPr>
            <w:r>
              <w:rPr>
                <w:rFonts w:ascii="Times New Roman" w:cs="Times New Roman" w:eastAsia="Times New Roman" w:hAnsi="Times New Roman"/>
                <w:sz w:val="20"/>
                <w:szCs w:val="20"/>
                <w:color w:val="4C4C4E"/>
              </w:rPr>
              <w:t>Form 10-K filed on February 15, 2024).</w:t>
            </w:r>
          </w:p>
        </w:tc>
      </w:tr>
      <w:tr>
        <w:trPr>
          <w:trHeight w:val="36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4C4C4E"/>
              </w:rPr>
              <w:t>99.1</w:t>
            </w:r>
          </w:p>
        </w:tc>
        <w:tc>
          <w:tcPr>
            <w:tcW w:w="9840" w:type="dxa"/>
            <w:vAlign w:val="bottom"/>
          </w:tcPr>
          <w:p>
            <w:pPr>
              <w:ind w:left="80"/>
              <w:spacing w:after="0"/>
              <w:rPr>
                <w:sz w:val="20"/>
                <w:szCs w:val="20"/>
                <w:color w:val="auto"/>
              </w:rPr>
            </w:pPr>
            <w:r>
              <w:rPr>
                <w:rFonts w:ascii="Times New Roman" w:cs="Times New Roman" w:eastAsia="Times New Roman" w:hAnsi="Times New Roman"/>
                <w:sz w:val="20"/>
                <w:szCs w:val="20"/>
                <w:color w:val="4C4C4E"/>
              </w:rPr>
              <w:t>Report of Independent Registered Public Accounting Firm on Supplemental Information.</w:t>
            </w: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4C4C4E"/>
              </w:rPr>
              <w:t>101.INS</w:t>
            </w:r>
          </w:p>
        </w:tc>
        <w:tc>
          <w:tcPr>
            <w:tcW w:w="9840" w:type="dxa"/>
            <w:vAlign w:val="bottom"/>
          </w:tcPr>
          <w:p>
            <w:pPr>
              <w:ind w:left="80"/>
              <w:spacing w:after="0"/>
              <w:rPr>
                <w:sz w:val="20"/>
                <w:szCs w:val="20"/>
                <w:color w:val="auto"/>
              </w:rPr>
            </w:pPr>
            <w:r>
              <w:rPr>
                <w:rFonts w:ascii="Times New Roman" w:cs="Times New Roman" w:eastAsia="Times New Roman" w:hAnsi="Times New Roman"/>
                <w:sz w:val="20"/>
                <w:szCs w:val="20"/>
                <w:color w:val="4C4C4E"/>
                <w:w w:val="99"/>
              </w:rPr>
              <w:t>Inline XBRL Instance Document - the instance document does not appear in the Interactive Data File because XBRL tags</w:t>
            </w:r>
          </w:p>
        </w:tc>
      </w:tr>
      <w:tr>
        <w:trPr>
          <w:trHeight w:val="266"/>
        </w:trPr>
        <w:tc>
          <w:tcPr>
            <w:tcW w:w="840" w:type="dxa"/>
            <w:vAlign w:val="bottom"/>
          </w:tcPr>
          <w:p>
            <w:pPr>
              <w:spacing w:after="0"/>
              <w:rPr>
                <w:sz w:val="23"/>
                <w:szCs w:val="23"/>
                <w:color w:val="auto"/>
              </w:rPr>
            </w:pPr>
          </w:p>
        </w:tc>
        <w:tc>
          <w:tcPr>
            <w:tcW w:w="9840" w:type="dxa"/>
            <w:vAlign w:val="bottom"/>
          </w:tcPr>
          <w:p>
            <w:pPr>
              <w:ind w:left="80"/>
              <w:spacing w:after="0"/>
              <w:rPr>
                <w:sz w:val="20"/>
                <w:szCs w:val="20"/>
                <w:color w:val="auto"/>
              </w:rPr>
            </w:pPr>
            <w:r>
              <w:rPr>
                <w:rFonts w:ascii="Times New Roman" w:cs="Times New Roman" w:eastAsia="Times New Roman" w:hAnsi="Times New Roman"/>
                <w:sz w:val="20"/>
                <w:szCs w:val="20"/>
                <w:color w:val="4C4C4E"/>
              </w:rPr>
              <w:t>are embedded within the Inline XBRL document.</w:t>
            </w:r>
          </w:p>
        </w:tc>
      </w:tr>
      <w:tr>
        <w:trPr>
          <w:trHeight w:val="35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4C4C4E"/>
              </w:rPr>
              <w:t>101.SCH</w:t>
            </w:r>
          </w:p>
        </w:tc>
        <w:tc>
          <w:tcPr>
            <w:tcW w:w="9840" w:type="dxa"/>
            <w:vAlign w:val="bottom"/>
          </w:tcPr>
          <w:p>
            <w:pPr>
              <w:ind w:left="80"/>
              <w:spacing w:after="0"/>
              <w:rPr>
                <w:sz w:val="20"/>
                <w:szCs w:val="20"/>
                <w:color w:val="auto"/>
              </w:rPr>
            </w:pPr>
            <w:r>
              <w:rPr>
                <w:rFonts w:ascii="Times New Roman" w:cs="Times New Roman" w:eastAsia="Times New Roman" w:hAnsi="Times New Roman"/>
                <w:sz w:val="20"/>
                <w:szCs w:val="20"/>
                <w:color w:val="4C4C4E"/>
              </w:rPr>
              <w:t>Inline XBRL Taxonomy Extension Schema With Embedded Linkbase Documents</w:t>
            </w:r>
          </w:p>
        </w:tc>
      </w:tr>
      <w:tr>
        <w:trPr>
          <w:trHeight w:val="35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4C4C4E"/>
              </w:rPr>
              <w:t>104</w:t>
            </w:r>
          </w:p>
        </w:tc>
        <w:tc>
          <w:tcPr>
            <w:tcW w:w="9840" w:type="dxa"/>
            <w:vAlign w:val="bottom"/>
          </w:tcPr>
          <w:p>
            <w:pPr>
              <w:ind w:left="80"/>
              <w:spacing w:after="0"/>
              <w:rPr>
                <w:sz w:val="20"/>
                <w:szCs w:val="20"/>
                <w:color w:val="auto"/>
              </w:rPr>
            </w:pPr>
            <w:r>
              <w:rPr>
                <w:rFonts w:ascii="Times New Roman" w:cs="Times New Roman" w:eastAsia="Times New Roman" w:hAnsi="Times New Roman"/>
                <w:sz w:val="20"/>
                <w:szCs w:val="20"/>
                <w:color w:val="4C4C4E"/>
              </w:rPr>
              <w:t>Cover Page Interactive Data File (embedded within the Inline XBRL document)</w:t>
            </w:r>
          </w:p>
        </w:tc>
      </w:tr>
    </w:tbl>
    <w:p>
      <w:pPr>
        <w:spacing w:after="0" w:line="200" w:lineRule="exact"/>
        <w:rPr>
          <w:sz w:val="20"/>
          <w:szCs w:val="20"/>
          <w:color w:val="auto"/>
        </w:rPr>
      </w:pPr>
    </w:p>
    <w:p>
      <w:pPr>
        <w:sectPr>
          <w:pgSz w:w="11880" w:h="15480" w:orient="portrait"/>
          <w:cols w:equalWidth="0" w:num="1">
            <w:col w:w="10680"/>
          </w:cols>
          <w:pgMar w:left="540" w:top="75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4C4C4E"/>
        </w:rPr>
        <w:t>94</w:t>
      </w:r>
    </w:p>
    <w:p>
      <w:pPr>
        <w:sectPr>
          <w:pgSz w:w="11880" w:h="15480" w:orient="portrait"/>
          <w:cols w:equalWidth="0" w:num="1">
            <w:col w:w="10680"/>
          </w:cols>
          <w:pgMar w:left="540" w:top="754" w:right="660" w:bottom="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9"/>
          <w:szCs w:val="19"/>
          <w:b w:val="1"/>
          <w:bCs w:val="1"/>
          <w:color w:val="4C4C4E"/>
        </w:rPr>
        <w:t>ITEM 16. FORM 10-K SUMMARY</w:t>
      </w:r>
    </w:p>
    <w:p>
      <w:pPr>
        <w:sectPr>
          <w:pgSz w:w="11880" w:h="15480" w:orient="portrait"/>
          <w:cols w:equalWidth="0" w:num="1">
            <w:col w:w="9900"/>
          </w:cols>
          <w:pgMar w:left="540" w:top="746" w:right="1440" w:bottom="0" w:gutter="0" w:footer="0" w:header="0"/>
        </w:sectPr>
      </w:pP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4C4C4E"/>
        </w:rPr>
        <w:t>Not applicable.</w:t>
      </w:r>
    </w:p>
    <w:p>
      <w:pPr>
        <w:sectPr>
          <w:pgSz w:w="11880" w:h="15480" w:orient="portrait"/>
          <w:cols w:equalWidth="0" w:num="1">
            <w:col w:w="9900"/>
          </w:cols>
          <w:pgMar w:left="540" w:top="74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4C4C4E"/>
        </w:rPr>
        <w:t>95</w:t>
      </w:r>
    </w:p>
    <w:p>
      <w:pPr>
        <w:sectPr>
          <w:pgSz w:w="11880" w:h="15480" w:orient="portrait"/>
          <w:cols w:equalWidth="0" w:num="1">
            <w:col w:w="9900"/>
          </w:cols>
          <w:pgMar w:left="540" w:top="746" w:right="1440" w:bottom="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color w:val="4C4C4E"/>
        </w:rPr>
        <w:t>SIGNATURES</w:t>
      </w:r>
    </w:p>
    <w:p>
      <w:pPr>
        <w:spacing w:after="0" w:line="244" w:lineRule="exact"/>
        <w:rPr>
          <w:sz w:val="20"/>
          <w:szCs w:val="20"/>
          <w:color w:val="auto"/>
        </w:rPr>
      </w:pPr>
    </w:p>
    <w:p>
      <w:pPr>
        <w:ind w:right="440" w:firstLine="245"/>
        <w:spacing w:after="0" w:line="277" w:lineRule="auto"/>
        <w:rPr>
          <w:sz w:val="20"/>
          <w:szCs w:val="20"/>
          <w:color w:val="auto"/>
        </w:rPr>
      </w:pPr>
      <w:r>
        <w:rPr>
          <w:rFonts w:ascii="Times New Roman" w:cs="Times New Roman" w:eastAsia="Times New Roman" w:hAnsi="Times New Roman"/>
          <w:sz w:val="20"/>
          <w:szCs w:val="20"/>
          <w:color w:val="4C4C4E"/>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20"/>
          <w:szCs w:val="20"/>
          <w:color w:val="4C4C4E"/>
        </w:rPr>
        <w:t>Date: February 12, 2026</w:t>
      </w:r>
      <w:r>
        <w:rPr>
          <w:sz w:val="20"/>
          <w:szCs w:val="20"/>
          <w:color w:val="auto"/>
        </w:rPr>
        <w:tab/>
      </w:r>
      <w:r>
        <w:rPr>
          <w:rFonts w:ascii="Times New Roman" w:cs="Times New Roman" w:eastAsia="Times New Roman" w:hAnsi="Times New Roman"/>
          <w:sz w:val="20"/>
          <w:szCs w:val="20"/>
          <w:b w:val="1"/>
          <w:bCs w:val="1"/>
          <w:color w:val="4C4C4E"/>
        </w:rPr>
        <w:t>SIXTH STREET SPECIALTY LENDING, INC.</w:t>
      </w:r>
    </w:p>
    <w:p>
      <w:pPr>
        <w:spacing w:after="0" w:line="2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4C4C4E"/>
        </w:rPr>
        <w:t>/s/ Robert “Bo”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12700</wp:posOffset>
            </wp:positionV>
            <wp:extent cx="3360420" cy="9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1">
                      <a:extLst>
                        <a:ext uri="{28A0092B-C50C-407E-A947-70E740481C1C}"/>
                      </a:extLst>
                    </a:blip>
                    <a:srcRect/>
                    <a:stretch>
                      <a:fillRect/>
                    </a:stretch>
                  </pic:blipFill>
                  <pic:spPr bwMode="auto">
                    <a:xfrm>
                      <a:off x="0" y="0"/>
                      <a:ext cx="3360420" cy="952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4C4C4E"/>
        </w:rPr>
        <w:t>Chief Executive Officer</w:t>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4C4C4E"/>
        </w:rPr>
        <w:t>(principal executive officer)</w:t>
      </w:r>
    </w:p>
    <w:p>
      <w:pPr>
        <w:spacing w:after="0" w:line="212" w:lineRule="exact"/>
        <w:rPr>
          <w:sz w:val="20"/>
          <w:szCs w:val="20"/>
          <w:color w:val="auto"/>
        </w:rPr>
      </w:pPr>
    </w:p>
    <w:p>
      <w:pPr>
        <w:ind w:right="20" w:firstLine="245"/>
        <w:spacing w:after="0" w:line="277" w:lineRule="auto"/>
        <w:rPr>
          <w:sz w:val="20"/>
          <w:szCs w:val="20"/>
          <w:color w:val="auto"/>
        </w:rPr>
      </w:pPr>
      <w:r>
        <w:rPr>
          <w:rFonts w:ascii="Times New Roman" w:cs="Times New Roman" w:eastAsia="Times New Roman" w:hAnsi="Times New Roman"/>
          <w:sz w:val="20"/>
          <w:szCs w:val="20"/>
          <w:color w:val="4C4C4E"/>
        </w:rPr>
        <w:t>Pursuant to the requirements of the Securities Exchange Act of 1934, this report has been signed below by the following persons on behalf of the registrant and in the capacities indicated on February 12,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Borders>
              <w:bottom w:val="single" w:sz="8" w:color="4C4C4E"/>
            </w:tcBorders>
          </w:tcPr>
          <w:p>
            <w:pPr>
              <w:ind w:left="1940"/>
              <w:spacing w:after="0"/>
              <w:rPr>
                <w:sz w:val="20"/>
                <w:szCs w:val="20"/>
                <w:color w:val="auto"/>
              </w:rPr>
            </w:pPr>
            <w:r>
              <w:rPr>
                <w:rFonts w:ascii="Times New Roman" w:cs="Times New Roman" w:eastAsia="Times New Roman" w:hAnsi="Times New Roman"/>
                <w:sz w:val="16"/>
                <w:szCs w:val="16"/>
                <w:b w:val="1"/>
                <w:bCs w:val="1"/>
                <w:color w:val="4C4C4E"/>
              </w:rPr>
              <w:t>Signature</w:t>
            </w:r>
          </w:p>
        </w:tc>
        <w:tc>
          <w:tcPr>
            <w:tcW w:w="100" w:type="dxa"/>
            <w:vAlign w:val="bottom"/>
          </w:tcPr>
          <w:p>
            <w:pPr>
              <w:spacing w:after="0"/>
              <w:rPr>
                <w:sz w:val="17"/>
                <w:szCs w:val="17"/>
                <w:color w:val="auto"/>
              </w:rPr>
            </w:pPr>
          </w:p>
        </w:tc>
        <w:tc>
          <w:tcPr>
            <w:tcW w:w="6160" w:type="dxa"/>
            <w:vAlign w:val="bottom"/>
            <w:tcBorders>
              <w:bottom w:val="single" w:sz="8" w:color="4C4C4E"/>
            </w:tcBorders>
          </w:tcPr>
          <w:p>
            <w:pPr>
              <w:ind w:left="2920"/>
              <w:spacing w:after="0"/>
              <w:rPr>
                <w:sz w:val="20"/>
                <w:szCs w:val="20"/>
                <w:color w:val="auto"/>
              </w:rPr>
            </w:pPr>
            <w:r>
              <w:rPr>
                <w:rFonts w:ascii="Times New Roman" w:cs="Times New Roman" w:eastAsia="Times New Roman" w:hAnsi="Times New Roman"/>
                <w:sz w:val="16"/>
                <w:szCs w:val="16"/>
                <w:b w:val="1"/>
                <w:bCs w:val="1"/>
                <w:color w:val="4C4C4E"/>
              </w:rPr>
              <w:t>Title</w:t>
            </w:r>
          </w:p>
        </w:tc>
      </w:tr>
      <w:tr>
        <w:trPr>
          <w:trHeight w:val="443"/>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Robert (“Bo”) Stanley</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Chief Executive Officer and Director (principal executive officer)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Robert (“Bo”) Stanley</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3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Ian Simmonds</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Chief Financial Officer (principal financial officer)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Ian Simmonds</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3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Michael Graf</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Deputy Chief Financial Officer (principal accounting officer)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Michael Graf</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3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Joshua Easterly</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 and Chairman of the Board of Directors</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Joshua Easterly</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3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Judy Slotkin</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 and Chairman of the Audit Committee</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Judy Slotkin</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P. Emery Covington</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P. Emery Covington</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7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Hurley Doddy</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Hurley Doddy</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Michael Fishman</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Michael Fishman</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Jennifer Gordon</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Jennifer Gordon</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Richard A. Higginbotham</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Richard A. Higginbotham</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John Hershey</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John Hershey</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David Stiepleman</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David Stiepleman</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40" w:type="dxa"/>
            <w:vAlign w:val="bottom"/>
            <w:tcBorders>
              <w:bottom w:val="single" w:sz="8" w:color="4C4C4E"/>
            </w:tcBorders>
          </w:tcPr>
          <w:p>
            <w:pPr>
              <w:spacing w:after="0"/>
              <w:rPr>
                <w:sz w:val="20"/>
                <w:szCs w:val="20"/>
                <w:color w:val="auto"/>
              </w:rPr>
            </w:pPr>
            <w:r>
              <w:rPr>
                <w:rFonts w:ascii="Times New Roman" w:cs="Times New Roman" w:eastAsia="Times New Roman" w:hAnsi="Times New Roman"/>
                <w:sz w:val="20"/>
                <w:szCs w:val="20"/>
                <w:color w:val="4C4C4E"/>
              </w:rPr>
              <w:t>/s/ Ronald K. Tanemura</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4C4C4E"/>
              </w:rPr>
              <w:t>Director</w:t>
            </w: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4C4C4E"/>
              </w:rPr>
              <w:t>Ronald K. Tanemura</w:t>
            </w:r>
          </w:p>
        </w:tc>
        <w:tc>
          <w:tcPr>
            <w:tcW w:w="100" w:type="dxa"/>
            <w:vAlign w:val="bottom"/>
          </w:tcPr>
          <w:p>
            <w:pPr>
              <w:spacing w:after="0"/>
              <w:rPr>
                <w:sz w:val="22"/>
                <w:szCs w:val="22"/>
                <w:color w:val="auto"/>
              </w:rPr>
            </w:pPr>
          </w:p>
        </w:tc>
        <w:tc>
          <w:tcPr>
            <w:tcW w:w="616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C4C4E"/>
        </w:rPr>
        <w:t>96</w:t>
      </w:r>
    </w:p>
    <w:sectPr>
      <w:pgSz w:w="11880" w:h="15480" w:orient="portrait"/>
      <w:cols w:equalWidth="0" w:num="1">
        <w:col w:w="10800"/>
      </w:cols>
      <w:pgMar w:left="540" w:top="746" w:right="5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շ"/>
      <w:numFmt w:val="bullet"/>
      <w:start w:val="1"/>
    </w:lvl>
  </w:abstractNum>
  <w:abstractNum w:abstractNumId="1">
    <w:nsid w:val="70C6A529"/>
    <w:multiLevelType w:val="hybridMultilevel"/>
    <w:lvl w:ilvl="0">
      <w:lvlJc w:val="left"/>
      <w:lvlText w:val="ն"/>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1)"/>
      <w:numFmt w:val="decimal"/>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1)"/>
      <w:numFmt w:val="decimal"/>
      <w:start w:val="1"/>
    </w:lvl>
  </w:abstractNum>
  <w:abstractNum w:abstractNumId="23">
    <w:nsid w:val="310C50B3"/>
    <w:multiLevelType w:val="hybridMultilevel"/>
    <w:lvl w:ilvl="0">
      <w:lvlJc w:val="left"/>
      <w:lvlText w:val="(%1)"/>
      <w:numFmt w:val="decimal"/>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1)"/>
      <w:numFmt w:val="lowerRoman"/>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6590700B"/>
    <w:multiLevelType w:val="hybridMultilevel"/>
    <w:lvl w:ilvl="0">
      <w:lvlJc w:val="left"/>
      <w:lvlText w:val="•"/>
      <w:numFmt w:val="bullet"/>
      <w:start w:val="1"/>
    </w:lvl>
    <w:lvl w:ilvl="1">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1)"/>
      <w:numFmt w:val="decimal"/>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1"/>
      <w:numFmt w:val="decimal"/>
      <w:start w:val="1"/>
    </w:lvl>
    <w:lvl w:ilvl="1">
      <w:lvlJc w:val="left"/>
      <w:lvlText w:val="(%2)"/>
      <w:numFmt w:val="lowerLetter"/>
      <w:start w:val="1"/>
    </w:lvl>
  </w:abstractNum>
  <w:abstractNum w:abstractNumId="69">
    <w:nsid w:val="76272110"/>
    <w:multiLevelType w:val="hybridMultilevel"/>
    <w:lvl w:ilvl="0">
      <w:lvlJc w:val="left"/>
      <w:lvlText w:val="(%1)"/>
      <w:numFmt w:val="decimal"/>
      <w:start w:val="1"/>
    </w:lvl>
    <w:lvl w:ilvl="1">
      <w:lvlJc w:val="left"/>
      <w:lvlText w:val="%2"/>
      <w:numFmt w:val="lowerLetter"/>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decimal"/>
      <w:start w:val="7"/>
    </w:lvl>
  </w:abstractNum>
  <w:abstractNum w:abstractNumId="72">
    <w:nsid w:val="14E17E33"/>
    <w:multiLevelType w:val="hybridMultilevel"/>
    <w:lvl w:ilvl="0">
      <w:lvlJc w:val="left"/>
      <w:lvlText w:val="%1"/>
      <w:numFmt w:val="decimal"/>
      <w:start w:val="1"/>
    </w:lvl>
    <w:lvl w:ilvl="1">
      <w:lvlJc w:val="left"/>
      <w:lvlText w:val="%2)"/>
      <w:numFmt w:val="lowerLetter"/>
      <w:start w:val="1"/>
    </w:lvl>
  </w:abstractNum>
  <w:abstractNum w:abstractNumId="73">
    <w:nsid w:val="3222E7CD"/>
    <w:multiLevelType w:val="hybridMultilevel"/>
    <w:lvl w:ilvl="0">
      <w:lvlJc w:val="left"/>
      <w:lvlText w:val="(%1)"/>
      <w:numFmt w:val="decimal"/>
      <w:start w:val="1"/>
    </w:lvl>
    <w:lvl w:ilvl="1">
      <w:lvlJc w:val="left"/>
      <w:lvlText w:val="%2"/>
      <w:numFmt w:val="lowerLetter"/>
      <w:start w:val="1"/>
    </w:lvl>
  </w:abstractNum>
  <w:abstractNum w:abstractNumId="74">
    <w:nsid w:val="74DE0EE3"/>
    <w:multiLevelType w:val="hybridMultilevel"/>
    <w:lvl w:ilvl="0">
      <w:lvlJc w:val="left"/>
      <w:lvlText w:val="%1"/>
      <w:numFmt w:val="decimal"/>
      <w:start w:val="1"/>
    </w:lvl>
    <w:lvl w:ilvl="1">
      <w:lvlJc w:val="left"/>
      <w:lvlText w:val="(%2)"/>
      <w:numFmt w:val="lowerLetter"/>
      <w:start w:val="1"/>
    </w:lvl>
  </w:abstractNum>
  <w:abstractNum w:abstractNumId="75">
    <w:nsid w:val="68EBC550"/>
    <w:multiLevelType w:val="hybridMultilevel"/>
    <w:lvl w:ilvl="0">
      <w:lvlJc w:val="left"/>
      <w:lvlText w:val="(%1)"/>
      <w:numFmt w:val="decimal"/>
      <w:start w:val="7"/>
    </w:lvl>
    <w:lvl w:ilvl="1">
      <w:lvlJc w:val="left"/>
      <w:lvlText w:val="%2"/>
      <w:numFmt w:val="lowerLetter"/>
      <w:start w:val="1"/>
    </w:lvl>
  </w:abstractNum>
  <w:abstractNum w:abstractNumId="76">
    <w:nsid w:val="2DF6D648"/>
    <w:multiLevelType w:val="hybridMultilevel"/>
    <w:lvl w:ilvl="0">
      <w:lvlJc w:val="left"/>
      <w:lvlText w:val="(%1)"/>
      <w:numFmt w:val="decimal"/>
      <w:start w:val="9"/>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1."/>
      <w:numFmt w:val="decimal"/>
      <w:start w:val="2"/>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1."/>
      <w:numFmt w:val="decimal"/>
      <w:start w:val="3"/>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decimal"/>
      <w:start w:val="1"/>
    </w:lvl>
  </w:abstractNum>
  <w:abstractNum w:abstractNumId="86">
    <w:nsid w:val="49DA307D"/>
    <w:multiLevelType w:val="hybridMultilevel"/>
    <w:lvl w:ilvl="0">
      <w:lvlJc w:val="left"/>
      <w:lvlText w:val="%1"/>
      <w:numFmt w:val="decimal"/>
      <w:start w:val="1"/>
    </w:lvl>
    <w:lvl w:ilvl="1">
      <w:lvlJc w:val="left"/>
      <w:lvlText w:val="(%2)"/>
      <w:numFmt w:val="decimal"/>
      <w:start w:val="1"/>
    </w:lvl>
  </w:abstractNum>
  <w:abstractNum w:abstractNumId="87">
    <w:nsid w:val="7055A5F5"/>
    <w:multiLevelType w:val="hybridMultilevel"/>
    <w:lvl w:ilvl="0">
      <w:lvlJc w:val="left"/>
      <w:lvlText w:val="%1."/>
      <w:numFmt w:val="decimal"/>
      <w:start w:val="5"/>
    </w:lvl>
    <w:lvl w:ilvl="1">
      <w:lvlJc w:val="left"/>
      <w:lvlText w:val="%2"/>
      <w:numFmt w:val="decimal"/>
      <w:start w:val="1"/>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1."/>
      <w:numFmt w:val="decimal"/>
      <w:start w:val="6"/>
    </w:lvl>
  </w:abstractNum>
  <w:abstractNum w:abstractNumId="90">
    <w:nsid w:val="488AC1A"/>
    <w:multiLevelType w:val="hybridMultilevel"/>
    <w:lvl w:ilvl="0">
      <w:lvlJc w:val="left"/>
      <w:lvlText w:val="(%1)"/>
      <w:numFmt w:val="decimal"/>
      <w:start w:val="1"/>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1)"/>
      <w:numFmt w:val="decimal"/>
      <w:start w:val="1"/>
    </w:lvl>
  </w:abstractNum>
  <w:abstractNum w:abstractNumId="94">
    <w:nsid w:val="6FC75AF8"/>
    <w:multiLevelType w:val="hybridMultilevel"/>
    <w:lvl w:ilvl="0">
      <w:lvlJc w:val="left"/>
      <w:lvlText w:val="(%1)"/>
      <w:numFmt w:val="decimal"/>
      <w:start w:val="1"/>
    </w:lvl>
  </w:abstractNum>
  <w:abstractNum w:abstractNumId="95">
    <w:nsid w:val="6A5F7029"/>
    <w:multiLevelType w:val="hybridMultilevel"/>
    <w:lvl w:ilvl="0">
      <w:lvlJc w:val="left"/>
      <w:lvlText w:val="%1."/>
      <w:numFmt w:val="decimal"/>
      <w:start w:val="8"/>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1)"/>
      <w:numFmt w:val="lowerRoman"/>
      <w:start w:val="1"/>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1)"/>
      <w:numFmt w:val="decimal"/>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2026-04-09T15:32:34Z</dcterms:created>
  <dcterms:modified xsi:type="dcterms:W3CDTF">2026-04-09T15:32:34Z</dcterms:modified>
</cp:coreProperties>
</file>