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03/26/2014</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484.27</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color w:val="0000FF"/>
              </w:rPr>
              <w:t>6,995.34</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2,799,517 shares of Common Stock of the Issuer, including 6,995.34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Ronald Cami is signing on behalf of Mr. Easterly pursuant to the authorization and designation letter dated March 10, 2014, which is filed as an exhibit hereto.</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0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March 10,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Joshua Easterly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Joshua Easterly</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2019-12-16T08:34:27Z</dcterms:created>
  <dcterms:modified xsi:type="dcterms:W3CDTF">2019-12-16T08:34:27Z</dcterms:modified>
</cp:coreProperties>
</file>