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158750</wp:posOffset>
            </wp:positionV>
            <wp:extent cx="2383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165100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15,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90805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Sixth Street Specialty Lending,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90170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tbl>
      <w:tblPr>
        <w:tblLayout w:type="fixed"/>
        <w:tblInd w:w="560" w:type="dxa"/>
        <w:tblCellMar>
          <w:top w:w="0" w:type="dxa"/>
          <w:left w:w="0" w:type="dxa"/>
          <w:bottom w:w="0" w:type="dxa"/>
          <w:right w:w="0" w:type="dxa"/>
        </w:tblCellMar>
      </w:tblPr>
      <w:tr>
        <w:trPr>
          <w:trHeight w:val="238"/>
        </w:trPr>
        <w:tc>
          <w:tcPr>
            <w:tcW w:w="374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001-36364</w:t>
            </w:r>
          </w:p>
        </w:tc>
        <w:tc>
          <w:tcPr>
            <w:tcW w:w="2480" w:type="dxa"/>
            <w:vAlign w:val="bottom"/>
          </w:tcPr>
          <w:p>
            <w:pPr>
              <w:jc w:val="center"/>
              <w:ind w:left="1281"/>
              <w:spacing w:after="0"/>
              <w:rPr>
                <w:sz w:val="20"/>
                <w:szCs w:val="20"/>
                <w:color w:val="auto"/>
              </w:rPr>
            </w:pPr>
            <w:r>
              <w:rPr>
                <w:rFonts w:ascii="Times New Roman" w:cs="Times New Roman" w:eastAsia="Times New Roman" w:hAnsi="Times New Roman"/>
                <w:sz w:val="18"/>
                <w:szCs w:val="18"/>
                <w:b w:val="1"/>
                <w:bCs w:val="1"/>
                <w:color w:val="auto"/>
              </w:rPr>
              <w:t>27-3380000</w:t>
            </w:r>
          </w:p>
        </w:tc>
      </w:tr>
      <w:tr>
        <w:trPr>
          <w:trHeight w:val="151"/>
        </w:trPr>
        <w:tc>
          <w:tcPr>
            <w:tcW w:w="3740" w:type="dxa"/>
            <w:vAlign w:val="bottom"/>
          </w:tcPr>
          <w:p>
            <w:pPr>
              <w:jc w:val="center"/>
              <w:ind w:right="959"/>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20" w:type="dxa"/>
            <w:vAlign w:val="bottom"/>
          </w:tcPr>
          <w:p>
            <w:pPr>
              <w:ind w:left="1040"/>
              <w:spacing w:after="0" w:line="151"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80" w:type="dxa"/>
            <w:vAlign w:val="bottom"/>
          </w:tcPr>
          <w:p>
            <w:pPr>
              <w:jc w:val="center"/>
              <w:ind w:left="128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740" w:type="dxa"/>
            <w:vAlign w:val="bottom"/>
          </w:tcPr>
          <w:p>
            <w:pPr>
              <w:jc w:val="center"/>
              <w:ind w:right="9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2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80" w:type="dxa"/>
            <w:vAlign w:val="bottom"/>
          </w:tcPr>
          <w:p>
            <w:pPr>
              <w:jc w:val="center"/>
              <w:ind w:left="12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3740" w:type="dxa"/>
            <w:vAlign w:val="bottom"/>
          </w:tcPr>
          <w:p>
            <w:pPr>
              <w:jc w:val="center"/>
              <w:ind w:right="95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32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8"/>
        </w:trPr>
        <w:tc>
          <w:tcPr>
            <w:tcW w:w="3740" w:type="dxa"/>
            <w:vAlign w:val="bottom"/>
          </w:tcPr>
          <w:p>
            <w:pPr>
              <w:jc w:val="center"/>
              <w:ind w:right="95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3220" w:type="dxa"/>
            <w:vAlign w:val="bottom"/>
          </w:tcPr>
          <w:p>
            <w:pPr>
              <w:spacing w:after="0"/>
              <w:rPr>
                <w:sz w:val="20"/>
                <w:szCs w:val="20"/>
                <w:color w:val="auto"/>
              </w:rPr>
            </w:pPr>
          </w:p>
        </w:tc>
        <w:tc>
          <w:tcPr>
            <w:tcW w:w="2480" w:type="dxa"/>
            <w:vAlign w:val="bottom"/>
          </w:tcPr>
          <w:p>
            <w:pPr>
              <w:jc w:val="center"/>
              <w:ind w:left="130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3"/>
        </w:trPr>
        <w:tc>
          <w:tcPr>
            <w:tcW w:w="3740" w:type="dxa"/>
            <w:vAlign w:val="bottom"/>
          </w:tcPr>
          <w:p>
            <w:pPr>
              <w:jc w:val="center"/>
              <w:ind w:right="9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20" w:type="dxa"/>
            <w:vAlign w:val="bottom"/>
          </w:tcPr>
          <w:p>
            <w:pPr>
              <w:spacing w:after="0"/>
              <w:rPr>
                <w:sz w:val="16"/>
                <w:szCs w:val="16"/>
                <w:color w:val="auto"/>
              </w:rPr>
            </w:pPr>
          </w:p>
        </w:tc>
        <w:tc>
          <w:tcPr>
            <w:tcW w:w="2480" w:type="dxa"/>
            <w:vAlign w:val="bottom"/>
          </w:tcPr>
          <w:p>
            <w:pPr>
              <w:jc w:val="center"/>
              <w:ind w:left="13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71120</wp:posOffset>
            </wp:positionV>
            <wp:extent cx="2383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5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1" w:lineRule="exact"/>
        <w:rPr>
          <w:sz w:val="24"/>
          <w:szCs w:val="24"/>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131"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52"/>
        </w:trPr>
        <w:tc>
          <w:tcPr>
            <w:tcW w:w="3760" w:type="dxa"/>
            <w:vAlign w:val="bottom"/>
            <w:tcBorders>
              <w:left w:val="single" w:sz="8" w:color="auto"/>
              <w:bottom w:val="single" w:sz="8" w:color="auto"/>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3740" w:type="dxa"/>
            <w:vAlign w:val="bottom"/>
            <w:tcBorders>
              <w:bottom w:val="single" w:sz="8" w:color="auto"/>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rPr>
              <w:t>TSLX</w:t>
            </w:r>
          </w:p>
        </w:tc>
        <w:tc>
          <w:tcPr>
            <w:tcW w:w="3740" w:type="dxa"/>
            <w:vAlign w:val="bottom"/>
            <w:tcBorders>
              <w:bottom w:val="single" w:sz="8" w:color="auto"/>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rPr>
              <w:t>The New York Stock Exchange</w:t>
            </w:r>
          </w:p>
        </w:tc>
      </w:tr>
    </w:tbl>
    <w:p>
      <w:pPr>
        <w:spacing w:after="0" w:line="10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1109980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15, 2024, the registrant issued a press release announcing its financial results for the full year and fourth quarter ended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text of the press release is included as Exhibit 99.1 to this Form 8-K.</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February 15, 2024, the registrant issued a press release, included herewith as Exhibit 99.1, announcing the declaration of a first quarter 2024 base dividend per share of $0.46 to shareholders of record as of March 15, 2024, payable on March 28, 2024, and a fourth quarter 2023 supplemental dividend per share of $0.08 to shareholders of record as of February 29, 2024, payable on March 20, 2024.</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96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25"/>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February 15, 2024</w:t>
            </w:r>
          </w:p>
        </w:tc>
        <w:tc>
          <w:tcPr>
            <w:tcW w:w="20" w:type="dxa"/>
            <w:vAlign w:val="bottom"/>
            <w:tcBorders>
              <w:bottom w:val="single" w:sz="8" w:color="0000EE"/>
            </w:tcBorders>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cover page of this Current Report on Form 8-K, formatted in Inline XBRL</w:t>
            </w:r>
          </w:p>
        </w:tc>
        <w:tc>
          <w:tcPr>
            <w:tcW w:w="0" w:type="dxa"/>
            <w:vAlign w:val="bottom"/>
          </w:tcPr>
          <w:p>
            <w:pPr>
              <w:spacing w:after="0"/>
              <w:rPr>
                <w:sz w:val="1"/>
                <w:szCs w:val="1"/>
                <w:color w:val="auto"/>
              </w:rPr>
            </w:pPr>
          </w:p>
        </w:tc>
      </w:tr>
      <w:tr>
        <w:trPr>
          <w:trHeight w:val="1640"/>
        </w:trPr>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20"/>
                <w:szCs w:val="20"/>
                <w:color w:val="auto"/>
              </w:rPr>
              <w:t>SIXTH STREET SPECIALTY LENDING, INC.</w:t>
            </w:r>
          </w:p>
        </w:tc>
      </w:tr>
      <w:tr>
        <w:trPr>
          <w:trHeight w:val="234"/>
        </w:trPr>
        <w:tc>
          <w:tcPr>
            <w:tcW w:w="3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(Registrant)</w:t>
            </w:r>
          </w:p>
        </w:tc>
      </w:tr>
      <w:tr>
        <w:trPr>
          <w:trHeight w:val="49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15, 2024</w:t>
            </w: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Ian Simmonds</w:t>
            </w:r>
          </w:p>
        </w:tc>
      </w:tr>
      <w:tr>
        <w:trPr>
          <w:trHeight w:val="234"/>
        </w:trPr>
        <w:tc>
          <w:tcPr>
            <w:tcW w:w="3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Ian Simmonds</w:t>
            </w:r>
          </w:p>
        </w:tc>
      </w:tr>
      <w:tr>
        <w:trPr>
          <w:trHeight w:val="238"/>
        </w:trPr>
        <w:tc>
          <w:tcPr>
            <w:tcW w:w="3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41"/>
        </w:trPr>
        <w:tc>
          <w:tcPr>
            <w:tcW w:w="37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37160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alibri" w:cs="Calibri" w:eastAsia="Calibri" w:hAnsi="Calibri"/>
          <w:sz w:val="32"/>
          <w:szCs w:val="32"/>
          <w:b w:val="1"/>
          <w:bCs w:val="1"/>
          <w:color w:val="auto"/>
        </w:rPr>
        <w:t>FULL YEAR AND FOURTH QUARTER 2023 EARNINGS RESULTS</w:t>
      </w:r>
    </w:p>
    <w:p>
      <w:pPr>
        <w:spacing w:after="0" w:line="46"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color w:val="auto"/>
        </w:rPr>
        <w:t>Sixth Street Specialty Lending, Inc. Reports Full Year and Fourth Quarter Earnings Results; Declares a First Quarter Base Dividend Per Share of $0.46, and a Fourth Quarter Supplemental Dividend Per Share of $0.08.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5563235" cy="8572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63235" cy="85725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0" w:right="20"/>
        <w:spacing w:after="0" w:line="234" w:lineRule="auto"/>
        <w:rPr>
          <w:sz w:val="20"/>
          <w:szCs w:val="20"/>
          <w:color w:val="auto"/>
        </w:rPr>
      </w:pPr>
      <w:r>
        <w:rPr>
          <w:rFonts w:ascii="Calibri" w:cs="Calibri" w:eastAsia="Calibri" w:hAnsi="Calibri"/>
          <w:sz w:val="17"/>
          <w:szCs w:val="17"/>
          <w:color w:val="auto"/>
        </w:rPr>
        <w:t>NEW YORK—February 15, 2024— Sixth Street Specialty Lending, Inc. (NYSE: TSLX, or the “Company”) today reported net investment income of $2.31 per share and net income of $2.61 per share, for the year ended December 31, 2023. For the quarter ended December 31, 2023 net investment income and net income per share were $0.62 and $0.58, respectvely. The Company’s net investment income in the fourth quarter was largely driven by a robust level of interest income from the strength of the core earnings power of the portolio. Return on equity (ROE) for the full year 2023 was 14.1% and 15.9% on a net investment income and a net income basis, respectvely. Annualized ROE for the fourth quarter 2023 was 14.7% and 13.8% on a net investment income and a net income basis, respectvely.</w:t>
      </w:r>
    </w:p>
    <w:p>
      <w:pPr>
        <w:spacing w:after="0" w:line="109" w:lineRule="exact"/>
        <w:rPr>
          <w:sz w:val="20"/>
          <w:szCs w:val="20"/>
          <w:color w:val="auto"/>
        </w:rPr>
      </w:pPr>
    </w:p>
    <w:p>
      <w:pPr>
        <w:jc w:val="both"/>
        <w:ind w:left="80"/>
        <w:spacing w:after="0" w:line="234" w:lineRule="auto"/>
        <w:rPr>
          <w:sz w:val="20"/>
          <w:szCs w:val="20"/>
          <w:color w:val="auto"/>
        </w:rPr>
      </w:pPr>
      <w:r>
        <w:rPr>
          <w:rFonts w:ascii="Calibri" w:cs="Calibri" w:eastAsia="Calibri" w:hAnsi="Calibri"/>
          <w:sz w:val="17"/>
          <w:szCs w:val="17"/>
          <w:color w:val="auto"/>
        </w:rPr>
        <w:t>Both net investment income per share and net income per share for the year include approximately $0.05 per share of capital gains incentve fee expenses that were accrued, but not paid or payable, related to cumulatve unrealized capital gains in excess of cumulatve net realized capital gains less any cumulatve unrealized losses and capital gains incentve fees paid incepton-to-date. Excluding the impact of the accrued capital gains incentve fee expenses, the Company’s adjusted net investment income and adjusted net income for the year ended December 31, 2023 were $2.36 per share and $2.66 per share, respectvely. For the quarter ended December 31, 2023, adjusted net investment income per share was $0.62 and adjusted net income per share was $0.58. Return on equity (ROE) for the full year 2023 was 14.4% and 16.2% on an adjusted net investment income and an adjusted net income basis, respectvely. Annualized ROE for the fourth quarter 2023 was 14.5% and 13.6% on an adjusted net investment income and an adjusted net income basis, respectvely.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00"/>
        <w:spacing w:after="0"/>
        <w:rPr>
          <w:sz w:val="20"/>
          <w:szCs w:val="20"/>
          <w:color w:val="auto"/>
        </w:rPr>
      </w:pPr>
      <w:r>
        <w:rPr>
          <w:rFonts w:ascii="Calibri" w:cs="Calibri" w:eastAsia="Calibri" w:hAnsi="Calibri"/>
          <w:sz w:val="14"/>
          <w:szCs w:val="14"/>
          <w:b w:val="1"/>
          <w:bCs w:val="1"/>
          <w:color w:val="FFFFFF"/>
        </w:rPr>
        <w:t>Net Investment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192024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20240" cy="188595"/>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0" w:type="dxa"/>
            <w:vAlign w:val="bottom"/>
            <w:gridSpan w:val="2"/>
          </w:tcPr>
          <w:p>
            <w:pPr>
              <w:ind w:left="80"/>
              <w:spacing w:after="0"/>
              <w:rPr>
                <w:sz w:val="20"/>
                <w:szCs w:val="20"/>
                <w:color w:val="auto"/>
              </w:rPr>
            </w:pPr>
            <w:r>
              <w:rPr>
                <w:rFonts w:ascii="Calibri" w:cs="Calibri" w:eastAsia="Calibri" w:hAnsi="Calibri"/>
                <w:sz w:val="14"/>
                <w:szCs w:val="14"/>
                <w:b w:val="1"/>
                <w:bCs w:val="1"/>
                <w:color w:val="auto"/>
              </w:rPr>
              <w:t>2023</w:t>
            </w:r>
            <w:r>
              <w:rPr>
                <w:rFonts w:ascii="Calibri" w:cs="Calibri" w:eastAsia="Calibri" w:hAnsi="Calibri"/>
                <w:sz w:val="14"/>
                <w:szCs w:val="14"/>
                <w:color w:val="auto"/>
              </w:rPr>
              <w:t>:</w:t>
            </w:r>
          </w:p>
        </w:tc>
        <w:tc>
          <w:tcPr>
            <w:tcW w:w="620" w:type="dxa"/>
            <w:vAlign w:val="bottom"/>
          </w:tcPr>
          <w:p>
            <w:pPr>
              <w:jc w:val="right"/>
              <w:spacing w:after="0"/>
              <w:rPr>
                <w:sz w:val="20"/>
                <w:szCs w:val="20"/>
                <w:color w:val="auto"/>
              </w:rPr>
            </w:pPr>
            <w:r>
              <w:rPr>
                <w:rFonts w:ascii="Calibri" w:cs="Calibri" w:eastAsia="Calibri" w:hAnsi="Calibri"/>
                <w:sz w:val="14"/>
                <w:szCs w:val="14"/>
                <w:b w:val="1"/>
                <w:bCs w:val="1"/>
                <w:color w:val="auto"/>
              </w:rPr>
              <w:t>$2.31</w:t>
            </w:r>
          </w:p>
        </w:tc>
      </w:tr>
      <w:tr>
        <w:trPr>
          <w:trHeight w:val="230"/>
        </w:trPr>
        <w:tc>
          <w:tcPr>
            <w:tcW w:w="260" w:type="dxa"/>
            <w:vAlign w:val="bottom"/>
          </w:tcPr>
          <w:p>
            <w:pPr>
              <w:ind w:left="80"/>
              <w:spacing w:after="0"/>
              <w:rPr>
                <w:sz w:val="20"/>
                <w:szCs w:val="20"/>
                <w:color w:val="auto"/>
              </w:rPr>
            </w:pPr>
            <w:r>
              <w:rPr>
                <w:rFonts w:ascii="Calibri" w:cs="Calibri" w:eastAsia="Calibri" w:hAnsi="Calibri"/>
                <w:sz w:val="14"/>
                <w:szCs w:val="14"/>
                <w:b w:val="1"/>
                <w:bCs w:val="1"/>
                <w:color w:val="auto"/>
                <w:w w:val="95"/>
              </w:rPr>
              <w:t>Q4</w:t>
            </w:r>
          </w:p>
        </w:tc>
        <w:tc>
          <w:tcPr>
            <w:tcW w:w="2140" w:type="dxa"/>
            <w:vAlign w:val="bottom"/>
          </w:tcPr>
          <w:p>
            <w:pPr>
              <w:ind w:left="20"/>
              <w:spacing w:after="0"/>
              <w:rPr>
                <w:sz w:val="20"/>
                <w:szCs w:val="20"/>
                <w:color w:val="auto"/>
              </w:rPr>
            </w:pPr>
            <w:r>
              <w:rPr>
                <w:rFonts w:ascii="Calibri" w:cs="Calibri" w:eastAsia="Calibri" w:hAnsi="Calibri"/>
                <w:sz w:val="14"/>
                <w:szCs w:val="14"/>
                <w:b w:val="1"/>
                <w:bCs w:val="1"/>
                <w:color w:val="auto"/>
              </w:rPr>
              <w:t>2023:</w:t>
            </w:r>
          </w:p>
        </w:tc>
        <w:tc>
          <w:tcPr>
            <w:tcW w:w="620" w:type="dxa"/>
            <w:vAlign w:val="bottom"/>
          </w:tcPr>
          <w:p>
            <w:pPr>
              <w:jc w:val="right"/>
              <w:spacing w:after="0"/>
              <w:rPr>
                <w:sz w:val="20"/>
                <w:szCs w:val="20"/>
                <w:color w:val="auto"/>
              </w:rPr>
            </w:pPr>
            <w:r>
              <w:rPr>
                <w:rFonts w:ascii="Calibri" w:cs="Calibri" w:eastAsia="Calibri" w:hAnsi="Calibri"/>
                <w:sz w:val="14"/>
                <w:szCs w:val="14"/>
                <w:b w:val="1"/>
                <w:bCs w:val="1"/>
                <w:color w:val="auto"/>
              </w:rPr>
              <w:t>$0.62</w:t>
            </w:r>
          </w:p>
        </w:tc>
      </w:tr>
      <w:tr>
        <w:trPr>
          <w:trHeight w:val="88"/>
        </w:trPr>
        <w:tc>
          <w:tcPr>
            <w:tcW w:w="2400" w:type="dxa"/>
            <w:vAlign w:val="bottom"/>
            <w:tcBorders>
              <w:bottom w:val="single" w:sz="8" w:color="auto"/>
            </w:tcBorders>
            <w:gridSpan w:val="2"/>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r>
      <w:tr>
        <w:trPr>
          <w:trHeight w:val="203"/>
        </w:trPr>
        <w:tc>
          <w:tcPr>
            <w:tcW w:w="2400" w:type="dxa"/>
            <w:vAlign w:val="bottom"/>
            <w:gridSpan w:val="2"/>
          </w:tcPr>
          <w:p>
            <w:pPr>
              <w:ind w:left="80"/>
              <w:spacing w:after="0"/>
              <w:rPr>
                <w:sz w:val="20"/>
                <w:szCs w:val="20"/>
                <w:color w:val="auto"/>
              </w:rPr>
            </w:pPr>
            <w:r>
              <w:rPr>
                <w:rFonts w:ascii="Calibri" w:cs="Calibri" w:eastAsia="Calibri" w:hAnsi="Calibri"/>
                <w:sz w:val="14"/>
                <w:szCs w:val="14"/>
                <w:b w:val="1"/>
                <w:bCs w:val="1"/>
                <w:color w:val="auto"/>
              </w:rPr>
              <w:t>2023 (adjusted):</w:t>
            </w:r>
          </w:p>
        </w:tc>
        <w:tc>
          <w:tcPr>
            <w:tcW w:w="620" w:type="dxa"/>
            <w:vAlign w:val="bottom"/>
          </w:tcPr>
          <w:p>
            <w:pPr>
              <w:jc w:val="right"/>
              <w:spacing w:after="0"/>
              <w:rPr>
                <w:sz w:val="20"/>
                <w:szCs w:val="20"/>
                <w:color w:val="auto"/>
              </w:rPr>
            </w:pPr>
            <w:r>
              <w:rPr>
                <w:rFonts w:ascii="Calibri" w:cs="Calibri" w:eastAsia="Calibri" w:hAnsi="Calibri"/>
                <w:sz w:val="14"/>
                <w:szCs w:val="14"/>
                <w:b w:val="1"/>
                <w:bCs w:val="1"/>
                <w:color w:val="auto"/>
              </w:rPr>
              <w:t>$2.36</w:t>
            </w:r>
          </w:p>
        </w:tc>
      </w:tr>
      <w:tr>
        <w:trPr>
          <w:trHeight w:val="230"/>
        </w:trPr>
        <w:tc>
          <w:tcPr>
            <w:tcW w:w="260" w:type="dxa"/>
            <w:vAlign w:val="bottom"/>
          </w:tcPr>
          <w:p>
            <w:pPr>
              <w:ind w:left="80"/>
              <w:spacing w:after="0"/>
              <w:rPr>
                <w:sz w:val="20"/>
                <w:szCs w:val="20"/>
                <w:color w:val="auto"/>
              </w:rPr>
            </w:pPr>
            <w:r>
              <w:rPr>
                <w:rFonts w:ascii="Calibri" w:cs="Calibri" w:eastAsia="Calibri" w:hAnsi="Calibri"/>
                <w:sz w:val="14"/>
                <w:szCs w:val="14"/>
                <w:b w:val="1"/>
                <w:bCs w:val="1"/>
                <w:color w:val="auto"/>
                <w:w w:val="95"/>
              </w:rPr>
              <w:t>Q4</w:t>
            </w:r>
          </w:p>
        </w:tc>
        <w:tc>
          <w:tcPr>
            <w:tcW w:w="2140" w:type="dxa"/>
            <w:vAlign w:val="bottom"/>
          </w:tcPr>
          <w:p>
            <w:pPr>
              <w:ind w:left="20"/>
              <w:spacing w:after="0"/>
              <w:rPr>
                <w:sz w:val="20"/>
                <w:szCs w:val="20"/>
                <w:color w:val="auto"/>
              </w:rPr>
            </w:pPr>
            <w:r>
              <w:rPr>
                <w:rFonts w:ascii="Calibri" w:cs="Calibri" w:eastAsia="Calibri" w:hAnsi="Calibri"/>
                <w:sz w:val="14"/>
                <w:szCs w:val="14"/>
                <w:b w:val="1"/>
                <w:bCs w:val="1"/>
                <w:color w:val="auto"/>
              </w:rPr>
              <w:t>2023 (adjusted):</w:t>
            </w:r>
          </w:p>
        </w:tc>
        <w:tc>
          <w:tcPr>
            <w:tcW w:w="620" w:type="dxa"/>
            <w:vAlign w:val="bottom"/>
          </w:tcPr>
          <w:p>
            <w:pPr>
              <w:jc w:val="right"/>
              <w:spacing w:after="0"/>
              <w:rPr>
                <w:sz w:val="20"/>
                <w:szCs w:val="20"/>
                <w:color w:val="auto"/>
              </w:rPr>
            </w:pPr>
            <w:r>
              <w:rPr>
                <w:rFonts w:ascii="Calibri" w:cs="Calibri" w:eastAsia="Calibri" w:hAnsi="Calibri"/>
                <w:sz w:val="14"/>
                <w:szCs w:val="14"/>
                <w:b w:val="1"/>
                <w:bCs w:val="1"/>
                <w:color w:val="auto"/>
              </w:rPr>
              <w:t>$0.62</w:t>
            </w:r>
          </w:p>
        </w:tc>
      </w:tr>
      <w:tr>
        <w:trPr>
          <w:trHeight w:val="276"/>
        </w:trPr>
        <w:tc>
          <w:tcPr>
            <w:tcW w:w="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0"/>
        </w:trPr>
        <w:tc>
          <w:tcPr>
            <w:tcW w:w="260" w:type="dxa"/>
            <w:vAlign w:val="bottom"/>
            <w:shd w:val="clear" w:color="auto" w:fill="0F2F50"/>
          </w:tcPr>
          <w:p>
            <w:pPr>
              <w:spacing w:after="0"/>
              <w:rPr>
                <w:sz w:val="18"/>
                <w:szCs w:val="18"/>
                <w:color w:val="auto"/>
              </w:rPr>
            </w:pPr>
          </w:p>
        </w:tc>
        <w:tc>
          <w:tcPr>
            <w:tcW w:w="2140" w:type="dxa"/>
            <w:vAlign w:val="bottom"/>
            <w:shd w:val="clear" w:color="auto" w:fill="0F2F50"/>
          </w:tcPr>
          <w:p>
            <w:pPr>
              <w:ind w:left="600"/>
              <w:spacing w:after="0"/>
              <w:rPr>
                <w:sz w:val="20"/>
                <w:szCs w:val="20"/>
                <w:color w:val="auto"/>
              </w:rPr>
            </w:pPr>
            <w:r>
              <w:rPr>
                <w:rFonts w:ascii="Calibri" w:cs="Calibri" w:eastAsia="Calibri" w:hAnsi="Calibri"/>
                <w:sz w:val="14"/>
                <w:szCs w:val="14"/>
                <w:b w:val="1"/>
                <w:bCs w:val="1"/>
                <w:color w:val="FFFFFF"/>
              </w:rPr>
              <w:t>Net Income Per Share</w:t>
            </w:r>
          </w:p>
        </w:tc>
        <w:tc>
          <w:tcPr>
            <w:tcW w:w="620" w:type="dxa"/>
            <w:vAlign w:val="bottom"/>
            <w:shd w:val="clear" w:color="auto" w:fill="0F2F50"/>
          </w:tcPr>
          <w:p>
            <w:pPr>
              <w:spacing w:after="0"/>
              <w:rPr>
                <w:sz w:val="18"/>
                <w:szCs w:val="18"/>
                <w:color w:val="auto"/>
              </w:rPr>
            </w:pPr>
          </w:p>
        </w:tc>
      </w:tr>
      <w:tr>
        <w:trPr>
          <w:trHeight w:val="88"/>
        </w:trPr>
        <w:tc>
          <w:tcPr>
            <w:tcW w:w="2400" w:type="dxa"/>
            <w:vAlign w:val="bottom"/>
            <w:gridSpan w:val="2"/>
            <w:shd w:val="clear" w:color="auto" w:fill="0F2F50"/>
          </w:tcPr>
          <w:p>
            <w:pPr>
              <w:spacing w:after="0"/>
              <w:rPr>
                <w:sz w:val="7"/>
                <w:szCs w:val="7"/>
                <w:color w:val="auto"/>
              </w:rPr>
            </w:pPr>
          </w:p>
        </w:tc>
        <w:tc>
          <w:tcPr>
            <w:tcW w:w="620" w:type="dxa"/>
            <w:vAlign w:val="bottom"/>
            <w:shd w:val="clear" w:color="auto" w:fill="0F2F50"/>
          </w:tcPr>
          <w:p>
            <w:pPr>
              <w:spacing w:after="0"/>
              <w:rPr>
                <w:sz w:val="7"/>
                <w:szCs w:val="7"/>
                <w:color w:val="auto"/>
              </w:rPr>
            </w:pPr>
          </w:p>
        </w:tc>
      </w:tr>
      <w:tr>
        <w:trPr>
          <w:trHeight w:val="209"/>
        </w:trPr>
        <w:tc>
          <w:tcPr>
            <w:tcW w:w="2400" w:type="dxa"/>
            <w:vAlign w:val="bottom"/>
            <w:gridSpan w:val="2"/>
          </w:tcPr>
          <w:p>
            <w:pPr>
              <w:ind w:left="80"/>
              <w:spacing w:after="0"/>
              <w:rPr>
                <w:sz w:val="20"/>
                <w:szCs w:val="20"/>
                <w:color w:val="auto"/>
              </w:rPr>
            </w:pPr>
            <w:r>
              <w:rPr>
                <w:rFonts w:ascii="Calibri" w:cs="Calibri" w:eastAsia="Calibri" w:hAnsi="Calibri"/>
                <w:sz w:val="14"/>
                <w:szCs w:val="14"/>
                <w:b w:val="1"/>
                <w:bCs w:val="1"/>
                <w:color w:val="auto"/>
              </w:rPr>
              <w:t>2023:</w:t>
            </w:r>
          </w:p>
        </w:tc>
        <w:tc>
          <w:tcPr>
            <w:tcW w:w="620" w:type="dxa"/>
            <w:vAlign w:val="bottom"/>
          </w:tcPr>
          <w:p>
            <w:pPr>
              <w:jc w:val="right"/>
              <w:spacing w:after="0"/>
              <w:rPr>
                <w:sz w:val="20"/>
                <w:szCs w:val="20"/>
                <w:color w:val="auto"/>
              </w:rPr>
            </w:pPr>
            <w:r>
              <w:rPr>
                <w:rFonts w:ascii="Calibri" w:cs="Calibri" w:eastAsia="Calibri" w:hAnsi="Calibri"/>
                <w:sz w:val="14"/>
                <w:szCs w:val="14"/>
                <w:b w:val="1"/>
                <w:bCs w:val="1"/>
                <w:color w:val="auto"/>
              </w:rPr>
              <w:t>$2.61</w:t>
            </w:r>
          </w:p>
        </w:tc>
      </w:tr>
      <w:tr>
        <w:trPr>
          <w:trHeight w:val="230"/>
        </w:trPr>
        <w:tc>
          <w:tcPr>
            <w:tcW w:w="260" w:type="dxa"/>
            <w:vAlign w:val="bottom"/>
          </w:tcPr>
          <w:p>
            <w:pPr>
              <w:ind w:left="80"/>
              <w:spacing w:after="0"/>
              <w:rPr>
                <w:sz w:val="20"/>
                <w:szCs w:val="20"/>
                <w:color w:val="auto"/>
              </w:rPr>
            </w:pPr>
            <w:r>
              <w:rPr>
                <w:rFonts w:ascii="Calibri" w:cs="Calibri" w:eastAsia="Calibri" w:hAnsi="Calibri"/>
                <w:sz w:val="14"/>
                <w:szCs w:val="14"/>
                <w:b w:val="1"/>
                <w:bCs w:val="1"/>
                <w:color w:val="auto"/>
                <w:w w:val="95"/>
              </w:rPr>
              <w:t>Q4</w:t>
            </w:r>
          </w:p>
        </w:tc>
        <w:tc>
          <w:tcPr>
            <w:tcW w:w="2140" w:type="dxa"/>
            <w:vAlign w:val="bottom"/>
          </w:tcPr>
          <w:p>
            <w:pPr>
              <w:ind w:left="20"/>
              <w:spacing w:after="0"/>
              <w:rPr>
                <w:sz w:val="20"/>
                <w:szCs w:val="20"/>
                <w:color w:val="auto"/>
              </w:rPr>
            </w:pPr>
            <w:r>
              <w:rPr>
                <w:rFonts w:ascii="Calibri" w:cs="Calibri" w:eastAsia="Calibri" w:hAnsi="Calibri"/>
                <w:sz w:val="14"/>
                <w:szCs w:val="14"/>
                <w:b w:val="1"/>
                <w:bCs w:val="1"/>
                <w:color w:val="auto"/>
              </w:rPr>
              <w:t>2023:</w:t>
            </w:r>
          </w:p>
        </w:tc>
        <w:tc>
          <w:tcPr>
            <w:tcW w:w="620" w:type="dxa"/>
            <w:vAlign w:val="bottom"/>
          </w:tcPr>
          <w:p>
            <w:pPr>
              <w:jc w:val="right"/>
              <w:spacing w:after="0"/>
              <w:rPr>
                <w:sz w:val="20"/>
                <w:szCs w:val="20"/>
                <w:color w:val="auto"/>
              </w:rPr>
            </w:pPr>
            <w:r>
              <w:rPr>
                <w:rFonts w:ascii="Calibri" w:cs="Calibri" w:eastAsia="Calibri" w:hAnsi="Calibri"/>
                <w:sz w:val="14"/>
                <w:szCs w:val="14"/>
                <w:b w:val="1"/>
                <w:bCs w:val="1"/>
                <w:color w:val="auto"/>
              </w:rPr>
              <w:t>$0.58</w:t>
            </w:r>
          </w:p>
        </w:tc>
      </w:tr>
      <w:tr>
        <w:trPr>
          <w:trHeight w:val="88"/>
        </w:trPr>
        <w:tc>
          <w:tcPr>
            <w:tcW w:w="2400" w:type="dxa"/>
            <w:vAlign w:val="bottom"/>
            <w:tcBorders>
              <w:bottom w:val="single" w:sz="8" w:color="auto"/>
            </w:tcBorders>
            <w:gridSpan w:val="2"/>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r>
      <w:tr>
        <w:trPr>
          <w:trHeight w:val="203"/>
        </w:trPr>
        <w:tc>
          <w:tcPr>
            <w:tcW w:w="2400" w:type="dxa"/>
            <w:vAlign w:val="bottom"/>
            <w:gridSpan w:val="2"/>
          </w:tcPr>
          <w:p>
            <w:pPr>
              <w:ind w:left="80"/>
              <w:spacing w:after="0"/>
              <w:rPr>
                <w:sz w:val="20"/>
                <w:szCs w:val="20"/>
                <w:color w:val="auto"/>
              </w:rPr>
            </w:pPr>
            <w:r>
              <w:rPr>
                <w:rFonts w:ascii="Calibri" w:cs="Calibri" w:eastAsia="Calibri" w:hAnsi="Calibri"/>
                <w:sz w:val="14"/>
                <w:szCs w:val="14"/>
                <w:b w:val="1"/>
                <w:bCs w:val="1"/>
                <w:color w:val="auto"/>
              </w:rPr>
              <w:t>2023 (adjusted):</w:t>
            </w:r>
          </w:p>
        </w:tc>
        <w:tc>
          <w:tcPr>
            <w:tcW w:w="620" w:type="dxa"/>
            <w:vAlign w:val="bottom"/>
          </w:tcPr>
          <w:p>
            <w:pPr>
              <w:jc w:val="right"/>
              <w:spacing w:after="0"/>
              <w:rPr>
                <w:sz w:val="20"/>
                <w:szCs w:val="20"/>
                <w:color w:val="auto"/>
              </w:rPr>
            </w:pPr>
            <w:r>
              <w:rPr>
                <w:rFonts w:ascii="Calibri" w:cs="Calibri" w:eastAsia="Calibri" w:hAnsi="Calibri"/>
                <w:sz w:val="14"/>
                <w:szCs w:val="14"/>
                <w:b w:val="1"/>
                <w:bCs w:val="1"/>
                <w:color w:val="auto"/>
              </w:rPr>
              <w:t>$2.66</w:t>
            </w:r>
          </w:p>
        </w:tc>
      </w:tr>
      <w:tr>
        <w:trPr>
          <w:trHeight w:val="230"/>
        </w:trPr>
        <w:tc>
          <w:tcPr>
            <w:tcW w:w="260" w:type="dxa"/>
            <w:vAlign w:val="bottom"/>
          </w:tcPr>
          <w:p>
            <w:pPr>
              <w:ind w:left="80"/>
              <w:spacing w:after="0"/>
              <w:rPr>
                <w:sz w:val="20"/>
                <w:szCs w:val="20"/>
                <w:color w:val="auto"/>
              </w:rPr>
            </w:pPr>
            <w:r>
              <w:rPr>
                <w:rFonts w:ascii="Calibri" w:cs="Calibri" w:eastAsia="Calibri" w:hAnsi="Calibri"/>
                <w:sz w:val="14"/>
                <w:szCs w:val="14"/>
                <w:b w:val="1"/>
                <w:bCs w:val="1"/>
                <w:color w:val="auto"/>
                <w:w w:val="95"/>
              </w:rPr>
              <w:t>Q4</w:t>
            </w:r>
          </w:p>
        </w:tc>
        <w:tc>
          <w:tcPr>
            <w:tcW w:w="2140" w:type="dxa"/>
            <w:vAlign w:val="bottom"/>
          </w:tcPr>
          <w:p>
            <w:pPr>
              <w:ind w:left="20"/>
              <w:spacing w:after="0"/>
              <w:rPr>
                <w:sz w:val="20"/>
                <w:szCs w:val="20"/>
                <w:color w:val="auto"/>
              </w:rPr>
            </w:pPr>
            <w:r>
              <w:rPr>
                <w:rFonts w:ascii="Calibri" w:cs="Calibri" w:eastAsia="Calibri" w:hAnsi="Calibri"/>
                <w:sz w:val="14"/>
                <w:szCs w:val="14"/>
                <w:b w:val="1"/>
                <w:bCs w:val="1"/>
                <w:color w:val="auto"/>
              </w:rPr>
              <w:t>2023 (adjusted):</w:t>
            </w:r>
          </w:p>
        </w:tc>
        <w:tc>
          <w:tcPr>
            <w:tcW w:w="620" w:type="dxa"/>
            <w:vAlign w:val="bottom"/>
          </w:tcPr>
          <w:p>
            <w:pPr>
              <w:jc w:val="right"/>
              <w:spacing w:after="0"/>
              <w:rPr>
                <w:sz w:val="20"/>
                <w:szCs w:val="20"/>
                <w:color w:val="auto"/>
              </w:rPr>
            </w:pPr>
            <w:r>
              <w:rPr>
                <w:rFonts w:ascii="Calibri" w:cs="Calibri" w:eastAsia="Calibri" w:hAnsi="Calibri"/>
                <w:sz w:val="14"/>
                <w:szCs w:val="14"/>
                <w:b w:val="1"/>
                <w:bCs w:val="1"/>
                <w:color w:val="auto"/>
              </w:rPr>
              <w:t>$0.58</w:t>
            </w:r>
          </w:p>
        </w:tc>
      </w:tr>
      <w:tr>
        <w:trPr>
          <w:trHeight w:val="276"/>
        </w:trPr>
        <w:tc>
          <w:tcPr>
            <w:tcW w:w="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0"/>
        </w:trPr>
        <w:tc>
          <w:tcPr>
            <w:tcW w:w="260" w:type="dxa"/>
            <w:vAlign w:val="bottom"/>
            <w:shd w:val="clear" w:color="auto" w:fill="0F2F50"/>
          </w:tcPr>
          <w:p>
            <w:pPr>
              <w:spacing w:after="0"/>
              <w:rPr>
                <w:sz w:val="18"/>
                <w:szCs w:val="18"/>
                <w:color w:val="auto"/>
              </w:rPr>
            </w:pPr>
          </w:p>
        </w:tc>
        <w:tc>
          <w:tcPr>
            <w:tcW w:w="2140" w:type="dxa"/>
            <w:vAlign w:val="bottom"/>
            <w:shd w:val="clear" w:color="auto" w:fill="0F2F50"/>
          </w:tcPr>
          <w:p>
            <w:pPr>
              <w:ind w:left="740"/>
              <w:spacing w:after="0"/>
              <w:rPr>
                <w:sz w:val="20"/>
                <w:szCs w:val="20"/>
                <w:color w:val="auto"/>
              </w:rPr>
            </w:pPr>
            <w:r>
              <w:rPr>
                <w:rFonts w:ascii="Calibri" w:cs="Calibri" w:eastAsia="Calibri" w:hAnsi="Calibri"/>
                <w:sz w:val="14"/>
                <w:szCs w:val="14"/>
                <w:b w:val="1"/>
                <w:bCs w:val="1"/>
                <w:color w:val="FFFFFF"/>
              </w:rPr>
              <w:t>Return on Equity</w:t>
            </w:r>
          </w:p>
        </w:tc>
        <w:tc>
          <w:tcPr>
            <w:tcW w:w="620" w:type="dxa"/>
            <w:vAlign w:val="bottom"/>
            <w:shd w:val="clear" w:color="auto" w:fill="0F2F50"/>
          </w:tcPr>
          <w:p>
            <w:pPr>
              <w:spacing w:after="0"/>
              <w:rPr>
                <w:sz w:val="18"/>
                <w:szCs w:val="18"/>
                <w:color w:val="auto"/>
              </w:rPr>
            </w:pPr>
          </w:p>
        </w:tc>
      </w:tr>
      <w:tr>
        <w:trPr>
          <w:trHeight w:val="88"/>
        </w:trPr>
        <w:tc>
          <w:tcPr>
            <w:tcW w:w="2400" w:type="dxa"/>
            <w:vAlign w:val="bottom"/>
            <w:gridSpan w:val="2"/>
            <w:shd w:val="clear" w:color="auto" w:fill="0F2F50"/>
          </w:tcPr>
          <w:p>
            <w:pPr>
              <w:spacing w:after="0"/>
              <w:rPr>
                <w:sz w:val="7"/>
                <w:szCs w:val="7"/>
                <w:color w:val="auto"/>
              </w:rPr>
            </w:pPr>
          </w:p>
        </w:tc>
        <w:tc>
          <w:tcPr>
            <w:tcW w:w="620" w:type="dxa"/>
            <w:vAlign w:val="bottom"/>
            <w:shd w:val="clear" w:color="auto" w:fill="0F2F50"/>
          </w:tcPr>
          <w:p>
            <w:pPr>
              <w:spacing w:after="0"/>
              <w:rPr>
                <w:sz w:val="7"/>
                <w:szCs w:val="7"/>
                <w:color w:val="auto"/>
              </w:rPr>
            </w:pPr>
          </w:p>
        </w:tc>
      </w:tr>
      <w:tr>
        <w:trPr>
          <w:trHeight w:val="210"/>
        </w:trPr>
        <w:tc>
          <w:tcPr>
            <w:tcW w:w="2400" w:type="dxa"/>
            <w:vAlign w:val="bottom"/>
            <w:gridSpan w:val="2"/>
          </w:tcPr>
          <w:p>
            <w:pPr>
              <w:ind w:left="80"/>
              <w:spacing w:after="0"/>
              <w:rPr>
                <w:sz w:val="20"/>
                <w:szCs w:val="20"/>
                <w:color w:val="auto"/>
              </w:rPr>
            </w:pPr>
            <w:r>
              <w:rPr>
                <w:rFonts w:ascii="Calibri" w:cs="Calibri" w:eastAsia="Calibri" w:hAnsi="Calibri"/>
                <w:sz w:val="14"/>
                <w:szCs w:val="14"/>
                <w:b w:val="1"/>
                <w:bCs w:val="1"/>
                <w:color w:val="auto"/>
              </w:rPr>
              <w:t>2023 (NII):</w:t>
            </w:r>
          </w:p>
        </w:tc>
        <w:tc>
          <w:tcPr>
            <w:tcW w:w="620" w:type="dxa"/>
            <w:vAlign w:val="bottom"/>
          </w:tcPr>
          <w:p>
            <w:pPr>
              <w:jc w:val="right"/>
              <w:spacing w:after="0"/>
              <w:rPr>
                <w:sz w:val="20"/>
                <w:szCs w:val="20"/>
                <w:color w:val="auto"/>
              </w:rPr>
            </w:pPr>
            <w:r>
              <w:rPr>
                <w:rFonts w:ascii="Calibri" w:cs="Calibri" w:eastAsia="Calibri" w:hAnsi="Calibri"/>
                <w:sz w:val="14"/>
                <w:szCs w:val="14"/>
                <w:b w:val="1"/>
                <w:bCs w:val="1"/>
                <w:color w:val="auto"/>
              </w:rPr>
              <w:t>14.1%</w:t>
            </w:r>
          </w:p>
        </w:tc>
      </w:tr>
      <w:tr>
        <w:trPr>
          <w:trHeight w:val="230"/>
        </w:trPr>
        <w:tc>
          <w:tcPr>
            <w:tcW w:w="260" w:type="dxa"/>
            <w:vAlign w:val="bottom"/>
          </w:tcPr>
          <w:p>
            <w:pPr>
              <w:ind w:left="80"/>
              <w:spacing w:after="0"/>
              <w:rPr>
                <w:sz w:val="20"/>
                <w:szCs w:val="20"/>
                <w:color w:val="auto"/>
              </w:rPr>
            </w:pPr>
            <w:r>
              <w:rPr>
                <w:rFonts w:ascii="Calibri" w:cs="Calibri" w:eastAsia="Calibri" w:hAnsi="Calibri"/>
                <w:sz w:val="14"/>
                <w:szCs w:val="14"/>
                <w:b w:val="1"/>
                <w:bCs w:val="1"/>
                <w:color w:val="auto"/>
                <w:w w:val="95"/>
              </w:rPr>
              <w:t>Q4</w:t>
            </w:r>
          </w:p>
        </w:tc>
        <w:tc>
          <w:tcPr>
            <w:tcW w:w="2140" w:type="dxa"/>
            <w:vAlign w:val="bottom"/>
          </w:tcPr>
          <w:p>
            <w:pPr>
              <w:ind w:left="20"/>
              <w:spacing w:after="0"/>
              <w:rPr>
                <w:sz w:val="20"/>
                <w:szCs w:val="20"/>
                <w:color w:val="auto"/>
              </w:rPr>
            </w:pPr>
            <w:r>
              <w:rPr>
                <w:rFonts w:ascii="Calibri" w:cs="Calibri" w:eastAsia="Calibri" w:hAnsi="Calibri"/>
                <w:sz w:val="14"/>
                <w:szCs w:val="14"/>
                <w:b w:val="1"/>
                <w:bCs w:val="1"/>
                <w:color w:val="auto"/>
              </w:rPr>
              <w:t>2023 (NII):</w:t>
            </w:r>
          </w:p>
        </w:tc>
        <w:tc>
          <w:tcPr>
            <w:tcW w:w="620" w:type="dxa"/>
            <w:vAlign w:val="bottom"/>
          </w:tcPr>
          <w:p>
            <w:pPr>
              <w:jc w:val="right"/>
              <w:spacing w:after="0"/>
              <w:rPr>
                <w:sz w:val="20"/>
                <w:szCs w:val="20"/>
                <w:color w:val="auto"/>
              </w:rPr>
            </w:pPr>
            <w:r>
              <w:rPr>
                <w:rFonts w:ascii="Calibri" w:cs="Calibri" w:eastAsia="Calibri" w:hAnsi="Calibri"/>
                <w:sz w:val="14"/>
                <w:szCs w:val="14"/>
                <w:b w:val="1"/>
                <w:bCs w:val="1"/>
                <w:color w:val="auto"/>
              </w:rPr>
              <w:t>14.7%</w:t>
            </w:r>
          </w:p>
        </w:tc>
      </w:tr>
    </w:tbl>
    <w:p>
      <w:pPr>
        <w:spacing w:after="0" w:line="1" w:lineRule="exact"/>
        <w:rPr>
          <w:sz w:val="20"/>
          <w:szCs w:val="20"/>
          <w:color w:val="auto"/>
        </w:rPr>
      </w:pPr>
    </w:p>
    <w:p>
      <w:pPr>
        <w:sectPr>
          <w:pgSz w:w="11900" w:h="16838" w:orient="portrait"/>
          <w:cols w:equalWidth="0" w:num="2">
            <w:col w:w="8020" w:space="140"/>
            <w:col w:w="3080"/>
          </w:cols>
          <w:pgMar w:left="320" w:top="760" w:right="339" w:bottom="1440" w:gutter="0" w:footer="0" w:header="0"/>
          <w:type w:val="continuous"/>
        </w:sectPr>
      </w:pPr>
    </w:p>
    <w:p>
      <w:pPr>
        <w:ind w:left="80"/>
        <w:spacing w:after="0" w:line="233" w:lineRule="auto"/>
        <w:rPr>
          <w:sz w:val="20"/>
          <w:szCs w:val="20"/>
          <w:color w:val="auto"/>
        </w:rPr>
      </w:pPr>
      <w:r>
        <w:rPr>
          <w:rFonts w:ascii="Calibri" w:cs="Calibri" w:eastAsia="Calibri" w:hAnsi="Calibri"/>
          <w:sz w:val="17"/>
          <w:szCs w:val="17"/>
          <w:color w:val="auto"/>
        </w:rPr>
        <w:t>Reported net asset value (NAV) per share was $17.04 at December 31, 2023 as compared to $16.97 at September 30, 2023. The Company announced that its Board of Directors has declared a frst quarter 2024 base dividend of $0.46 per share to shareholders of record as of March 15, 2024 and payable on March 28, 2024. The Board also announced a fourth quarter supplemental dividend of $0.08 per share to shareholders of record as of February 29, 2024, payable on March 20, 2024. Adjusted for the impact of the supplemental dividend related to this quarter’s earnings, the Company’s Q4 adjusted NAV per share was $16.96. The primary drivers of this year’s NAV per share growth were the over-earning of our base dividend through net investment income, accretve capital markets transactons, and realized and unrealized gains on investments.</w:t>
      </w:r>
    </w:p>
    <w:p>
      <w:pPr>
        <w:spacing w:after="0" w:line="109" w:lineRule="exact"/>
        <w:rPr>
          <w:sz w:val="20"/>
          <w:szCs w:val="20"/>
          <w:color w:val="auto"/>
        </w:rPr>
      </w:pPr>
    </w:p>
    <w:p>
      <w:pPr>
        <w:jc w:val="both"/>
        <w:ind w:left="80"/>
        <w:spacing w:after="0"/>
        <w:rPr>
          <w:sz w:val="20"/>
          <w:szCs w:val="20"/>
          <w:color w:val="auto"/>
        </w:rPr>
      </w:pPr>
      <w:r>
        <w:rPr>
          <w:rFonts w:ascii="Calibri" w:cs="Calibri" w:eastAsia="Calibri" w:hAnsi="Calibri"/>
          <w:sz w:val="17"/>
          <w:szCs w:val="17"/>
          <w:color w:val="auto"/>
        </w:rPr>
        <w:t>Post-quarter end, the Company issued $350.0 million aggregate principal amount of unsecured notes that mature on March 1, 2029 (the "2029 Notes"). The 2029 Notes bear interest at a rate of 6.125% per year. The Company used the net proceeds of the 2029 Notes to repay outstanding indebtedness under the Revolving Credit Facility.</w:t>
      </w:r>
    </w:p>
    <w:p>
      <w:pPr>
        <w:spacing w:after="0" w:line="295" w:lineRule="exact"/>
        <w:rPr>
          <w:sz w:val="20"/>
          <w:szCs w:val="20"/>
          <w:color w:val="auto"/>
        </w:rPr>
      </w:pPr>
    </w:p>
    <w:p>
      <w:pPr>
        <w:jc w:val="both"/>
        <w:ind w:left="80" w:right="20"/>
        <w:spacing w:after="0" w:line="234" w:lineRule="auto"/>
        <w:rPr>
          <w:sz w:val="20"/>
          <w:szCs w:val="20"/>
          <w:color w:val="auto"/>
        </w:rPr>
      </w:pPr>
      <w:r>
        <w:rPr>
          <w:rFonts w:ascii="Calibri" w:cs="Calibri" w:eastAsia="Calibri" w:hAnsi="Calibri"/>
          <w:sz w:val="17"/>
          <w:szCs w:val="17"/>
          <w:color w:val="auto"/>
        </w:rPr>
        <w:t>In connecton with the ofering, the Company entered into an interest rate swap to beter align the interest rate of its liabilites with the Company's investment portolio, which consists of predominately foatng rate loans. As a result of the swap, the Company's efectve interest rate on the 2029 Notes is SOFR plus 243 basis points.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380" w:type="dxa"/>
            <w:vAlign w:val="bottom"/>
            <w:gridSpan w:val="2"/>
          </w:tcPr>
          <w:p>
            <w:pPr>
              <w:ind w:left="80"/>
              <w:spacing w:after="0"/>
              <w:rPr>
                <w:sz w:val="20"/>
                <w:szCs w:val="20"/>
                <w:color w:val="auto"/>
              </w:rPr>
            </w:pPr>
            <w:r>
              <w:rPr>
                <w:rFonts w:ascii="Calibri" w:cs="Calibri" w:eastAsia="Calibri" w:hAnsi="Calibri"/>
                <w:sz w:val="14"/>
                <w:szCs w:val="14"/>
                <w:b w:val="1"/>
                <w:bCs w:val="1"/>
                <w:color w:val="auto"/>
                <w:w w:val="98"/>
              </w:rPr>
              <w:t>2023</w:t>
            </w:r>
          </w:p>
        </w:tc>
        <w:tc>
          <w:tcPr>
            <w:tcW w:w="208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(NI):</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15.9%</w:t>
            </w:r>
          </w:p>
        </w:tc>
      </w:tr>
      <w:tr>
        <w:trPr>
          <w:trHeight w:val="230"/>
        </w:trPr>
        <w:tc>
          <w:tcPr>
            <w:tcW w:w="260" w:type="dxa"/>
            <w:vAlign w:val="bottom"/>
          </w:tcPr>
          <w:p>
            <w:pPr>
              <w:ind w:left="80"/>
              <w:spacing w:after="0"/>
              <w:rPr>
                <w:sz w:val="20"/>
                <w:szCs w:val="20"/>
                <w:color w:val="auto"/>
              </w:rPr>
            </w:pPr>
            <w:r>
              <w:rPr>
                <w:rFonts w:ascii="Calibri" w:cs="Calibri" w:eastAsia="Calibri" w:hAnsi="Calibri"/>
                <w:sz w:val="14"/>
                <w:szCs w:val="14"/>
                <w:b w:val="1"/>
                <w:bCs w:val="1"/>
                <w:color w:val="auto"/>
                <w:w w:val="95"/>
              </w:rPr>
              <w:t>Q4</w:t>
            </w:r>
          </w:p>
        </w:tc>
        <w:tc>
          <w:tcPr>
            <w:tcW w:w="320" w:type="dxa"/>
            <w:vAlign w:val="bottom"/>
            <w:gridSpan w:val="2"/>
          </w:tcPr>
          <w:p>
            <w:pPr>
              <w:jc w:val="right"/>
              <w:spacing w:after="0"/>
              <w:rPr>
                <w:sz w:val="20"/>
                <w:szCs w:val="20"/>
                <w:color w:val="auto"/>
              </w:rPr>
            </w:pPr>
            <w:r>
              <w:rPr>
                <w:rFonts w:ascii="Calibri" w:cs="Calibri" w:eastAsia="Calibri" w:hAnsi="Calibri"/>
                <w:sz w:val="14"/>
                <w:szCs w:val="14"/>
                <w:b w:val="1"/>
                <w:bCs w:val="1"/>
                <w:color w:val="auto"/>
                <w:w w:val="98"/>
              </w:rPr>
              <w:t>2023</w:t>
            </w:r>
          </w:p>
        </w:tc>
        <w:tc>
          <w:tcPr>
            <w:tcW w:w="1880" w:type="dxa"/>
            <w:vAlign w:val="bottom"/>
          </w:tcPr>
          <w:p>
            <w:pPr>
              <w:ind w:left="20"/>
              <w:spacing w:after="0"/>
              <w:rPr>
                <w:sz w:val="20"/>
                <w:szCs w:val="20"/>
                <w:color w:val="auto"/>
              </w:rPr>
            </w:pPr>
            <w:r>
              <w:rPr>
                <w:rFonts w:ascii="Calibri" w:cs="Calibri" w:eastAsia="Calibri" w:hAnsi="Calibri"/>
                <w:sz w:val="14"/>
                <w:szCs w:val="14"/>
                <w:b w:val="1"/>
                <w:bCs w:val="1"/>
                <w:color w:val="auto"/>
              </w:rPr>
              <w:t>(NI):</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13.8%</w:t>
            </w:r>
          </w:p>
        </w:tc>
      </w:tr>
      <w:tr>
        <w:trPr>
          <w:trHeight w:val="87"/>
        </w:trPr>
        <w:tc>
          <w:tcPr>
            <w:tcW w:w="380" w:type="dxa"/>
            <w:vAlign w:val="bottom"/>
            <w:tcBorders>
              <w:bottom w:val="single" w:sz="8" w:color="auto"/>
            </w:tcBorders>
            <w:gridSpan w:val="2"/>
          </w:tcPr>
          <w:p>
            <w:pPr>
              <w:spacing w:after="0"/>
              <w:rPr>
                <w:sz w:val="7"/>
                <w:szCs w:val="7"/>
                <w:color w:val="auto"/>
              </w:rPr>
            </w:pPr>
          </w:p>
        </w:tc>
        <w:tc>
          <w:tcPr>
            <w:tcW w:w="2080" w:type="dxa"/>
            <w:vAlign w:val="bottom"/>
            <w:tcBorders>
              <w:bottom w:val="single" w:sz="8" w:color="auto"/>
            </w:tcBorders>
            <w:gridSpan w:val="2"/>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r>
      <w:tr>
        <w:trPr>
          <w:trHeight w:val="203"/>
        </w:trPr>
        <w:tc>
          <w:tcPr>
            <w:tcW w:w="380" w:type="dxa"/>
            <w:vAlign w:val="bottom"/>
            <w:gridSpan w:val="2"/>
          </w:tcPr>
          <w:p>
            <w:pPr>
              <w:ind w:left="80"/>
              <w:spacing w:after="0"/>
              <w:rPr>
                <w:sz w:val="20"/>
                <w:szCs w:val="20"/>
                <w:color w:val="auto"/>
              </w:rPr>
            </w:pPr>
            <w:r>
              <w:rPr>
                <w:rFonts w:ascii="Calibri" w:cs="Calibri" w:eastAsia="Calibri" w:hAnsi="Calibri"/>
                <w:sz w:val="14"/>
                <w:szCs w:val="14"/>
                <w:b w:val="1"/>
                <w:bCs w:val="1"/>
                <w:color w:val="auto"/>
                <w:w w:val="98"/>
              </w:rPr>
              <w:t>2023</w:t>
            </w:r>
          </w:p>
        </w:tc>
        <w:tc>
          <w:tcPr>
            <w:tcW w:w="208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(Adj. NII):</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14.4%</w:t>
            </w:r>
          </w:p>
        </w:tc>
      </w:tr>
      <w:tr>
        <w:trPr>
          <w:trHeight w:val="230"/>
        </w:trPr>
        <w:tc>
          <w:tcPr>
            <w:tcW w:w="260" w:type="dxa"/>
            <w:vAlign w:val="bottom"/>
          </w:tcPr>
          <w:p>
            <w:pPr>
              <w:ind w:left="80"/>
              <w:spacing w:after="0"/>
              <w:rPr>
                <w:sz w:val="20"/>
                <w:szCs w:val="20"/>
                <w:color w:val="auto"/>
              </w:rPr>
            </w:pPr>
            <w:r>
              <w:rPr>
                <w:rFonts w:ascii="Calibri" w:cs="Calibri" w:eastAsia="Calibri" w:hAnsi="Calibri"/>
                <w:sz w:val="14"/>
                <w:szCs w:val="14"/>
                <w:b w:val="1"/>
                <w:bCs w:val="1"/>
                <w:color w:val="auto"/>
                <w:w w:val="95"/>
              </w:rPr>
              <w:t>Q4</w:t>
            </w:r>
          </w:p>
        </w:tc>
        <w:tc>
          <w:tcPr>
            <w:tcW w:w="320" w:type="dxa"/>
            <w:vAlign w:val="bottom"/>
            <w:gridSpan w:val="2"/>
          </w:tcPr>
          <w:p>
            <w:pPr>
              <w:jc w:val="right"/>
              <w:spacing w:after="0"/>
              <w:rPr>
                <w:sz w:val="20"/>
                <w:szCs w:val="20"/>
                <w:color w:val="auto"/>
              </w:rPr>
            </w:pPr>
            <w:r>
              <w:rPr>
                <w:rFonts w:ascii="Calibri" w:cs="Calibri" w:eastAsia="Calibri" w:hAnsi="Calibri"/>
                <w:sz w:val="14"/>
                <w:szCs w:val="14"/>
                <w:b w:val="1"/>
                <w:bCs w:val="1"/>
                <w:color w:val="auto"/>
                <w:w w:val="98"/>
              </w:rPr>
              <w:t>2023</w:t>
            </w:r>
          </w:p>
        </w:tc>
        <w:tc>
          <w:tcPr>
            <w:tcW w:w="1880" w:type="dxa"/>
            <w:vAlign w:val="bottom"/>
          </w:tcPr>
          <w:p>
            <w:pPr>
              <w:ind w:left="20"/>
              <w:spacing w:after="0"/>
              <w:rPr>
                <w:sz w:val="20"/>
                <w:szCs w:val="20"/>
                <w:color w:val="auto"/>
              </w:rPr>
            </w:pPr>
            <w:r>
              <w:rPr>
                <w:rFonts w:ascii="Calibri" w:cs="Calibri" w:eastAsia="Calibri" w:hAnsi="Calibri"/>
                <w:sz w:val="14"/>
                <w:szCs w:val="14"/>
                <w:b w:val="1"/>
                <w:bCs w:val="1"/>
                <w:color w:val="auto"/>
              </w:rPr>
              <w:t>(Adj. NII):</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14.5%</w:t>
            </w:r>
          </w:p>
        </w:tc>
      </w:tr>
      <w:tr>
        <w:trPr>
          <w:trHeight w:val="87"/>
        </w:trPr>
        <w:tc>
          <w:tcPr>
            <w:tcW w:w="380" w:type="dxa"/>
            <w:vAlign w:val="bottom"/>
            <w:tcBorders>
              <w:bottom w:val="single" w:sz="8" w:color="auto"/>
            </w:tcBorders>
            <w:gridSpan w:val="2"/>
          </w:tcPr>
          <w:p>
            <w:pPr>
              <w:spacing w:after="0"/>
              <w:rPr>
                <w:sz w:val="7"/>
                <w:szCs w:val="7"/>
                <w:color w:val="auto"/>
              </w:rPr>
            </w:pPr>
          </w:p>
        </w:tc>
        <w:tc>
          <w:tcPr>
            <w:tcW w:w="2080" w:type="dxa"/>
            <w:vAlign w:val="bottom"/>
            <w:tcBorders>
              <w:bottom w:val="single" w:sz="8" w:color="auto"/>
            </w:tcBorders>
            <w:gridSpan w:val="2"/>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r>
      <w:tr>
        <w:trPr>
          <w:trHeight w:val="203"/>
        </w:trPr>
        <w:tc>
          <w:tcPr>
            <w:tcW w:w="380" w:type="dxa"/>
            <w:vAlign w:val="bottom"/>
            <w:gridSpan w:val="2"/>
          </w:tcPr>
          <w:p>
            <w:pPr>
              <w:ind w:left="80"/>
              <w:spacing w:after="0"/>
              <w:rPr>
                <w:sz w:val="20"/>
                <w:szCs w:val="20"/>
                <w:color w:val="auto"/>
              </w:rPr>
            </w:pPr>
            <w:r>
              <w:rPr>
                <w:rFonts w:ascii="Calibri" w:cs="Calibri" w:eastAsia="Calibri" w:hAnsi="Calibri"/>
                <w:sz w:val="14"/>
                <w:szCs w:val="14"/>
                <w:b w:val="1"/>
                <w:bCs w:val="1"/>
                <w:color w:val="auto"/>
                <w:w w:val="98"/>
              </w:rPr>
              <w:t>2023</w:t>
            </w:r>
          </w:p>
        </w:tc>
        <w:tc>
          <w:tcPr>
            <w:tcW w:w="208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(Adj. NI):</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16.2%</w:t>
            </w:r>
          </w:p>
        </w:tc>
      </w:tr>
      <w:tr>
        <w:trPr>
          <w:trHeight w:val="230"/>
        </w:trPr>
        <w:tc>
          <w:tcPr>
            <w:tcW w:w="260" w:type="dxa"/>
            <w:vAlign w:val="bottom"/>
          </w:tcPr>
          <w:p>
            <w:pPr>
              <w:ind w:left="80"/>
              <w:spacing w:after="0"/>
              <w:rPr>
                <w:sz w:val="20"/>
                <w:szCs w:val="20"/>
                <w:color w:val="auto"/>
              </w:rPr>
            </w:pPr>
            <w:r>
              <w:rPr>
                <w:rFonts w:ascii="Calibri" w:cs="Calibri" w:eastAsia="Calibri" w:hAnsi="Calibri"/>
                <w:sz w:val="14"/>
                <w:szCs w:val="14"/>
                <w:b w:val="1"/>
                <w:bCs w:val="1"/>
                <w:color w:val="auto"/>
                <w:w w:val="95"/>
              </w:rPr>
              <w:t>Q4</w:t>
            </w:r>
          </w:p>
        </w:tc>
        <w:tc>
          <w:tcPr>
            <w:tcW w:w="320" w:type="dxa"/>
            <w:vAlign w:val="bottom"/>
            <w:gridSpan w:val="2"/>
          </w:tcPr>
          <w:p>
            <w:pPr>
              <w:jc w:val="right"/>
              <w:spacing w:after="0"/>
              <w:rPr>
                <w:sz w:val="20"/>
                <w:szCs w:val="20"/>
                <w:color w:val="auto"/>
              </w:rPr>
            </w:pPr>
            <w:r>
              <w:rPr>
                <w:rFonts w:ascii="Calibri" w:cs="Calibri" w:eastAsia="Calibri" w:hAnsi="Calibri"/>
                <w:sz w:val="14"/>
                <w:szCs w:val="14"/>
                <w:b w:val="1"/>
                <w:bCs w:val="1"/>
                <w:color w:val="auto"/>
                <w:w w:val="98"/>
              </w:rPr>
              <w:t>2023</w:t>
            </w:r>
          </w:p>
        </w:tc>
        <w:tc>
          <w:tcPr>
            <w:tcW w:w="1880" w:type="dxa"/>
            <w:vAlign w:val="bottom"/>
          </w:tcPr>
          <w:p>
            <w:pPr>
              <w:ind w:left="20"/>
              <w:spacing w:after="0"/>
              <w:rPr>
                <w:sz w:val="20"/>
                <w:szCs w:val="20"/>
                <w:color w:val="auto"/>
              </w:rPr>
            </w:pPr>
            <w:r>
              <w:rPr>
                <w:rFonts w:ascii="Calibri" w:cs="Calibri" w:eastAsia="Calibri" w:hAnsi="Calibri"/>
                <w:sz w:val="14"/>
                <w:szCs w:val="14"/>
                <w:b w:val="1"/>
                <w:bCs w:val="1"/>
                <w:color w:val="auto"/>
              </w:rPr>
              <w:t>(Adj. NI):</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13.6%</w:t>
            </w:r>
          </w:p>
        </w:tc>
      </w:tr>
      <w:tr>
        <w:trPr>
          <w:trHeight w:val="276"/>
        </w:trPr>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0"/>
        </w:trPr>
        <w:tc>
          <w:tcPr>
            <w:tcW w:w="260" w:type="dxa"/>
            <w:vAlign w:val="bottom"/>
            <w:shd w:val="clear" w:color="auto" w:fill="0F2F50"/>
          </w:tcPr>
          <w:p>
            <w:pPr>
              <w:spacing w:after="0"/>
              <w:rPr>
                <w:sz w:val="18"/>
                <w:szCs w:val="18"/>
                <w:color w:val="auto"/>
              </w:rPr>
            </w:pPr>
          </w:p>
        </w:tc>
        <w:tc>
          <w:tcPr>
            <w:tcW w:w="120" w:type="dxa"/>
            <w:vAlign w:val="bottom"/>
            <w:shd w:val="clear" w:color="auto" w:fill="0F2F50"/>
          </w:tcPr>
          <w:p>
            <w:pPr>
              <w:spacing w:after="0"/>
              <w:rPr>
                <w:sz w:val="18"/>
                <w:szCs w:val="18"/>
                <w:color w:val="auto"/>
              </w:rPr>
            </w:pPr>
          </w:p>
        </w:tc>
        <w:tc>
          <w:tcPr>
            <w:tcW w:w="200" w:type="dxa"/>
            <w:vAlign w:val="bottom"/>
            <w:shd w:val="clear" w:color="auto" w:fill="0F2F50"/>
          </w:tcPr>
          <w:p>
            <w:pPr>
              <w:spacing w:after="0"/>
              <w:rPr>
                <w:sz w:val="18"/>
                <w:szCs w:val="18"/>
                <w:color w:val="auto"/>
              </w:rPr>
            </w:pPr>
          </w:p>
        </w:tc>
        <w:tc>
          <w:tcPr>
            <w:tcW w:w="1880" w:type="dxa"/>
            <w:vAlign w:val="bottom"/>
            <w:shd w:val="clear" w:color="auto" w:fill="0F2F50"/>
          </w:tcPr>
          <w:p>
            <w:pPr>
              <w:ind w:left="800"/>
              <w:spacing w:after="0"/>
              <w:rPr>
                <w:sz w:val="20"/>
                <w:szCs w:val="20"/>
                <w:color w:val="auto"/>
              </w:rPr>
            </w:pPr>
            <w:r>
              <w:rPr>
                <w:rFonts w:ascii="Calibri" w:cs="Calibri" w:eastAsia="Calibri" w:hAnsi="Calibri"/>
                <w:sz w:val="14"/>
                <w:szCs w:val="14"/>
                <w:b w:val="1"/>
                <w:bCs w:val="1"/>
                <w:color w:val="FFFFFF"/>
              </w:rPr>
              <w:t>NAV</w:t>
            </w:r>
          </w:p>
        </w:tc>
        <w:tc>
          <w:tcPr>
            <w:tcW w:w="560" w:type="dxa"/>
            <w:vAlign w:val="bottom"/>
            <w:shd w:val="clear" w:color="auto" w:fill="0F2F50"/>
          </w:tcPr>
          <w:p>
            <w:pPr>
              <w:spacing w:after="0"/>
              <w:rPr>
                <w:sz w:val="18"/>
                <w:szCs w:val="18"/>
                <w:color w:val="auto"/>
              </w:rPr>
            </w:pPr>
          </w:p>
        </w:tc>
      </w:tr>
      <w:tr>
        <w:trPr>
          <w:trHeight w:val="87"/>
        </w:trPr>
        <w:tc>
          <w:tcPr>
            <w:tcW w:w="260" w:type="dxa"/>
            <w:vAlign w:val="bottom"/>
            <w:shd w:val="clear" w:color="auto" w:fill="0F2F50"/>
          </w:tcPr>
          <w:p>
            <w:pPr>
              <w:spacing w:after="0"/>
              <w:rPr>
                <w:sz w:val="7"/>
                <w:szCs w:val="7"/>
                <w:color w:val="auto"/>
              </w:rPr>
            </w:pPr>
          </w:p>
        </w:tc>
        <w:tc>
          <w:tcPr>
            <w:tcW w:w="320" w:type="dxa"/>
            <w:vAlign w:val="bottom"/>
            <w:gridSpan w:val="2"/>
            <w:shd w:val="clear" w:color="auto" w:fill="0F2F50"/>
          </w:tcPr>
          <w:p>
            <w:pPr>
              <w:spacing w:after="0"/>
              <w:rPr>
                <w:sz w:val="7"/>
                <w:szCs w:val="7"/>
                <w:color w:val="auto"/>
              </w:rPr>
            </w:pPr>
          </w:p>
        </w:tc>
        <w:tc>
          <w:tcPr>
            <w:tcW w:w="1880" w:type="dxa"/>
            <w:vAlign w:val="bottom"/>
            <w:shd w:val="clear" w:color="auto" w:fill="0F2F50"/>
          </w:tcPr>
          <w:p>
            <w:pPr>
              <w:spacing w:after="0"/>
              <w:rPr>
                <w:sz w:val="7"/>
                <w:szCs w:val="7"/>
                <w:color w:val="auto"/>
              </w:rPr>
            </w:pPr>
          </w:p>
        </w:tc>
        <w:tc>
          <w:tcPr>
            <w:tcW w:w="560" w:type="dxa"/>
            <w:vAlign w:val="bottom"/>
            <w:shd w:val="clear" w:color="auto" w:fill="0F2F50"/>
          </w:tcPr>
          <w:p>
            <w:pPr>
              <w:spacing w:after="0"/>
              <w:rPr>
                <w:sz w:val="7"/>
                <w:szCs w:val="7"/>
                <w:color w:val="auto"/>
              </w:rPr>
            </w:pPr>
          </w:p>
        </w:tc>
      </w:tr>
      <w:tr>
        <w:trPr>
          <w:trHeight w:val="210"/>
        </w:trPr>
        <w:tc>
          <w:tcPr>
            <w:tcW w:w="260" w:type="dxa"/>
            <w:vAlign w:val="bottom"/>
          </w:tcPr>
          <w:p>
            <w:pPr>
              <w:ind w:left="80"/>
              <w:spacing w:after="0"/>
              <w:rPr>
                <w:sz w:val="20"/>
                <w:szCs w:val="20"/>
                <w:color w:val="auto"/>
              </w:rPr>
            </w:pPr>
            <w:r>
              <w:rPr>
                <w:rFonts w:ascii="Calibri" w:cs="Calibri" w:eastAsia="Calibri" w:hAnsi="Calibri"/>
                <w:sz w:val="14"/>
                <w:szCs w:val="14"/>
                <w:b w:val="1"/>
                <w:bCs w:val="1"/>
                <w:color w:val="auto"/>
                <w:w w:val="95"/>
              </w:rPr>
              <w:t>Q4</w:t>
            </w:r>
          </w:p>
        </w:tc>
        <w:tc>
          <w:tcPr>
            <w:tcW w:w="320" w:type="dxa"/>
            <w:vAlign w:val="bottom"/>
            <w:gridSpan w:val="2"/>
          </w:tcPr>
          <w:p>
            <w:pPr>
              <w:jc w:val="right"/>
              <w:spacing w:after="0"/>
              <w:rPr>
                <w:sz w:val="20"/>
                <w:szCs w:val="20"/>
                <w:color w:val="auto"/>
              </w:rPr>
            </w:pPr>
            <w:r>
              <w:rPr>
                <w:rFonts w:ascii="Calibri" w:cs="Calibri" w:eastAsia="Calibri" w:hAnsi="Calibri"/>
                <w:sz w:val="14"/>
                <w:szCs w:val="14"/>
                <w:b w:val="1"/>
                <w:bCs w:val="1"/>
                <w:color w:val="auto"/>
                <w:w w:val="98"/>
              </w:rPr>
              <w:t>2023</w:t>
            </w:r>
          </w:p>
        </w:tc>
        <w:tc>
          <w:tcPr>
            <w:tcW w:w="1880" w:type="dxa"/>
            <w:vAlign w:val="bottom"/>
          </w:tcPr>
          <w:p>
            <w:pPr>
              <w:ind w:left="20"/>
              <w:spacing w:after="0"/>
              <w:rPr>
                <w:sz w:val="20"/>
                <w:szCs w:val="20"/>
                <w:color w:val="auto"/>
              </w:rPr>
            </w:pPr>
            <w:r>
              <w:rPr>
                <w:rFonts w:ascii="Calibri" w:cs="Calibri" w:eastAsia="Calibri" w:hAnsi="Calibri"/>
                <w:sz w:val="14"/>
                <w:szCs w:val="14"/>
                <w:b w:val="1"/>
                <w:bCs w:val="1"/>
                <w:color w:val="auto"/>
              </w:rPr>
              <w:t>($MM):</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$1,496.4</w:t>
            </w:r>
          </w:p>
        </w:tc>
      </w:tr>
      <w:tr>
        <w:trPr>
          <w:trHeight w:val="87"/>
        </w:trPr>
        <w:tc>
          <w:tcPr>
            <w:tcW w:w="2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gridSpan w:val="2"/>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r>
      <w:tr>
        <w:trPr>
          <w:trHeight w:val="203"/>
        </w:trPr>
        <w:tc>
          <w:tcPr>
            <w:tcW w:w="260" w:type="dxa"/>
            <w:vAlign w:val="bottom"/>
          </w:tcPr>
          <w:p>
            <w:pPr>
              <w:ind w:left="80"/>
              <w:spacing w:after="0"/>
              <w:rPr>
                <w:sz w:val="20"/>
                <w:szCs w:val="20"/>
                <w:color w:val="auto"/>
              </w:rPr>
            </w:pPr>
            <w:r>
              <w:rPr>
                <w:rFonts w:ascii="Calibri" w:cs="Calibri" w:eastAsia="Calibri" w:hAnsi="Calibri"/>
                <w:sz w:val="14"/>
                <w:szCs w:val="14"/>
                <w:b w:val="1"/>
                <w:bCs w:val="1"/>
                <w:color w:val="auto"/>
                <w:w w:val="95"/>
              </w:rPr>
              <w:t>Q4</w:t>
            </w:r>
          </w:p>
        </w:tc>
        <w:tc>
          <w:tcPr>
            <w:tcW w:w="320" w:type="dxa"/>
            <w:vAlign w:val="bottom"/>
            <w:gridSpan w:val="2"/>
          </w:tcPr>
          <w:p>
            <w:pPr>
              <w:jc w:val="right"/>
              <w:spacing w:after="0"/>
              <w:rPr>
                <w:sz w:val="20"/>
                <w:szCs w:val="20"/>
                <w:color w:val="auto"/>
              </w:rPr>
            </w:pPr>
            <w:r>
              <w:rPr>
                <w:rFonts w:ascii="Calibri" w:cs="Calibri" w:eastAsia="Calibri" w:hAnsi="Calibri"/>
                <w:sz w:val="14"/>
                <w:szCs w:val="14"/>
                <w:b w:val="1"/>
                <w:bCs w:val="1"/>
                <w:color w:val="auto"/>
                <w:w w:val="98"/>
              </w:rPr>
              <w:t>2023</w:t>
            </w:r>
          </w:p>
        </w:tc>
        <w:tc>
          <w:tcPr>
            <w:tcW w:w="1880" w:type="dxa"/>
            <w:vAlign w:val="bottom"/>
          </w:tcPr>
          <w:p>
            <w:pPr>
              <w:ind w:left="20"/>
              <w:spacing w:after="0"/>
              <w:rPr>
                <w:sz w:val="20"/>
                <w:szCs w:val="20"/>
                <w:color w:val="auto"/>
              </w:rPr>
            </w:pPr>
            <w:r>
              <w:rPr>
                <w:rFonts w:ascii="Calibri" w:cs="Calibri" w:eastAsia="Calibri" w:hAnsi="Calibri"/>
                <w:sz w:val="14"/>
                <w:szCs w:val="14"/>
                <w:b w:val="1"/>
                <w:bCs w:val="1"/>
                <w:color w:val="auto"/>
              </w:rPr>
              <w:t>(per share):</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$17.04</w:t>
            </w:r>
          </w:p>
        </w:tc>
      </w:tr>
      <w:tr>
        <w:trPr>
          <w:trHeight w:val="87"/>
        </w:trPr>
        <w:tc>
          <w:tcPr>
            <w:tcW w:w="2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gridSpan w:val="2"/>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r>
      <w:tr>
        <w:trPr>
          <w:trHeight w:val="203"/>
        </w:trPr>
        <w:tc>
          <w:tcPr>
            <w:tcW w:w="260" w:type="dxa"/>
            <w:vAlign w:val="bottom"/>
          </w:tcPr>
          <w:p>
            <w:pPr>
              <w:ind w:left="80"/>
              <w:spacing w:after="0"/>
              <w:rPr>
                <w:sz w:val="20"/>
                <w:szCs w:val="20"/>
                <w:color w:val="auto"/>
              </w:rPr>
            </w:pPr>
            <w:r>
              <w:rPr>
                <w:rFonts w:ascii="Calibri" w:cs="Calibri" w:eastAsia="Calibri" w:hAnsi="Calibri"/>
                <w:sz w:val="14"/>
                <w:szCs w:val="14"/>
                <w:b w:val="1"/>
                <w:bCs w:val="1"/>
                <w:color w:val="auto"/>
                <w:w w:val="95"/>
              </w:rPr>
              <w:t>Q4</w:t>
            </w:r>
          </w:p>
        </w:tc>
        <w:tc>
          <w:tcPr>
            <w:tcW w:w="320" w:type="dxa"/>
            <w:vAlign w:val="bottom"/>
            <w:gridSpan w:val="2"/>
          </w:tcPr>
          <w:p>
            <w:pPr>
              <w:jc w:val="right"/>
              <w:spacing w:after="0"/>
              <w:rPr>
                <w:sz w:val="20"/>
                <w:szCs w:val="20"/>
                <w:color w:val="auto"/>
              </w:rPr>
            </w:pPr>
            <w:r>
              <w:rPr>
                <w:rFonts w:ascii="Calibri" w:cs="Calibri" w:eastAsia="Calibri" w:hAnsi="Calibri"/>
                <w:sz w:val="14"/>
                <w:szCs w:val="14"/>
                <w:b w:val="1"/>
                <w:bCs w:val="1"/>
                <w:color w:val="auto"/>
                <w:w w:val="98"/>
              </w:rPr>
              <w:t>2023</w:t>
            </w:r>
          </w:p>
        </w:tc>
        <w:tc>
          <w:tcPr>
            <w:tcW w:w="1880" w:type="dxa"/>
            <w:vAlign w:val="bottom"/>
          </w:tcPr>
          <w:p>
            <w:pPr>
              <w:ind w:left="20"/>
              <w:spacing w:after="0"/>
              <w:rPr>
                <w:sz w:val="20"/>
                <w:szCs w:val="20"/>
                <w:color w:val="auto"/>
              </w:rPr>
            </w:pPr>
            <w:r>
              <w:rPr>
                <w:rFonts w:ascii="Calibri" w:cs="Calibri" w:eastAsia="Calibri" w:hAnsi="Calibri"/>
                <w:sz w:val="14"/>
                <w:szCs w:val="14"/>
                <w:b w:val="1"/>
                <w:bCs w:val="1"/>
                <w:color w:val="auto"/>
              </w:rPr>
              <w:t>(per share, adj):</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$16.96</w:t>
            </w:r>
          </w:p>
        </w:tc>
      </w:tr>
      <w:tr>
        <w:trPr>
          <w:trHeight w:val="276"/>
        </w:trPr>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9"/>
        </w:trPr>
        <w:tc>
          <w:tcPr>
            <w:tcW w:w="260" w:type="dxa"/>
            <w:vAlign w:val="bottom"/>
            <w:shd w:val="clear" w:color="auto" w:fill="0F2F50"/>
          </w:tcPr>
          <w:p>
            <w:pPr>
              <w:spacing w:after="0"/>
              <w:rPr>
                <w:sz w:val="18"/>
                <w:szCs w:val="18"/>
                <w:color w:val="auto"/>
              </w:rPr>
            </w:pPr>
          </w:p>
        </w:tc>
        <w:tc>
          <w:tcPr>
            <w:tcW w:w="120" w:type="dxa"/>
            <w:vAlign w:val="bottom"/>
            <w:shd w:val="clear" w:color="auto" w:fill="0F2F50"/>
          </w:tcPr>
          <w:p>
            <w:pPr>
              <w:spacing w:after="0"/>
              <w:rPr>
                <w:sz w:val="18"/>
                <w:szCs w:val="18"/>
                <w:color w:val="auto"/>
              </w:rPr>
            </w:pPr>
          </w:p>
        </w:tc>
        <w:tc>
          <w:tcPr>
            <w:tcW w:w="200" w:type="dxa"/>
            <w:vAlign w:val="bottom"/>
            <w:shd w:val="clear" w:color="auto" w:fill="0F2F50"/>
          </w:tcPr>
          <w:p>
            <w:pPr>
              <w:spacing w:after="0"/>
              <w:rPr>
                <w:sz w:val="18"/>
                <w:szCs w:val="18"/>
                <w:color w:val="auto"/>
              </w:rPr>
            </w:pPr>
          </w:p>
        </w:tc>
        <w:tc>
          <w:tcPr>
            <w:tcW w:w="1880" w:type="dxa"/>
            <w:vAlign w:val="bottom"/>
            <w:shd w:val="clear" w:color="auto" w:fill="0F2F50"/>
          </w:tcPr>
          <w:p>
            <w:pPr>
              <w:ind w:left="20"/>
              <w:spacing w:after="0"/>
              <w:rPr>
                <w:sz w:val="20"/>
                <w:szCs w:val="20"/>
                <w:color w:val="auto"/>
              </w:rPr>
            </w:pPr>
            <w:r>
              <w:rPr>
                <w:rFonts w:ascii="Calibri" w:cs="Calibri" w:eastAsia="Calibri" w:hAnsi="Calibri"/>
                <w:sz w:val="14"/>
                <w:szCs w:val="14"/>
                <w:b w:val="1"/>
                <w:bCs w:val="1"/>
                <w:color w:val="FFFFFF"/>
              </w:rPr>
              <w:t>Dividends Declared (per share)</w:t>
            </w:r>
          </w:p>
        </w:tc>
        <w:tc>
          <w:tcPr>
            <w:tcW w:w="560" w:type="dxa"/>
            <w:vAlign w:val="bottom"/>
            <w:shd w:val="clear" w:color="auto" w:fill="0F2F50"/>
          </w:tcPr>
          <w:p>
            <w:pPr>
              <w:spacing w:after="0"/>
              <w:rPr>
                <w:sz w:val="18"/>
                <w:szCs w:val="18"/>
                <w:color w:val="auto"/>
              </w:rPr>
            </w:pPr>
          </w:p>
        </w:tc>
      </w:tr>
      <w:tr>
        <w:trPr>
          <w:trHeight w:val="88"/>
        </w:trPr>
        <w:tc>
          <w:tcPr>
            <w:tcW w:w="260" w:type="dxa"/>
            <w:vAlign w:val="bottom"/>
            <w:shd w:val="clear" w:color="auto" w:fill="0F2F50"/>
          </w:tcPr>
          <w:p>
            <w:pPr>
              <w:spacing w:after="0"/>
              <w:rPr>
                <w:sz w:val="7"/>
                <w:szCs w:val="7"/>
                <w:color w:val="auto"/>
              </w:rPr>
            </w:pPr>
          </w:p>
        </w:tc>
        <w:tc>
          <w:tcPr>
            <w:tcW w:w="320" w:type="dxa"/>
            <w:vAlign w:val="bottom"/>
            <w:gridSpan w:val="2"/>
            <w:shd w:val="clear" w:color="auto" w:fill="0F2F50"/>
          </w:tcPr>
          <w:p>
            <w:pPr>
              <w:spacing w:after="0"/>
              <w:rPr>
                <w:sz w:val="7"/>
                <w:szCs w:val="7"/>
                <w:color w:val="auto"/>
              </w:rPr>
            </w:pPr>
          </w:p>
        </w:tc>
        <w:tc>
          <w:tcPr>
            <w:tcW w:w="1880" w:type="dxa"/>
            <w:vAlign w:val="bottom"/>
            <w:shd w:val="clear" w:color="auto" w:fill="0F2F50"/>
          </w:tcPr>
          <w:p>
            <w:pPr>
              <w:spacing w:after="0"/>
              <w:rPr>
                <w:sz w:val="7"/>
                <w:szCs w:val="7"/>
                <w:color w:val="auto"/>
              </w:rPr>
            </w:pPr>
          </w:p>
        </w:tc>
        <w:tc>
          <w:tcPr>
            <w:tcW w:w="560" w:type="dxa"/>
            <w:vAlign w:val="bottom"/>
            <w:shd w:val="clear" w:color="auto" w:fill="0F2F50"/>
          </w:tcPr>
          <w:p>
            <w:pPr>
              <w:spacing w:after="0"/>
              <w:rPr>
                <w:sz w:val="7"/>
                <w:szCs w:val="7"/>
                <w:color w:val="auto"/>
              </w:rPr>
            </w:pPr>
          </w:p>
        </w:tc>
      </w:tr>
      <w:tr>
        <w:trPr>
          <w:trHeight w:val="209"/>
        </w:trPr>
        <w:tc>
          <w:tcPr>
            <w:tcW w:w="260" w:type="dxa"/>
            <w:vAlign w:val="bottom"/>
          </w:tcPr>
          <w:p>
            <w:pPr>
              <w:ind w:left="80"/>
              <w:spacing w:after="0"/>
              <w:rPr>
                <w:sz w:val="20"/>
                <w:szCs w:val="20"/>
                <w:color w:val="auto"/>
              </w:rPr>
            </w:pPr>
            <w:r>
              <w:rPr>
                <w:rFonts w:ascii="Calibri" w:cs="Calibri" w:eastAsia="Calibri" w:hAnsi="Calibri"/>
                <w:sz w:val="14"/>
                <w:szCs w:val="14"/>
                <w:b w:val="1"/>
                <w:bCs w:val="1"/>
                <w:color w:val="auto"/>
                <w:w w:val="95"/>
              </w:rPr>
              <w:t>Q4</w:t>
            </w:r>
          </w:p>
        </w:tc>
        <w:tc>
          <w:tcPr>
            <w:tcW w:w="320" w:type="dxa"/>
            <w:vAlign w:val="bottom"/>
            <w:gridSpan w:val="2"/>
          </w:tcPr>
          <w:p>
            <w:pPr>
              <w:jc w:val="right"/>
              <w:spacing w:after="0"/>
              <w:rPr>
                <w:sz w:val="20"/>
                <w:szCs w:val="20"/>
                <w:color w:val="auto"/>
              </w:rPr>
            </w:pPr>
            <w:r>
              <w:rPr>
                <w:rFonts w:ascii="Calibri" w:cs="Calibri" w:eastAsia="Calibri" w:hAnsi="Calibri"/>
                <w:sz w:val="14"/>
                <w:szCs w:val="14"/>
                <w:b w:val="1"/>
                <w:bCs w:val="1"/>
                <w:color w:val="auto"/>
                <w:w w:val="98"/>
              </w:rPr>
              <w:t>2023</w:t>
            </w:r>
          </w:p>
        </w:tc>
        <w:tc>
          <w:tcPr>
            <w:tcW w:w="1880" w:type="dxa"/>
            <w:vAlign w:val="bottom"/>
          </w:tcPr>
          <w:p>
            <w:pPr>
              <w:ind w:left="20"/>
              <w:spacing w:after="0"/>
              <w:rPr>
                <w:sz w:val="20"/>
                <w:szCs w:val="20"/>
                <w:color w:val="auto"/>
              </w:rPr>
            </w:pPr>
            <w:r>
              <w:rPr>
                <w:rFonts w:ascii="Calibri" w:cs="Calibri" w:eastAsia="Calibri" w:hAnsi="Calibri"/>
                <w:sz w:val="14"/>
                <w:szCs w:val="14"/>
                <w:b w:val="1"/>
                <w:bCs w:val="1"/>
                <w:color w:val="auto"/>
              </w:rPr>
              <w:t>(Base):</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$0.46</w:t>
            </w:r>
          </w:p>
        </w:tc>
      </w:tr>
      <w:tr>
        <w:trPr>
          <w:trHeight w:val="88"/>
        </w:trPr>
        <w:tc>
          <w:tcPr>
            <w:tcW w:w="380" w:type="dxa"/>
            <w:vAlign w:val="bottom"/>
            <w:tcBorders>
              <w:bottom w:val="single" w:sz="8" w:color="auto"/>
            </w:tcBorders>
            <w:gridSpan w:val="2"/>
          </w:tcPr>
          <w:p>
            <w:pPr>
              <w:spacing w:after="0"/>
              <w:rPr>
                <w:sz w:val="7"/>
                <w:szCs w:val="7"/>
                <w:color w:val="auto"/>
              </w:rPr>
            </w:pPr>
          </w:p>
        </w:tc>
        <w:tc>
          <w:tcPr>
            <w:tcW w:w="2080" w:type="dxa"/>
            <w:vAlign w:val="bottom"/>
            <w:tcBorders>
              <w:bottom w:val="single" w:sz="8" w:color="auto"/>
            </w:tcBorders>
            <w:gridSpan w:val="2"/>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r>
      <w:tr>
        <w:trPr>
          <w:trHeight w:val="203"/>
        </w:trPr>
        <w:tc>
          <w:tcPr>
            <w:tcW w:w="380" w:type="dxa"/>
            <w:vAlign w:val="bottom"/>
            <w:gridSpan w:val="2"/>
          </w:tcPr>
          <w:p>
            <w:pPr>
              <w:ind w:left="80"/>
              <w:spacing w:after="0"/>
              <w:rPr>
                <w:sz w:val="20"/>
                <w:szCs w:val="20"/>
                <w:color w:val="auto"/>
              </w:rPr>
            </w:pPr>
            <w:r>
              <w:rPr>
                <w:rFonts w:ascii="Calibri" w:cs="Calibri" w:eastAsia="Calibri" w:hAnsi="Calibri"/>
                <w:sz w:val="14"/>
                <w:szCs w:val="14"/>
                <w:b w:val="1"/>
                <w:bCs w:val="1"/>
                <w:color w:val="auto"/>
                <w:w w:val="98"/>
              </w:rPr>
              <w:t>2023</w:t>
            </w:r>
          </w:p>
        </w:tc>
        <w:tc>
          <w:tcPr>
            <w:tcW w:w="208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(Base):</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$1.84</w:t>
            </w:r>
          </w:p>
        </w:tc>
      </w:tr>
      <w:tr>
        <w:trPr>
          <w:trHeight w:val="88"/>
        </w:trPr>
        <w:tc>
          <w:tcPr>
            <w:tcW w:w="380" w:type="dxa"/>
            <w:vAlign w:val="bottom"/>
            <w:tcBorders>
              <w:bottom w:val="single" w:sz="8" w:color="auto"/>
            </w:tcBorders>
            <w:gridSpan w:val="2"/>
          </w:tcPr>
          <w:p>
            <w:pPr>
              <w:spacing w:after="0"/>
              <w:rPr>
                <w:sz w:val="7"/>
                <w:szCs w:val="7"/>
                <w:color w:val="auto"/>
              </w:rPr>
            </w:pPr>
          </w:p>
        </w:tc>
        <w:tc>
          <w:tcPr>
            <w:tcW w:w="2080" w:type="dxa"/>
            <w:vAlign w:val="bottom"/>
            <w:tcBorders>
              <w:bottom w:val="single" w:sz="8" w:color="auto"/>
            </w:tcBorders>
            <w:gridSpan w:val="2"/>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r>
      <w:tr>
        <w:trPr>
          <w:trHeight w:val="203"/>
        </w:trPr>
        <w:tc>
          <w:tcPr>
            <w:tcW w:w="380" w:type="dxa"/>
            <w:vAlign w:val="bottom"/>
            <w:gridSpan w:val="2"/>
          </w:tcPr>
          <w:p>
            <w:pPr>
              <w:ind w:left="80"/>
              <w:spacing w:after="0"/>
              <w:rPr>
                <w:sz w:val="20"/>
                <w:szCs w:val="20"/>
                <w:color w:val="auto"/>
              </w:rPr>
            </w:pPr>
            <w:r>
              <w:rPr>
                <w:rFonts w:ascii="Calibri" w:cs="Calibri" w:eastAsia="Calibri" w:hAnsi="Calibri"/>
                <w:sz w:val="14"/>
                <w:szCs w:val="14"/>
                <w:b w:val="1"/>
                <w:bCs w:val="1"/>
                <w:color w:val="auto"/>
                <w:w w:val="98"/>
              </w:rPr>
              <w:t>2023</w:t>
            </w:r>
          </w:p>
        </w:tc>
        <w:tc>
          <w:tcPr>
            <w:tcW w:w="208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(Supplemental):</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$0.26</w:t>
            </w:r>
          </w:p>
        </w:tc>
      </w:tr>
      <w:tr>
        <w:trPr>
          <w:trHeight w:val="88"/>
        </w:trPr>
        <w:tc>
          <w:tcPr>
            <w:tcW w:w="380" w:type="dxa"/>
            <w:vAlign w:val="bottom"/>
            <w:tcBorders>
              <w:bottom w:val="single" w:sz="8" w:color="auto"/>
            </w:tcBorders>
            <w:gridSpan w:val="2"/>
          </w:tcPr>
          <w:p>
            <w:pPr>
              <w:spacing w:after="0"/>
              <w:rPr>
                <w:sz w:val="7"/>
                <w:szCs w:val="7"/>
                <w:color w:val="auto"/>
              </w:rPr>
            </w:pPr>
          </w:p>
        </w:tc>
        <w:tc>
          <w:tcPr>
            <w:tcW w:w="2080" w:type="dxa"/>
            <w:vAlign w:val="bottom"/>
            <w:tcBorders>
              <w:bottom w:val="single" w:sz="8" w:color="auto"/>
            </w:tcBorders>
            <w:gridSpan w:val="2"/>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r>
      <w:tr>
        <w:trPr>
          <w:trHeight w:val="203"/>
        </w:trPr>
        <w:tc>
          <w:tcPr>
            <w:tcW w:w="380" w:type="dxa"/>
            <w:vAlign w:val="bottom"/>
            <w:gridSpan w:val="2"/>
          </w:tcPr>
          <w:p>
            <w:pPr>
              <w:ind w:left="80"/>
              <w:spacing w:after="0"/>
              <w:rPr>
                <w:sz w:val="20"/>
                <w:szCs w:val="20"/>
                <w:color w:val="auto"/>
              </w:rPr>
            </w:pPr>
            <w:r>
              <w:rPr>
                <w:rFonts w:ascii="Calibri" w:cs="Calibri" w:eastAsia="Calibri" w:hAnsi="Calibri"/>
                <w:sz w:val="14"/>
                <w:szCs w:val="14"/>
                <w:b w:val="1"/>
                <w:bCs w:val="1"/>
                <w:color w:val="auto"/>
                <w:w w:val="98"/>
              </w:rPr>
              <w:t>2023</w:t>
            </w:r>
          </w:p>
        </w:tc>
        <w:tc>
          <w:tcPr>
            <w:tcW w:w="208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(Total):</w:t>
            </w:r>
          </w:p>
        </w:tc>
        <w:tc>
          <w:tcPr>
            <w:tcW w:w="560" w:type="dxa"/>
            <w:vAlign w:val="bottom"/>
          </w:tcPr>
          <w:p>
            <w:pPr>
              <w:jc w:val="right"/>
              <w:spacing w:after="0"/>
              <w:rPr>
                <w:sz w:val="20"/>
                <w:szCs w:val="20"/>
                <w:color w:val="auto"/>
              </w:rPr>
            </w:pPr>
            <w:r>
              <w:rPr>
                <w:rFonts w:ascii="Calibri" w:cs="Calibri" w:eastAsia="Calibri" w:hAnsi="Calibri"/>
                <w:sz w:val="14"/>
                <w:szCs w:val="14"/>
                <w:b w:val="1"/>
                <w:bCs w:val="1"/>
                <w:color w:val="auto"/>
              </w:rPr>
              <w:t>$2.10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-2952750</wp:posOffset>
            </wp:positionV>
            <wp:extent cx="19202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20" w:space="140"/>
            <w:col w:w="3080"/>
          </w:cols>
          <w:pgMar w:left="320" w:top="760" w:right="33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612140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4" w:name="page5"/>
    <w:bookmarkEnd w:id="4"/>
    <w:p>
      <w:pPr>
        <w:spacing w:after="0" w:line="2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21"/>
          <w:szCs w:val="21"/>
          <w:b w:val="1"/>
          <w:bCs w:val="1"/>
          <w:color w:val="auto"/>
        </w:rPr>
        <w:t>PORTFOLIO AND INVESTMENT ACTIVITY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ind w:left="20"/>
        <w:spacing w:after="0" w:line="235" w:lineRule="auto"/>
        <w:rPr>
          <w:sz w:val="20"/>
          <w:szCs w:val="20"/>
          <w:color w:val="auto"/>
        </w:rPr>
      </w:pPr>
      <w:r>
        <w:rPr>
          <w:rFonts w:ascii="Calibri" w:cs="Calibri" w:eastAsia="Calibri" w:hAnsi="Calibri"/>
          <w:sz w:val="17"/>
          <w:szCs w:val="17"/>
          <w:color w:val="auto"/>
        </w:rPr>
        <w:t>For the year ended December 31, 2023, new investment commitments totaled $958.6 million. This compares to $1,084.2 million for the year ended December 31, 2022.</w:t>
      </w:r>
    </w:p>
    <w:p>
      <w:pPr>
        <w:spacing w:after="0" w:line="107" w:lineRule="exact"/>
        <w:rPr>
          <w:sz w:val="20"/>
          <w:szCs w:val="20"/>
          <w:color w:val="auto"/>
        </w:rPr>
      </w:pPr>
    </w:p>
    <w:p>
      <w:pPr>
        <w:ind w:left="20" w:right="60"/>
        <w:spacing w:after="0" w:line="234" w:lineRule="auto"/>
        <w:rPr>
          <w:sz w:val="20"/>
          <w:szCs w:val="20"/>
          <w:color w:val="auto"/>
        </w:rPr>
      </w:pPr>
      <w:r>
        <w:rPr>
          <w:rFonts w:ascii="Calibri" w:cs="Calibri" w:eastAsia="Calibri" w:hAnsi="Calibri"/>
          <w:sz w:val="17"/>
          <w:szCs w:val="17"/>
          <w:color w:val="auto"/>
        </w:rPr>
        <w:t>For the year ended December 31, 2023, the principal amount of new investments funded was $808.4 million in 29 new portolio companies, 16 existng portolio companies and 1 structured credit investment. For this period, the Company had $469.1 million aggregate principal amount in exits and repayments.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600" w:type="dxa"/>
            <w:vAlign w:val="bottom"/>
            <w:tcBorders>
              <w:bottom w:val="single" w:sz="8" w:color="0F2F50"/>
            </w:tcBorders>
            <w:shd w:val="clear" w:color="auto" w:fill="0F2F50"/>
          </w:tcPr>
          <w:p>
            <w:pPr>
              <w:ind w:left="940"/>
              <w:spacing w:after="0"/>
              <w:rPr>
                <w:sz w:val="20"/>
                <w:szCs w:val="20"/>
                <w:color w:val="auto"/>
              </w:rPr>
            </w:pPr>
            <w:r>
              <w:rPr>
                <w:rFonts w:ascii="Calibri" w:cs="Calibri" w:eastAsia="Calibri" w:hAnsi="Calibri"/>
                <w:sz w:val="15"/>
                <w:szCs w:val="15"/>
                <w:b w:val="1"/>
                <w:bCs w:val="1"/>
                <w:color w:val="FFFFFF"/>
              </w:rPr>
              <w:t>2023 Originaton Actvity</w:t>
            </w:r>
          </w:p>
        </w:tc>
        <w:tc>
          <w:tcPr>
            <w:tcW w:w="860" w:type="dxa"/>
            <w:vAlign w:val="bottom"/>
            <w:tcBorders>
              <w:bottom w:val="single" w:sz="8" w:color="0F2F50"/>
            </w:tcBorders>
            <w:shd w:val="clear" w:color="auto" w:fill="0F2F50"/>
          </w:tcPr>
          <w:p>
            <w:pPr>
              <w:spacing w:after="0"/>
              <w:rPr>
                <w:sz w:val="18"/>
                <w:szCs w:val="18"/>
                <w:color w:val="auto"/>
              </w:rPr>
            </w:pPr>
          </w:p>
        </w:tc>
      </w:tr>
      <w:tr>
        <w:trPr>
          <w:trHeight w:val="183"/>
        </w:trPr>
        <w:tc>
          <w:tcPr>
            <w:tcW w:w="2600" w:type="dxa"/>
            <w:vAlign w:val="bottom"/>
          </w:tcPr>
          <w:p>
            <w:pPr>
              <w:ind w:left="60"/>
              <w:spacing w:after="0"/>
              <w:rPr>
                <w:sz w:val="20"/>
                <w:szCs w:val="20"/>
                <w:color w:val="auto"/>
              </w:rPr>
            </w:pPr>
            <w:r>
              <w:rPr>
                <w:rFonts w:ascii="Calibri" w:cs="Calibri" w:eastAsia="Calibri" w:hAnsi="Calibri"/>
                <w:sz w:val="15"/>
                <w:szCs w:val="15"/>
                <w:b w:val="1"/>
                <w:bCs w:val="1"/>
                <w:color w:val="auto"/>
              </w:rPr>
              <w:t>Commitments:</w:t>
            </w:r>
          </w:p>
        </w:tc>
        <w:tc>
          <w:tcPr>
            <w:tcW w:w="860" w:type="dxa"/>
            <w:vAlign w:val="bottom"/>
          </w:tcPr>
          <w:p>
            <w:pPr>
              <w:ind w:left="60"/>
              <w:spacing w:after="0"/>
              <w:rPr>
                <w:sz w:val="20"/>
                <w:szCs w:val="20"/>
                <w:color w:val="auto"/>
              </w:rPr>
            </w:pPr>
            <w:r>
              <w:rPr>
                <w:rFonts w:ascii="Calibri" w:cs="Calibri" w:eastAsia="Calibri" w:hAnsi="Calibri"/>
                <w:sz w:val="15"/>
                <w:szCs w:val="15"/>
                <w:b w:val="1"/>
                <w:bCs w:val="1"/>
                <w:color w:val="auto"/>
              </w:rPr>
              <w:t>$958.6MM</w:t>
            </w:r>
          </w:p>
        </w:tc>
      </w:tr>
      <w:tr>
        <w:trPr>
          <w:trHeight w:val="220"/>
        </w:trPr>
        <w:tc>
          <w:tcPr>
            <w:tcW w:w="2600" w:type="dxa"/>
            <w:vAlign w:val="bottom"/>
          </w:tcPr>
          <w:p>
            <w:pPr>
              <w:ind w:left="60"/>
              <w:spacing w:after="0"/>
              <w:rPr>
                <w:sz w:val="20"/>
                <w:szCs w:val="20"/>
                <w:color w:val="auto"/>
              </w:rPr>
            </w:pPr>
            <w:r>
              <w:rPr>
                <w:rFonts w:ascii="Calibri" w:cs="Calibri" w:eastAsia="Calibri" w:hAnsi="Calibri"/>
                <w:sz w:val="15"/>
                <w:szCs w:val="15"/>
                <w:b w:val="1"/>
                <w:bCs w:val="1"/>
                <w:color w:val="auto"/>
              </w:rPr>
              <w:t>Fundings:</w:t>
            </w:r>
          </w:p>
        </w:tc>
        <w:tc>
          <w:tcPr>
            <w:tcW w:w="860" w:type="dxa"/>
            <w:vAlign w:val="bottom"/>
          </w:tcPr>
          <w:p>
            <w:pPr>
              <w:ind w:left="60"/>
              <w:spacing w:after="0"/>
              <w:rPr>
                <w:sz w:val="20"/>
                <w:szCs w:val="20"/>
                <w:color w:val="auto"/>
              </w:rPr>
            </w:pPr>
            <w:r>
              <w:rPr>
                <w:rFonts w:ascii="Calibri" w:cs="Calibri" w:eastAsia="Calibri" w:hAnsi="Calibri"/>
                <w:sz w:val="15"/>
                <w:szCs w:val="15"/>
                <w:b w:val="1"/>
                <w:bCs w:val="1"/>
                <w:color w:val="auto"/>
              </w:rPr>
              <w:t>$808.4MM</w:t>
            </w:r>
          </w:p>
        </w:tc>
      </w:tr>
      <w:tr>
        <w:trPr>
          <w:trHeight w:val="230"/>
        </w:trPr>
        <w:tc>
          <w:tcPr>
            <w:tcW w:w="2600" w:type="dxa"/>
            <w:vAlign w:val="bottom"/>
          </w:tcPr>
          <w:p>
            <w:pPr>
              <w:ind w:left="60"/>
              <w:spacing w:after="0"/>
              <w:rPr>
                <w:sz w:val="20"/>
                <w:szCs w:val="20"/>
                <w:color w:val="auto"/>
              </w:rPr>
            </w:pPr>
            <w:r>
              <w:rPr>
                <w:rFonts w:ascii="Calibri" w:cs="Calibri" w:eastAsia="Calibri" w:hAnsi="Calibri"/>
                <w:sz w:val="15"/>
                <w:szCs w:val="15"/>
                <w:b w:val="1"/>
                <w:bCs w:val="1"/>
                <w:color w:val="auto"/>
              </w:rPr>
              <w:t>Net Fundings:</w:t>
            </w:r>
          </w:p>
        </w:tc>
        <w:tc>
          <w:tcPr>
            <w:tcW w:w="860" w:type="dxa"/>
            <w:vAlign w:val="bottom"/>
          </w:tcPr>
          <w:p>
            <w:pPr>
              <w:ind w:left="60"/>
              <w:spacing w:after="0"/>
              <w:rPr>
                <w:sz w:val="20"/>
                <w:szCs w:val="20"/>
                <w:color w:val="auto"/>
              </w:rPr>
            </w:pPr>
            <w:r>
              <w:rPr>
                <w:rFonts w:ascii="Calibri" w:cs="Calibri" w:eastAsia="Calibri" w:hAnsi="Calibri"/>
                <w:sz w:val="15"/>
                <w:szCs w:val="15"/>
                <w:b w:val="1"/>
                <w:bCs w:val="1"/>
                <w:color w:val="auto"/>
              </w:rPr>
              <w:t>$339.2MM</w:t>
            </w:r>
          </w:p>
        </w:tc>
      </w:tr>
    </w:tbl>
    <w:p>
      <w:pPr>
        <w:spacing w:after="0" w:line="340" w:lineRule="exact"/>
        <w:rPr>
          <w:sz w:val="20"/>
          <w:szCs w:val="20"/>
          <w:color w:val="auto"/>
        </w:rPr>
      </w:pPr>
    </w:p>
    <w:p>
      <w:pPr>
        <w:sectPr>
          <w:pgSz w:w="11900" w:h="16838" w:orient="portrait"/>
          <w:cols w:equalWidth="0" w:num="2">
            <w:col w:w="7620" w:space="160"/>
            <w:col w:w="3460"/>
          </w:cols>
          <w:pgMar w:left="320" w:top="1440" w:right="339" w:bottom="1440" w:gutter="0" w:footer="0" w:header="0"/>
          <w:type w:val="continuous"/>
        </w:sectPr>
      </w:pPr>
    </w:p>
    <w:p>
      <w:pPr>
        <w:jc w:val="both"/>
        <w:ind w:left="20"/>
        <w:spacing w:after="0"/>
        <w:rPr>
          <w:sz w:val="20"/>
          <w:szCs w:val="20"/>
          <w:color w:val="auto"/>
        </w:rPr>
      </w:pPr>
      <w:r>
        <w:rPr>
          <w:rFonts w:ascii="Calibri" w:cs="Calibri" w:eastAsia="Calibri" w:hAnsi="Calibri"/>
          <w:sz w:val="17"/>
          <w:szCs w:val="17"/>
          <w:color w:val="auto"/>
        </w:rPr>
        <w:t>For the year ended December 31, 2022, the principal amount of new investments funded was $864.0 million in 24 new portolio companies, 20 existng portolio companies and 41 structured credit investments. For this period, the Company had $653.8 million aggregate principal amount in exits and repayments.</w:t>
      </w:r>
    </w:p>
    <w:p>
      <w:pPr>
        <w:spacing w:after="0" w:line="292"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auto"/>
        </w:rPr>
        <w:t>Fourth Quarter</w:t>
      </w:r>
    </w:p>
    <w:p>
      <w:pPr>
        <w:spacing w:after="0" w:line="106" w:lineRule="exact"/>
        <w:rPr>
          <w:sz w:val="20"/>
          <w:szCs w:val="20"/>
          <w:color w:val="auto"/>
        </w:rPr>
      </w:pPr>
    </w:p>
    <w:p>
      <w:pPr>
        <w:ind w:left="20" w:right="380"/>
        <w:spacing w:after="0" w:line="235" w:lineRule="auto"/>
        <w:rPr>
          <w:sz w:val="20"/>
          <w:szCs w:val="20"/>
          <w:color w:val="auto"/>
        </w:rPr>
      </w:pPr>
      <w:r>
        <w:rPr>
          <w:rFonts w:ascii="Calibri" w:cs="Calibri" w:eastAsia="Calibri" w:hAnsi="Calibri"/>
          <w:sz w:val="17"/>
          <w:szCs w:val="17"/>
          <w:color w:val="auto"/>
        </w:rPr>
        <w:t>For the quarter ended December 31, 2023, new investment commitments totaled $316.4 million. This compares to $205.8 million for the quarter ended September 30, 2023.</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760"/>
        <w:spacing w:after="0"/>
        <w:rPr>
          <w:sz w:val="20"/>
          <w:szCs w:val="20"/>
          <w:color w:val="auto"/>
        </w:rPr>
      </w:pPr>
      <w:r>
        <w:rPr>
          <w:rFonts w:ascii="Calibri" w:cs="Calibri" w:eastAsia="Calibri" w:hAnsi="Calibri"/>
          <w:sz w:val="15"/>
          <w:szCs w:val="15"/>
          <w:b w:val="1"/>
          <w:bCs w:val="1"/>
          <w:color w:val="FFFFFF"/>
        </w:rPr>
        <w:t>Q4 2023 Originaton Actvity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-100965</wp:posOffset>
            </wp:positionV>
            <wp:extent cx="2202815"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02815" cy="205740"/>
                    </a:xfrm>
                    <a:prstGeom prst="rect">
                      <a:avLst/>
                    </a:prstGeom>
                    <a:noFill/>
                  </pic:spPr>
                </pic:pic>
              </a:graphicData>
            </a:graphic>
          </wp:anchor>
        </w:drawing>
      </w:r>
    </w:p>
    <w:p>
      <w:pPr>
        <w:spacing w:after="0" w:line="121" w:lineRule="exact"/>
        <w:rPr>
          <w:sz w:val="20"/>
          <w:szCs w:val="20"/>
          <w:color w:val="auto"/>
        </w:rPr>
      </w:pPr>
    </w:p>
    <w:p>
      <w:pPr>
        <w:spacing w:after="0"/>
        <w:tabs>
          <w:tab w:leader="none" w:pos="2500" w:val="left"/>
        </w:tabs>
        <w:rPr>
          <w:sz w:val="20"/>
          <w:szCs w:val="20"/>
          <w:color w:val="auto"/>
        </w:rPr>
      </w:pPr>
      <w:r>
        <w:rPr>
          <w:rFonts w:ascii="Calibri" w:cs="Calibri" w:eastAsia="Calibri" w:hAnsi="Calibri"/>
          <w:sz w:val="15"/>
          <w:szCs w:val="15"/>
          <w:b w:val="1"/>
          <w:bCs w:val="1"/>
          <w:color w:val="auto"/>
        </w:rPr>
        <w:t>Commitments:</w:t>
      </w:r>
      <w:r>
        <w:rPr>
          <w:sz w:val="20"/>
          <w:szCs w:val="20"/>
          <w:color w:val="auto"/>
        </w:rPr>
        <w:tab/>
      </w:r>
      <w:r>
        <w:rPr>
          <w:rFonts w:ascii="Calibri" w:cs="Calibri" w:eastAsia="Calibri" w:hAnsi="Calibri"/>
          <w:sz w:val="15"/>
          <w:szCs w:val="15"/>
          <w:b w:val="1"/>
          <w:bCs w:val="1"/>
          <w:color w:val="auto"/>
        </w:rPr>
        <w:t>$316.4MM</w:t>
      </w:r>
    </w:p>
    <w:p>
      <w:pPr>
        <w:spacing w:after="0" w:line="141" w:lineRule="exact"/>
        <w:rPr>
          <w:sz w:val="20"/>
          <w:szCs w:val="20"/>
          <w:color w:val="auto"/>
        </w:rPr>
      </w:pPr>
    </w:p>
    <w:p>
      <w:pPr>
        <w:spacing w:after="0"/>
        <w:tabs>
          <w:tab w:leader="none" w:pos="2500" w:val="left"/>
        </w:tabs>
        <w:rPr>
          <w:sz w:val="20"/>
          <w:szCs w:val="20"/>
          <w:color w:val="auto"/>
        </w:rPr>
      </w:pPr>
      <w:r>
        <w:rPr>
          <w:rFonts w:ascii="Calibri" w:cs="Calibri" w:eastAsia="Calibri" w:hAnsi="Calibri"/>
          <w:sz w:val="15"/>
          <w:szCs w:val="15"/>
          <w:b w:val="1"/>
          <w:bCs w:val="1"/>
          <w:color w:val="auto"/>
        </w:rPr>
        <w:t>Fundings:</w:t>
      </w:r>
      <w:r>
        <w:rPr>
          <w:sz w:val="20"/>
          <w:szCs w:val="20"/>
          <w:color w:val="auto"/>
        </w:rPr>
        <w:tab/>
      </w:r>
      <w:r>
        <w:rPr>
          <w:rFonts w:ascii="Calibri" w:cs="Calibri" w:eastAsia="Calibri" w:hAnsi="Calibri"/>
          <w:sz w:val="15"/>
          <w:szCs w:val="15"/>
          <w:b w:val="1"/>
          <w:bCs w:val="1"/>
          <w:color w:val="auto"/>
        </w:rPr>
        <w:t>$277.9MM</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700" w:type="dxa"/>
            <w:vAlign w:val="bottom"/>
          </w:tcPr>
          <w:p>
            <w:pPr>
              <w:spacing w:after="0"/>
              <w:rPr>
                <w:sz w:val="20"/>
                <w:szCs w:val="20"/>
                <w:color w:val="auto"/>
              </w:rPr>
            </w:pPr>
            <w:r>
              <w:rPr>
                <w:rFonts w:ascii="Calibri" w:cs="Calibri" w:eastAsia="Calibri" w:hAnsi="Calibri"/>
                <w:sz w:val="15"/>
                <w:szCs w:val="15"/>
                <w:b w:val="1"/>
                <w:bCs w:val="1"/>
                <w:color w:val="auto"/>
              </w:rPr>
              <w:t>Net Fundings:</w:t>
            </w:r>
          </w:p>
        </w:tc>
        <w:tc>
          <w:tcPr>
            <w:tcW w:w="1520" w:type="dxa"/>
            <w:vAlign w:val="bottom"/>
          </w:tcPr>
          <w:p>
            <w:pPr>
              <w:ind w:left="820"/>
              <w:spacing w:after="0"/>
              <w:rPr>
                <w:sz w:val="20"/>
                <w:szCs w:val="20"/>
                <w:color w:val="auto"/>
              </w:rPr>
            </w:pPr>
            <w:r>
              <w:rPr>
                <w:rFonts w:ascii="Calibri" w:cs="Calibri" w:eastAsia="Calibri" w:hAnsi="Calibri"/>
                <w:sz w:val="15"/>
                <w:szCs w:val="15"/>
                <w:b w:val="1"/>
                <w:bCs w:val="1"/>
                <w:color w:val="auto"/>
                <w:w w:val="99"/>
              </w:rPr>
              <w:t>$132.5MM</w:t>
            </w:r>
          </w:p>
        </w:tc>
      </w:tr>
    </w:tbl>
    <w:p>
      <w:pPr>
        <w:spacing w:after="0" w:line="542" w:lineRule="exact"/>
        <w:rPr>
          <w:sz w:val="20"/>
          <w:szCs w:val="20"/>
          <w:color w:val="auto"/>
        </w:rPr>
      </w:pPr>
    </w:p>
    <w:p>
      <w:pPr>
        <w:sectPr>
          <w:pgSz w:w="11900" w:h="16838" w:orient="portrait"/>
          <w:cols w:equalWidth="0" w:num="2">
            <w:col w:w="7640" w:space="200"/>
            <w:col w:w="3400"/>
          </w:cols>
          <w:pgMar w:left="320" w:top="1440" w:right="339" w:bottom="1440" w:gutter="0" w:footer="0" w:header="0"/>
          <w:type w:val="continuous"/>
        </w:sectPr>
      </w:pPr>
    </w:p>
    <w:p>
      <w:pPr>
        <w:ind w:left="20" w:right="40"/>
        <w:spacing w:after="0" w:line="234" w:lineRule="auto"/>
        <w:rPr>
          <w:sz w:val="20"/>
          <w:szCs w:val="20"/>
          <w:color w:val="auto"/>
        </w:rPr>
      </w:pPr>
      <w:r>
        <w:rPr>
          <w:rFonts w:ascii="Calibri" w:cs="Calibri" w:eastAsia="Calibri" w:hAnsi="Calibri"/>
          <w:sz w:val="17"/>
          <w:szCs w:val="17"/>
          <w:color w:val="auto"/>
        </w:rPr>
        <w:t>For the quarter ended December 31, 2023, the principal amount of new investments funded was $277.9 million across 9 new portolio companies and 5 upsizes to existng portolio companies. For this period, the Company had $145.4 million aggregate principal amount in exits and repayments. For the quarter ended September 30, 2023, the principal amount of new investments funded was $151.6 million across 8 new portolio companies and 2 upsizes to existng portolio companies. For this period, the Company had $158.9 million aggregate principal amount in exits and repayments.</w:t>
      </w:r>
    </w:p>
    <w:p>
      <w:pPr>
        <w:spacing w:after="0" w:line="82" w:lineRule="exact"/>
        <w:rPr>
          <w:sz w:val="20"/>
          <w:szCs w:val="20"/>
          <w:color w:val="auto"/>
        </w:rPr>
      </w:pPr>
    </w:p>
    <w:p>
      <w:pPr>
        <w:jc w:val="both"/>
        <w:ind w:left="20" w:right="40"/>
        <w:spacing w:after="0" w:line="211" w:lineRule="auto"/>
        <w:rPr>
          <w:sz w:val="20"/>
          <w:szCs w:val="20"/>
          <w:color w:val="auto"/>
        </w:rPr>
      </w:pPr>
      <w:r>
        <w:rPr>
          <w:rFonts w:ascii="Calibri" w:cs="Calibri" w:eastAsia="Calibri" w:hAnsi="Calibri"/>
          <w:sz w:val="17"/>
          <w:szCs w:val="17"/>
          <w:color w:val="auto"/>
        </w:rPr>
        <w:t>As of December 31, 2023 and September 30, 2023, the Company had investments in 94</w:t>
      </w:r>
      <w:r>
        <w:rPr>
          <w:rFonts w:ascii="Calibri" w:cs="Calibri" w:eastAsia="Calibri" w:hAnsi="Calibri"/>
          <w:sz w:val="22"/>
          <w:szCs w:val="22"/>
          <w:color w:val="auto"/>
          <w:vertAlign w:val="superscript"/>
        </w:rPr>
        <w:t>1</w:t>
      </w:r>
      <w:r>
        <w:rPr>
          <w:rFonts w:ascii="Calibri" w:cs="Calibri" w:eastAsia="Calibri" w:hAnsi="Calibri"/>
          <w:sz w:val="17"/>
          <w:szCs w:val="17"/>
          <w:color w:val="auto"/>
        </w:rPr>
        <w:t xml:space="preserve"> and 89</w:t>
      </w:r>
      <w:r>
        <w:rPr>
          <w:rFonts w:ascii="Calibri" w:cs="Calibri" w:eastAsia="Calibri" w:hAnsi="Calibri"/>
          <w:sz w:val="22"/>
          <w:szCs w:val="22"/>
          <w:color w:val="auto"/>
          <w:vertAlign w:val="superscript"/>
        </w:rPr>
        <w:t>2</w:t>
      </w:r>
      <w:r>
        <w:rPr>
          <w:rFonts w:ascii="Calibri" w:cs="Calibri" w:eastAsia="Calibri" w:hAnsi="Calibri"/>
          <w:sz w:val="17"/>
          <w:szCs w:val="17"/>
          <w:color w:val="auto"/>
        </w:rPr>
        <w:t xml:space="preserve"> portolio companies, respectvely, with an aggregate fair value of $3,283.1 million and $3,113.3 million, respectvely. As of December 31, 2023, the average investment size in each portolio company was $34.3</w:t>
      </w:r>
      <w:r>
        <w:rPr>
          <w:rFonts w:ascii="Calibri" w:cs="Calibri" w:eastAsia="Calibri" w:hAnsi="Calibri"/>
          <w:sz w:val="22"/>
          <w:szCs w:val="22"/>
          <w:color w:val="auto"/>
          <w:vertAlign w:val="superscript"/>
        </w:rPr>
        <w:t>1</w:t>
      </w:r>
      <w:r>
        <w:rPr>
          <w:rFonts w:ascii="Calibri" w:cs="Calibri" w:eastAsia="Calibri" w:hAnsi="Calibri"/>
          <w:sz w:val="17"/>
          <w:szCs w:val="17"/>
          <w:color w:val="auto"/>
        </w:rPr>
        <w:t xml:space="preserve"> million based on fair value.</w:t>
      </w:r>
    </w:p>
    <w:p>
      <w:pPr>
        <w:spacing w:after="0" w:line="108" w:lineRule="exact"/>
        <w:rPr>
          <w:sz w:val="20"/>
          <w:szCs w:val="20"/>
          <w:color w:val="auto"/>
        </w:rPr>
      </w:pPr>
    </w:p>
    <w:p>
      <w:pPr>
        <w:ind w:left="20"/>
        <w:spacing w:after="0" w:line="237" w:lineRule="auto"/>
        <w:rPr>
          <w:sz w:val="20"/>
          <w:szCs w:val="20"/>
          <w:color w:val="auto"/>
        </w:rPr>
      </w:pPr>
      <w:r>
        <w:rPr>
          <w:rFonts w:ascii="Calibri" w:cs="Calibri" w:eastAsia="Calibri" w:hAnsi="Calibri"/>
          <w:sz w:val="17"/>
          <w:szCs w:val="17"/>
          <w:color w:val="auto"/>
        </w:rPr>
        <w:t>As of December 31, 2023, the Company’s portolio based on fair value consisted of 91.3% frst-lien debt investments, 1.1% second-lien debt investments, 1.7% structured credit investments, 1.2% mezzanine debt investments, and 4.7% equity and other investments. As of September 30, 2023, the Company’s portolio based on fair value consisted of 91.0% frst-lien debt investments, 1.3% second-lien debt investments, 1.7% structured credit investments, 1.2% mezzanine investments, and 4.8% equity and other investments.</w:t>
      </w:r>
    </w:p>
    <w:p>
      <w:pPr>
        <w:spacing w:after="0" w:line="109" w:lineRule="exact"/>
        <w:rPr>
          <w:sz w:val="20"/>
          <w:szCs w:val="20"/>
          <w:color w:val="auto"/>
        </w:rPr>
      </w:pPr>
    </w:p>
    <w:p>
      <w:pPr>
        <w:ind w:left="20" w:right="120"/>
        <w:spacing w:after="0" w:line="234" w:lineRule="auto"/>
        <w:rPr>
          <w:sz w:val="20"/>
          <w:szCs w:val="20"/>
          <w:color w:val="auto"/>
        </w:rPr>
      </w:pPr>
      <w:r>
        <w:rPr>
          <w:rFonts w:ascii="Calibri" w:cs="Calibri" w:eastAsia="Calibri" w:hAnsi="Calibri"/>
          <w:sz w:val="17"/>
          <w:szCs w:val="17"/>
          <w:color w:val="auto"/>
        </w:rPr>
        <w:t>As of December 31, 2023, 99.7% of debt investments based on fair value in the portolio bore interest at foatng rates, with 100.0% of these subject to reference rate foors. The Company’s credit facilites also bear interest at foatng rates. In connecton with the Company’s Unsecured Notes, which bear interest at fxed rates, the Company has entered into fxed-to-foatng interest rate swaps in order to align the nature of the interest rates of its liabilites with its investment portolio.</w:t>
      </w:r>
    </w:p>
    <w:p>
      <w:pPr>
        <w:spacing w:after="0" w:line="109" w:lineRule="exact"/>
        <w:rPr>
          <w:sz w:val="20"/>
          <w:szCs w:val="20"/>
          <w:color w:val="auto"/>
        </w:rPr>
      </w:pPr>
    </w:p>
    <w:p>
      <w:pPr>
        <w:ind w:left="20" w:right="220"/>
        <w:spacing w:after="0" w:line="234" w:lineRule="auto"/>
        <w:rPr>
          <w:sz w:val="20"/>
          <w:szCs w:val="20"/>
          <w:color w:val="auto"/>
        </w:rPr>
      </w:pPr>
      <w:r>
        <w:rPr>
          <w:rFonts w:ascii="Calibri" w:cs="Calibri" w:eastAsia="Calibri" w:hAnsi="Calibri"/>
          <w:sz w:val="17"/>
          <w:szCs w:val="17"/>
          <w:color w:val="auto"/>
        </w:rPr>
        <w:t>For the period ended December 31, 2023 and September 30, 2023, the weighted average total yield of debt and income-producing securites at fair value (which includes interest income and amortzaton of fees and discounts) was 14.1% and 14.2%, respectvely, and the weighted average total yield of debt and income-producing securites at amortzed cost (which includes interest income and amortzaton of fees and discounts) was 14.2% and 14.3%, respectvely.</w:t>
      </w:r>
    </w:p>
    <w:p>
      <w:pPr>
        <w:spacing w:after="0" w:line="122" w:lineRule="exact"/>
        <w:rPr>
          <w:sz w:val="20"/>
          <w:szCs w:val="20"/>
          <w:color w:val="auto"/>
        </w:rPr>
      </w:pPr>
    </w:p>
    <w:p>
      <w:pPr>
        <w:ind w:left="20" w:right="320"/>
        <w:spacing w:after="0" w:line="235" w:lineRule="auto"/>
        <w:rPr>
          <w:sz w:val="20"/>
          <w:szCs w:val="20"/>
          <w:color w:val="auto"/>
        </w:rPr>
      </w:pPr>
      <w:r>
        <w:rPr>
          <w:rFonts w:ascii="Calibri" w:cs="Calibri" w:eastAsia="Calibri" w:hAnsi="Calibri"/>
          <w:sz w:val="17"/>
          <w:szCs w:val="17"/>
          <w:color w:val="auto"/>
        </w:rPr>
        <w:t>As of December 31, 2023, non-accrual investments represented 0.62% of the portolio at fair value. No new investments were added to non-accrual status during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1023620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jc w:val="center"/>
        <w:spacing w:after="0"/>
        <w:rPr>
          <w:sz w:val="20"/>
          <w:szCs w:val="20"/>
          <w:color w:val="auto"/>
        </w:rPr>
      </w:pPr>
      <w:r>
        <w:rPr>
          <w:rFonts w:ascii="Calibri" w:cs="Calibri" w:eastAsia="Calibri" w:hAnsi="Calibri"/>
          <w:sz w:val="15"/>
          <w:szCs w:val="15"/>
          <w:b w:val="1"/>
          <w:bCs w:val="1"/>
          <w:color w:val="FFFFFF"/>
        </w:rPr>
        <w:t>Average Investment Size</w:t>
      </w:r>
      <w:r>
        <w:rPr>
          <w:rFonts w:ascii="Calibri" w:cs="Calibri" w:eastAsia="Calibri" w:hAnsi="Calibri"/>
          <w:sz w:val="20"/>
          <w:szCs w:val="20"/>
          <w:b w:val="1"/>
          <w:bCs w:val="1"/>
          <w:color w:val="FFFFF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220281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02815" cy="145415"/>
                    </a:xfrm>
                    <a:prstGeom prst="rect">
                      <a:avLst/>
                    </a:prstGeom>
                    <a:noFill/>
                  </pic:spPr>
                </pic:pic>
              </a:graphicData>
            </a:graphic>
          </wp:anchor>
        </w:drawing>
      </w:r>
    </w:p>
    <w:p>
      <w:pPr>
        <w:jc w:val="center"/>
        <w:spacing w:after="0"/>
        <w:rPr>
          <w:sz w:val="20"/>
          <w:szCs w:val="20"/>
          <w:color w:val="auto"/>
        </w:rPr>
      </w:pPr>
      <w:r>
        <w:rPr>
          <w:rFonts w:ascii="Calibri" w:cs="Calibri" w:eastAsia="Calibri" w:hAnsi="Calibri"/>
          <w:sz w:val="15"/>
          <w:szCs w:val="15"/>
          <w:b w:val="1"/>
          <w:bCs w:val="1"/>
          <w:color w:val="auto"/>
        </w:rPr>
        <w:t>$34.3MM</w:t>
      </w:r>
    </w:p>
    <w:p>
      <w:pPr>
        <w:spacing w:after="0" w:line="46" w:lineRule="exact"/>
        <w:rPr>
          <w:sz w:val="20"/>
          <w:szCs w:val="20"/>
          <w:color w:val="auto"/>
        </w:rPr>
      </w:pPr>
    </w:p>
    <w:p>
      <w:pPr>
        <w:jc w:val="center"/>
        <w:spacing w:after="0"/>
        <w:rPr>
          <w:sz w:val="20"/>
          <w:szCs w:val="20"/>
          <w:color w:val="auto"/>
        </w:rPr>
      </w:pPr>
      <w:r>
        <w:rPr>
          <w:rFonts w:ascii="Calibri" w:cs="Calibri" w:eastAsia="Calibri" w:hAnsi="Calibri"/>
          <w:sz w:val="15"/>
          <w:szCs w:val="15"/>
          <w:i w:val="1"/>
          <w:iCs w:val="1"/>
          <w:color w:val="auto"/>
        </w:rPr>
        <w:t>(1.0% of the portolio at fair value)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Calibri" w:cs="Calibri" w:eastAsia="Calibri" w:hAnsi="Calibri"/>
          <w:sz w:val="15"/>
          <w:szCs w:val="15"/>
          <w:b w:val="1"/>
          <w:bCs w:val="1"/>
          <w:color w:val="FFFFFF"/>
        </w:rPr>
        <w:t>First Lien Debt Investments (% FV)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220281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02815" cy="146050"/>
                    </a:xfrm>
                    <a:prstGeom prst="rect">
                      <a:avLst/>
                    </a:prstGeom>
                    <a:noFill/>
                  </pic:spPr>
                </pic:pic>
              </a:graphicData>
            </a:graphic>
          </wp:anchor>
        </w:drawing>
      </w:r>
    </w:p>
    <w:p>
      <w:pPr>
        <w:spacing w:after="0" w:line="26" w:lineRule="exact"/>
        <w:rPr>
          <w:sz w:val="20"/>
          <w:szCs w:val="20"/>
          <w:color w:val="auto"/>
        </w:rPr>
      </w:pPr>
    </w:p>
    <w:p>
      <w:pPr>
        <w:jc w:val="center"/>
        <w:spacing w:after="0"/>
        <w:rPr>
          <w:sz w:val="20"/>
          <w:szCs w:val="20"/>
          <w:color w:val="auto"/>
        </w:rPr>
      </w:pPr>
      <w:r>
        <w:rPr>
          <w:rFonts w:ascii="Calibri" w:cs="Calibri" w:eastAsia="Calibri" w:hAnsi="Calibri"/>
          <w:sz w:val="15"/>
          <w:szCs w:val="15"/>
          <w:b w:val="1"/>
          <w:bCs w:val="1"/>
          <w:color w:val="auto"/>
        </w:rPr>
        <w:t>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490220</wp:posOffset>
            </wp:positionV>
            <wp:extent cx="2202815" cy="325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028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40"/>
        <w:spacing w:after="0"/>
        <w:rPr>
          <w:sz w:val="20"/>
          <w:szCs w:val="20"/>
          <w:color w:val="auto"/>
        </w:rPr>
      </w:pPr>
      <w:r>
        <w:rPr>
          <w:rFonts w:ascii="Calibri" w:cs="Calibri" w:eastAsia="Calibri" w:hAnsi="Calibri"/>
          <w:sz w:val="15"/>
          <w:szCs w:val="15"/>
          <w:b w:val="1"/>
          <w:bCs w:val="1"/>
          <w:color w:val="FFFFFF"/>
        </w:rPr>
        <w:t>Floatng Rate Debt Investments</w:t>
      </w:r>
      <w:r>
        <w:rPr>
          <w:rFonts w:ascii="Calibri" w:cs="Calibri" w:eastAsia="Calibri" w:hAnsi="Calibri"/>
          <w:sz w:val="20"/>
          <w:szCs w:val="20"/>
          <w:b w:val="1"/>
          <w:bCs w:val="1"/>
          <w:color w:val="FFFFFF"/>
          <w:vertAlign w:val="superscript"/>
        </w:rPr>
        <w:t>3</w:t>
      </w:r>
    </w:p>
    <w:p>
      <w:pPr>
        <w:jc w:val="center"/>
        <w:spacing w:after="0" w:line="221" w:lineRule="auto"/>
        <w:rPr>
          <w:sz w:val="20"/>
          <w:szCs w:val="20"/>
          <w:color w:val="auto"/>
        </w:rPr>
      </w:pPr>
      <w:r>
        <w:rPr>
          <w:rFonts w:ascii="Calibri" w:cs="Calibri" w:eastAsia="Calibri" w:hAnsi="Calibri"/>
          <w:sz w:val="15"/>
          <w:szCs w:val="15"/>
          <w:b w:val="1"/>
          <w:bCs w:val="1"/>
          <w:color w:val="FFFFFF"/>
        </w:rPr>
        <w:t>(% FV)</w:t>
      </w:r>
    </w:p>
    <w:p>
      <w:pPr>
        <w:spacing w:after="0" w:line="128" w:lineRule="exact"/>
        <w:rPr>
          <w:sz w:val="20"/>
          <w:szCs w:val="20"/>
          <w:color w:val="auto"/>
        </w:rPr>
      </w:pPr>
    </w:p>
    <w:p>
      <w:pPr>
        <w:jc w:val="center"/>
        <w:spacing w:after="0"/>
        <w:rPr>
          <w:sz w:val="20"/>
          <w:szCs w:val="20"/>
          <w:color w:val="auto"/>
        </w:rPr>
      </w:pPr>
      <w:r>
        <w:rPr>
          <w:rFonts w:ascii="Calibri" w:cs="Calibri" w:eastAsia="Calibri" w:hAnsi="Calibri"/>
          <w:sz w:val="15"/>
          <w:szCs w:val="15"/>
          <w:b w:val="1"/>
          <w:bCs w:val="1"/>
          <w:color w:val="auto"/>
        </w:rPr>
        <w:t>99.7%</w:t>
      </w:r>
    </w:p>
    <w:p>
      <w:pPr>
        <w:spacing w:after="0" w:line="200" w:lineRule="exact"/>
        <w:rPr>
          <w:sz w:val="20"/>
          <w:szCs w:val="20"/>
          <w:color w:val="auto"/>
        </w:rPr>
      </w:pPr>
    </w:p>
    <w:p>
      <w:pPr>
        <w:spacing w:after="0" w:line="238" w:lineRule="exact"/>
        <w:rPr>
          <w:sz w:val="20"/>
          <w:szCs w:val="20"/>
          <w:color w:val="auto"/>
        </w:rPr>
      </w:pPr>
    </w:p>
    <w:p>
      <w:pPr>
        <w:jc w:val="center"/>
        <w:ind w:left="260"/>
        <w:spacing w:after="0" w:line="247" w:lineRule="auto"/>
        <w:rPr>
          <w:sz w:val="20"/>
          <w:szCs w:val="20"/>
          <w:color w:val="auto"/>
        </w:rPr>
      </w:pPr>
      <w:r>
        <w:rPr>
          <w:rFonts w:ascii="Calibri" w:cs="Calibri" w:eastAsia="Calibri" w:hAnsi="Calibri"/>
          <w:sz w:val="15"/>
          <w:szCs w:val="15"/>
          <w:b w:val="1"/>
          <w:bCs w:val="1"/>
          <w:color w:val="FFFFFF"/>
        </w:rPr>
        <w:t>Weighted Average Yield of Debt and Incoming-Producing Securites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-224155</wp:posOffset>
            </wp:positionV>
            <wp:extent cx="2202815" cy="248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02815" cy="2489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2200" w:type="dxa"/>
            <w:vAlign w:val="bottom"/>
          </w:tcPr>
          <w:p>
            <w:pPr>
              <w:ind w:left="60"/>
              <w:spacing w:after="0"/>
              <w:rPr>
                <w:sz w:val="20"/>
                <w:szCs w:val="20"/>
                <w:color w:val="auto"/>
              </w:rPr>
            </w:pPr>
            <w:r>
              <w:rPr>
                <w:rFonts w:ascii="Calibri" w:cs="Calibri" w:eastAsia="Calibri" w:hAnsi="Calibri"/>
                <w:sz w:val="15"/>
                <w:szCs w:val="15"/>
                <w:b w:val="1"/>
                <w:bCs w:val="1"/>
                <w:color w:val="auto"/>
              </w:rPr>
              <w:t>Yield at Fair Value:</w:t>
            </w:r>
          </w:p>
        </w:tc>
        <w:tc>
          <w:tcPr>
            <w:tcW w:w="1260" w:type="dxa"/>
            <w:vAlign w:val="bottom"/>
          </w:tcPr>
          <w:p>
            <w:pPr>
              <w:jc w:val="right"/>
              <w:ind w:right="184"/>
              <w:spacing w:after="0"/>
              <w:rPr>
                <w:sz w:val="20"/>
                <w:szCs w:val="20"/>
                <w:color w:val="auto"/>
              </w:rPr>
            </w:pPr>
            <w:r>
              <w:rPr>
                <w:rFonts w:ascii="Calibri" w:cs="Calibri" w:eastAsia="Calibri" w:hAnsi="Calibri"/>
                <w:sz w:val="15"/>
                <w:szCs w:val="15"/>
                <w:b w:val="1"/>
                <w:bCs w:val="1"/>
                <w:color w:val="auto"/>
              </w:rPr>
              <w:t>14.1%</w:t>
            </w:r>
          </w:p>
        </w:tc>
      </w:tr>
      <w:tr>
        <w:trPr>
          <w:trHeight w:val="57"/>
        </w:trPr>
        <w:tc>
          <w:tcPr>
            <w:tcW w:w="22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176"/>
        </w:trPr>
        <w:tc>
          <w:tcPr>
            <w:tcW w:w="2200" w:type="dxa"/>
            <w:vAlign w:val="bottom"/>
          </w:tcPr>
          <w:p>
            <w:pPr>
              <w:ind w:left="60"/>
              <w:spacing w:after="0" w:line="176" w:lineRule="exact"/>
              <w:rPr>
                <w:sz w:val="20"/>
                <w:szCs w:val="20"/>
                <w:color w:val="auto"/>
              </w:rPr>
            </w:pPr>
            <w:r>
              <w:rPr>
                <w:rFonts w:ascii="Calibri" w:cs="Calibri" w:eastAsia="Calibri" w:hAnsi="Calibri"/>
                <w:sz w:val="15"/>
                <w:szCs w:val="15"/>
                <w:b w:val="1"/>
                <w:bCs w:val="1"/>
                <w:color w:val="auto"/>
              </w:rPr>
              <w:t>Yield at Amortzed Cost:</w:t>
            </w:r>
          </w:p>
        </w:tc>
        <w:tc>
          <w:tcPr>
            <w:tcW w:w="1260" w:type="dxa"/>
            <w:vAlign w:val="bottom"/>
          </w:tcPr>
          <w:p>
            <w:pPr>
              <w:jc w:val="right"/>
              <w:ind w:right="184"/>
              <w:spacing w:after="0" w:line="176" w:lineRule="exact"/>
              <w:rPr>
                <w:sz w:val="20"/>
                <w:szCs w:val="20"/>
                <w:color w:val="auto"/>
              </w:rPr>
            </w:pPr>
            <w:r>
              <w:rPr>
                <w:rFonts w:ascii="Calibri" w:cs="Calibri" w:eastAsia="Calibri" w:hAnsi="Calibri"/>
                <w:sz w:val="15"/>
                <w:szCs w:val="15"/>
                <w:b w:val="1"/>
                <w:bCs w:val="1"/>
                <w:color w:val="auto"/>
              </w:rPr>
              <w:t>14.2%</w:t>
            </w:r>
          </w:p>
        </w:tc>
      </w:tr>
    </w:tbl>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 </w:t>
      </w:r>
      <w:r>
        <w:rPr>
          <w:rFonts w:ascii="Calibri" w:cs="Calibri" w:eastAsia="Calibri" w:hAnsi="Calibri"/>
          <w:sz w:val="14"/>
          <w:szCs w:val="14"/>
          <w:color w:val="auto"/>
        </w:rPr>
        <w:t>As of December 31, 2023, excludes 42 structured credit</w:t>
      </w:r>
    </w:p>
    <w:p>
      <w:pPr>
        <w:ind w:left="100" w:hanging="96"/>
        <w:spacing w:after="0" w:line="197" w:lineRule="auto"/>
        <w:tabs>
          <w:tab w:leader="none" w:pos="100" w:val="left"/>
        </w:tabs>
        <w:numPr>
          <w:ilvl w:val="0"/>
          <w:numId w:val="2"/>
        </w:numPr>
        <w:rPr>
          <w:rFonts w:ascii="Times New Roman" w:cs="Times New Roman" w:eastAsia="Times New Roman" w:hAnsi="Times New Roman"/>
          <w:sz w:val="20"/>
          <w:szCs w:val="20"/>
          <w:color w:val="auto"/>
          <w:vertAlign w:val="superscript"/>
        </w:rPr>
      </w:pPr>
      <w:r>
        <w:rPr>
          <w:rFonts w:ascii="Calibri" w:cs="Calibri" w:eastAsia="Calibri" w:hAnsi="Calibri"/>
          <w:sz w:val="12"/>
          <w:szCs w:val="12"/>
          <w:color w:val="auto"/>
        </w:rPr>
        <w:t>investments with a total fair value of $55.8 million.</w:t>
      </w:r>
    </w:p>
    <w:p>
      <w:pPr>
        <w:spacing w:after="0" w:line="5" w:lineRule="exact"/>
        <w:rPr>
          <w:sz w:val="20"/>
          <w:szCs w:val="20"/>
          <w:color w:val="auto"/>
        </w:rPr>
      </w:pPr>
    </w:p>
    <w:p>
      <w:pPr>
        <w:spacing w:after="0"/>
        <w:rPr>
          <w:sz w:val="20"/>
          <w:szCs w:val="20"/>
          <w:color w:val="auto"/>
        </w:rPr>
      </w:pPr>
      <w:r>
        <w:rPr>
          <w:rFonts w:ascii="Calibri" w:cs="Calibri" w:eastAsia="Calibri" w:hAnsi="Calibri"/>
          <w:sz w:val="14"/>
          <w:szCs w:val="14"/>
          <w:color w:val="auto"/>
        </w:rPr>
        <w:t>2 As of September, 30 2023, excludes 42 structured credit</w:t>
      </w:r>
    </w:p>
    <w:p>
      <w:pPr>
        <w:spacing w:after="0" w:line="5" w:lineRule="exact"/>
        <w:rPr>
          <w:sz w:val="20"/>
          <w:szCs w:val="20"/>
          <w:color w:val="auto"/>
        </w:rPr>
      </w:pPr>
    </w:p>
    <w:p>
      <w:pPr>
        <w:spacing w:after="0"/>
        <w:rPr>
          <w:sz w:val="20"/>
          <w:szCs w:val="20"/>
          <w:color w:val="auto"/>
        </w:rPr>
      </w:pPr>
      <w:r>
        <w:rPr>
          <w:rFonts w:ascii="Calibri" w:cs="Calibri" w:eastAsia="Calibri" w:hAnsi="Calibri"/>
          <w:sz w:val="14"/>
          <w:szCs w:val="14"/>
          <w:color w:val="auto"/>
        </w:rPr>
        <w:t>. investments with a total fair value of $54.0 million.</w:t>
      </w:r>
    </w:p>
    <w:p>
      <w:pPr>
        <w:spacing w:after="0" w:line="5" w:lineRule="exact"/>
        <w:rPr>
          <w:sz w:val="20"/>
          <w:szCs w:val="20"/>
          <w:color w:val="auto"/>
        </w:rPr>
      </w:pPr>
    </w:p>
    <w:p>
      <w:pPr>
        <w:spacing w:after="0"/>
        <w:rPr>
          <w:sz w:val="20"/>
          <w:szCs w:val="20"/>
          <w:color w:val="auto"/>
        </w:rPr>
      </w:pPr>
      <w:r>
        <w:rPr>
          <w:rFonts w:ascii="Calibri" w:cs="Calibri" w:eastAsia="Calibri" w:hAnsi="Calibri"/>
          <w:sz w:val="14"/>
          <w:szCs w:val="14"/>
          <w:color w:val="auto"/>
        </w:rPr>
        <w:t>3 Calculaton includes income earning debt investments</w:t>
      </w:r>
    </w:p>
    <w:p>
      <w:pPr>
        <w:spacing w:after="0" w:line="5" w:lineRule="exact"/>
        <w:rPr>
          <w:sz w:val="20"/>
          <w:szCs w:val="20"/>
          <w:color w:val="auto"/>
        </w:rPr>
      </w:pPr>
    </w:p>
    <w:p>
      <w:pPr>
        <w:spacing w:after="0"/>
        <w:rPr>
          <w:sz w:val="20"/>
          <w:szCs w:val="20"/>
          <w:color w:val="auto"/>
        </w:rPr>
      </w:pPr>
      <w:r>
        <w:rPr>
          <w:rFonts w:ascii="Calibri" w:cs="Calibri" w:eastAsia="Calibri" w:hAnsi="Calibri"/>
          <w:sz w:val="14"/>
          <w:szCs w:val="14"/>
          <w:color w:val="auto"/>
        </w:rPr>
        <w:t>. only.</w:t>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7640" w:space="140"/>
            <w:col w:w="3460"/>
          </w:cols>
          <w:pgMar w:left="320" w:top="1440" w:right="339" w:bottom="1440" w:gutter="0" w:footer="0" w:header="0"/>
          <w:type w:val="continuous"/>
        </w:sectPr>
      </w:pPr>
    </w:p>
    <w:bookmarkStart w:id="5" w:name="page6"/>
    <w:bookmarkEnd w:id="5"/>
    <w:p>
      <w:pPr>
        <w:spacing w:after="0" w:line="2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21"/>
          <w:szCs w:val="21"/>
          <w:b w:val="1"/>
          <w:bCs w:val="1"/>
          <w:color w:val="auto"/>
        </w:rPr>
        <w:t>RESULTS OF OPERATIONS FOR THE FULL YEAR AND THREE MONTHS ENDED DECEMBER 31, 2023</w:t>
      </w:r>
    </w:p>
    <w:p>
      <w:pPr>
        <w:sectPr>
          <w:pgSz w:w="11900" w:h="16838" w:orient="portrait"/>
          <w:cols w:equalWidth="0" w:num="1">
            <w:col w:w="11240"/>
          </w:cols>
          <w:pgMar w:left="320" w:top="1440" w:right="339" w:bottom="1440" w:gutter="0" w:footer="0" w:header="0"/>
        </w:sectPr>
      </w:pPr>
    </w:p>
    <w:p>
      <w:pPr>
        <w:spacing w:after="0" w:line="268"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auto"/>
        </w:rPr>
        <w:t>Full Year</w:t>
      </w:r>
    </w:p>
    <w:p>
      <w:pPr>
        <w:spacing w:after="0" w:line="295" w:lineRule="exact"/>
        <w:rPr>
          <w:sz w:val="20"/>
          <w:szCs w:val="20"/>
          <w:color w:val="auto"/>
        </w:rPr>
      </w:pPr>
    </w:p>
    <w:p>
      <w:pPr>
        <w:jc w:val="both"/>
        <w:ind w:left="20"/>
        <w:spacing w:after="0" w:line="234" w:lineRule="auto"/>
        <w:rPr>
          <w:sz w:val="20"/>
          <w:szCs w:val="20"/>
          <w:color w:val="auto"/>
        </w:rPr>
      </w:pPr>
      <w:r>
        <w:rPr>
          <w:rFonts w:ascii="Calibri" w:cs="Calibri" w:eastAsia="Calibri" w:hAnsi="Calibri"/>
          <w:sz w:val="17"/>
          <w:szCs w:val="17"/>
          <w:color w:val="auto"/>
        </w:rPr>
        <w:t>For the years ended December 31, 2023 and 2022, investment income totaled $438.1 million and $309.3 million, respectvely. The increase in investment income was primarily the result of higher interest from investments driven by increased all-in yields.</w:t>
      </w:r>
    </w:p>
    <w:p>
      <w:pPr>
        <w:spacing w:after="0" w:line="109" w:lineRule="exact"/>
        <w:rPr>
          <w:sz w:val="20"/>
          <w:szCs w:val="20"/>
          <w:color w:val="auto"/>
        </w:rPr>
      </w:pPr>
    </w:p>
    <w:p>
      <w:pPr>
        <w:ind w:left="20" w:right="180"/>
        <w:spacing w:after="0" w:line="234" w:lineRule="auto"/>
        <w:rPr>
          <w:sz w:val="20"/>
          <w:szCs w:val="20"/>
          <w:color w:val="auto"/>
        </w:rPr>
      </w:pPr>
      <w:r>
        <w:rPr>
          <w:rFonts w:ascii="Calibri" w:cs="Calibri" w:eastAsia="Calibri" w:hAnsi="Calibri"/>
          <w:sz w:val="17"/>
          <w:szCs w:val="17"/>
          <w:color w:val="auto"/>
        </w:rPr>
        <w:t>Net expenses totaled $239.3 million and $140.4 million for the years ended December 31, 2023 and 2022, respectvely. The increase in net expenses was primarily due to the upward movement in reference rates which increased the Company’s weighted average interest rate on average debt outstanding.</w:t>
      </w:r>
    </w:p>
    <w:p>
      <w:pPr>
        <w:spacing w:after="0" w:line="281"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auto"/>
        </w:rPr>
        <w:t>Fourth Quarter</w:t>
      </w:r>
    </w:p>
    <w:p>
      <w:pPr>
        <w:spacing w:after="0" w:line="336" w:lineRule="exact"/>
        <w:rPr>
          <w:sz w:val="20"/>
          <w:szCs w:val="20"/>
          <w:color w:val="auto"/>
        </w:rPr>
      </w:pPr>
    </w:p>
    <w:p>
      <w:pPr>
        <w:ind w:left="20" w:right="80"/>
        <w:spacing w:after="0"/>
        <w:rPr>
          <w:sz w:val="20"/>
          <w:szCs w:val="20"/>
          <w:color w:val="auto"/>
        </w:rPr>
      </w:pPr>
      <w:r>
        <w:rPr>
          <w:rFonts w:ascii="Calibri" w:cs="Calibri" w:eastAsia="Calibri" w:hAnsi="Calibri"/>
          <w:sz w:val="17"/>
          <w:szCs w:val="17"/>
          <w:color w:val="auto"/>
        </w:rPr>
        <w:t>For the three months ended December 31, 2023 and 2022, total investment income was $119.5 million and $100.1 million, respectvely. The increase in total investment income was primarily the result of higher interest from investments driven by increased all-in yields.</w:t>
      </w:r>
    </w:p>
    <w:p>
      <w:pPr>
        <w:spacing w:after="0" w:line="106" w:lineRule="exact"/>
        <w:rPr>
          <w:sz w:val="20"/>
          <w:szCs w:val="20"/>
          <w:color w:val="auto"/>
        </w:rPr>
      </w:pPr>
    </w:p>
    <w:p>
      <w:pPr>
        <w:jc w:val="both"/>
        <w:ind w:left="20" w:right="80"/>
        <w:spacing w:after="0" w:line="238" w:lineRule="auto"/>
        <w:rPr>
          <w:sz w:val="20"/>
          <w:szCs w:val="20"/>
          <w:color w:val="auto"/>
        </w:rPr>
      </w:pPr>
      <w:r>
        <w:rPr>
          <w:rFonts w:ascii="Calibri" w:cs="Calibri" w:eastAsia="Calibri" w:hAnsi="Calibri"/>
          <w:sz w:val="17"/>
          <w:szCs w:val="17"/>
          <w:color w:val="auto"/>
        </w:rPr>
        <w:t>Net expenses totaled $64.3 million and $46.4 million for the three months ended December 31, 2023 and 2022, respectvely. The increase in expenses was primarily driven by higher interest expense resultng from the upward movement in reference rates which increased the Company’s weighted average interest rate on average debt outstanding.</w:t>
      </w:r>
    </w:p>
    <w:p>
      <w:pPr>
        <w:spacing w:after="0" w:line="281" w:lineRule="exact"/>
        <w:rPr>
          <w:sz w:val="20"/>
          <w:szCs w:val="20"/>
          <w:color w:val="auto"/>
        </w:rPr>
      </w:pPr>
    </w:p>
    <w:p>
      <w:pPr>
        <w:ind w:left="20"/>
        <w:spacing w:after="0"/>
        <w:rPr>
          <w:sz w:val="20"/>
          <w:szCs w:val="20"/>
          <w:color w:val="auto"/>
        </w:rPr>
      </w:pPr>
      <w:r>
        <w:rPr>
          <w:rFonts w:ascii="Calibri" w:cs="Calibri" w:eastAsia="Calibri" w:hAnsi="Calibri"/>
          <w:sz w:val="17"/>
          <w:szCs w:val="17"/>
          <w:b w:val="1"/>
          <w:bCs w:val="1"/>
          <w:color w:val="auto"/>
        </w:rPr>
        <w:t>Debt and Capital Resources</w:t>
      </w:r>
    </w:p>
    <w:p>
      <w:pPr>
        <w:spacing w:after="0" w:line="336" w:lineRule="exact"/>
        <w:rPr>
          <w:sz w:val="20"/>
          <w:szCs w:val="20"/>
          <w:color w:val="auto"/>
        </w:rPr>
      </w:pPr>
    </w:p>
    <w:p>
      <w:pPr>
        <w:ind w:left="20" w:right="20"/>
        <w:spacing w:after="0" w:line="234" w:lineRule="auto"/>
        <w:rPr>
          <w:sz w:val="20"/>
          <w:szCs w:val="20"/>
          <w:color w:val="auto"/>
        </w:rPr>
      </w:pPr>
      <w:r>
        <w:rPr>
          <w:rFonts w:ascii="Calibri" w:cs="Calibri" w:eastAsia="Calibri" w:hAnsi="Calibri"/>
          <w:sz w:val="17"/>
          <w:szCs w:val="17"/>
          <w:color w:val="auto"/>
        </w:rPr>
        <w:t>As of December 31, 2023, the Company had $25.2 million in cash and cash equivalents (including $24.0 million of restricted cash), total principal value of debt outstanding of $1,837.2 million, and $820.2 million of undrawn capacity on its revolving credit facility, subject to borrowing base and other limitatons. At year end, aggregate commitments under the Company’s revolving credit facility were $1.710 billion, in accordance with the accordion feature.</w:t>
      </w:r>
    </w:p>
    <w:p>
      <w:pPr>
        <w:spacing w:after="0" w:line="109" w:lineRule="exact"/>
        <w:rPr>
          <w:sz w:val="20"/>
          <w:szCs w:val="20"/>
          <w:color w:val="auto"/>
        </w:rPr>
      </w:pPr>
    </w:p>
    <w:p>
      <w:pPr>
        <w:ind w:left="20" w:right="20"/>
        <w:spacing w:after="0" w:line="234" w:lineRule="auto"/>
        <w:rPr>
          <w:sz w:val="20"/>
          <w:szCs w:val="20"/>
          <w:color w:val="auto"/>
        </w:rPr>
      </w:pPr>
      <w:r>
        <w:rPr>
          <w:rFonts w:ascii="Calibri" w:cs="Calibri" w:eastAsia="Calibri" w:hAnsi="Calibri"/>
          <w:sz w:val="17"/>
          <w:szCs w:val="17"/>
          <w:color w:val="auto"/>
        </w:rPr>
        <w:t>The Company’s weighted average interest rate on debt outstanding was 7.8% and 7.5% for the three months ended December 31, 2023 and September 30, 2023, respectvely. At December 31, 2023, the Company’s debt to equity rato was 1.23x, compared to 1.15x at September 30, 2023. Average debt to equity was 1.22x and 1.18x during the three months ended December 31, 2023 and September 30, 2023, respectvely.</w:t>
      </w:r>
    </w:p>
    <w:p>
      <w:pPr>
        <w:spacing w:after="0" w:line="135" w:lineRule="exact"/>
        <w:rPr>
          <w:sz w:val="20"/>
          <w:szCs w:val="20"/>
          <w:color w:val="auto"/>
        </w:rPr>
      </w:pPr>
    </w:p>
    <w:p>
      <w:pPr>
        <w:ind w:left="180" w:right="200" w:hanging="159"/>
        <w:spacing w:after="0" w:line="245" w:lineRule="auto"/>
        <w:tabs>
          <w:tab w:leader="none" w:pos="180" w:val="left"/>
        </w:tabs>
        <w:numPr>
          <w:ilvl w:val="0"/>
          <w:numId w:val="3"/>
        </w:numPr>
        <w:rPr>
          <w:rFonts w:ascii="Calibri" w:cs="Calibri" w:eastAsia="Calibri" w:hAnsi="Calibri"/>
          <w:sz w:val="14"/>
          <w:szCs w:val="14"/>
          <w:color w:val="auto"/>
        </w:rPr>
      </w:pPr>
      <w:r>
        <w:rPr>
          <w:rFonts w:ascii="Calibri" w:cs="Calibri" w:eastAsia="Calibri" w:hAnsi="Calibri"/>
          <w:sz w:val="14"/>
          <w:szCs w:val="14"/>
          <w:color w:val="auto"/>
        </w:rPr>
        <w:t>Daily average debt outstanding during the quarter divided by the daily average net assets during the quarter. Daily average net assets is calculated by startng with the prior quarter end net asset value and adjustng for capital actvity during the quarter (adding common stock oferings / DRIP contributons).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881380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89"/>
        </w:trPr>
        <w:tc>
          <w:tcPr>
            <w:tcW w:w="1400" w:type="dxa"/>
            <w:vAlign w:val="bottom"/>
            <w:shd w:val="clear" w:color="auto" w:fill="0F2F50"/>
          </w:tcPr>
          <w:p>
            <w:pPr>
              <w:spacing w:after="0"/>
              <w:rPr>
                <w:sz w:val="24"/>
                <w:szCs w:val="24"/>
                <w:color w:val="auto"/>
              </w:rPr>
            </w:pPr>
          </w:p>
        </w:tc>
        <w:tc>
          <w:tcPr>
            <w:tcW w:w="1960" w:type="dxa"/>
            <w:vAlign w:val="bottom"/>
            <w:shd w:val="clear" w:color="auto" w:fill="0F2F50"/>
          </w:tcPr>
          <w:p>
            <w:pPr>
              <w:jc w:val="right"/>
              <w:ind w:right="1444"/>
              <w:spacing w:after="0"/>
              <w:rPr>
                <w:sz w:val="20"/>
                <w:szCs w:val="20"/>
                <w:color w:val="auto"/>
              </w:rPr>
            </w:pPr>
            <w:r>
              <w:rPr>
                <w:rFonts w:ascii="Calibri" w:cs="Calibri" w:eastAsia="Calibri" w:hAnsi="Calibri"/>
                <w:sz w:val="15"/>
                <w:szCs w:val="15"/>
                <w:b w:val="1"/>
                <w:bCs w:val="1"/>
                <w:color w:val="FFFFFF"/>
              </w:rPr>
              <w:t>2023</w:t>
            </w:r>
          </w:p>
        </w:tc>
      </w:tr>
      <w:tr>
        <w:trPr>
          <w:trHeight w:val="286"/>
        </w:trPr>
        <w:tc>
          <w:tcPr>
            <w:tcW w:w="1400" w:type="dxa"/>
            <w:vAlign w:val="bottom"/>
            <w:shd w:val="clear" w:color="auto" w:fill="0F2F50"/>
          </w:tcPr>
          <w:p>
            <w:pPr>
              <w:spacing w:after="0"/>
              <w:rPr>
                <w:sz w:val="24"/>
                <w:szCs w:val="24"/>
                <w:color w:val="auto"/>
              </w:rPr>
            </w:pPr>
          </w:p>
        </w:tc>
        <w:tc>
          <w:tcPr>
            <w:tcW w:w="1960" w:type="dxa"/>
            <w:vAlign w:val="bottom"/>
            <w:shd w:val="clear" w:color="auto" w:fill="0F2F50"/>
          </w:tcPr>
          <w:p>
            <w:pPr>
              <w:spacing w:after="0"/>
              <w:rPr>
                <w:sz w:val="24"/>
                <w:szCs w:val="24"/>
                <w:color w:val="auto"/>
              </w:rPr>
            </w:pPr>
          </w:p>
        </w:tc>
      </w:tr>
      <w:tr>
        <w:trPr>
          <w:trHeight w:val="183"/>
        </w:trPr>
        <w:tc>
          <w:tcPr>
            <w:tcW w:w="1400" w:type="dxa"/>
            <w:vAlign w:val="bottom"/>
          </w:tcPr>
          <w:p>
            <w:pPr>
              <w:ind w:left="20"/>
              <w:spacing w:after="0"/>
              <w:rPr>
                <w:sz w:val="20"/>
                <w:szCs w:val="20"/>
                <w:color w:val="auto"/>
              </w:rPr>
            </w:pPr>
            <w:r>
              <w:rPr>
                <w:rFonts w:ascii="Calibri" w:cs="Calibri" w:eastAsia="Calibri" w:hAnsi="Calibri"/>
                <w:sz w:val="15"/>
                <w:szCs w:val="15"/>
                <w:b w:val="1"/>
                <w:bCs w:val="1"/>
                <w:color w:val="auto"/>
              </w:rPr>
              <w:t>Investment Income:</w:t>
            </w:r>
          </w:p>
        </w:tc>
        <w:tc>
          <w:tcPr>
            <w:tcW w:w="1960" w:type="dxa"/>
            <w:vAlign w:val="bottom"/>
          </w:tcPr>
          <w:p>
            <w:pPr>
              <w:ind w:left="1160"/>
              <w:spacing w:after="0"/>
              <w:rPr>
                <w:sz w:val="20"/>
                <w:szCs w:val="20"/>
                <w:color w:val="auto"/>
              </w:rPr>
            </w:pPr>
            <w:r>
              <w:rPr>
                <w:rFonts w:ascii="Calibri" w:cs="Calibri" w:eastAsia="Calibri" w:hAnsi="Calibri"/>
                <w:sz w:val="15"/>
                <w:szCs w:val="15"/>
                <w:b w:val="1"/>
                <w:bCs w:val="1"/>
                <w:color w:val="auto"/>
              </w:rPr>
              <w:t>$438.1MM</w:t>
            </w:r>
          </w:p>
        </w:tc>
      </w:tr>
      <w:tr>
        <w:trPr>
          <w:trHeight w:val="422"/>
        </w:trPr>
        <w:tc>
          <w:tcPr>
            <w:tcW w:w="1400" w:type="dxa"/>
            <w:vAlign w:val="bottom"/>
          </w:tcPr>
          <w:p>
            <w:pPr>
              <w:ind w:left="20"/>
              <w:spacing w:after="0"/>
              <w:rPr>
                <w:sz w:val="20"/>
                <w:szCs w:val="20"/>
                <w:color w:val="auto"/>
              </w:rPr>
            </w:pPr>
            <w:r>
              <w:rPr>
                <w:rFonts w:ascii="Calibri" w:cs="Calibri" w:eastAsia="Calibri" w:hAnsi="Calibri"/>
                <w:sz w:val="15"/>
                <w:szCs w:val="15"/>
                <w:b w:val="1"/>
                <w:bCs w:val="1"/>
                <w:color w:val="auto"/>
              </w:rPr>
              <w:t>Net Expenses:</w:t>
            </w:r>
          </w:p>
        </w:tc>
        <w:tc>
          <w:tcPr>
            <w:tcW w:w="1960" w:type="dxa"/>
            <w:vAlign w:val="bottom"/>
          </w:tcPr>
          <w:p>
            <w:pPr>
              <w:ind w:left="1160"/>
              <w:spacing w:after="0"/>
              <w:rPr>
                <w:sz w:val="20"/>
                <w:szCs w:val="20"/>
                <w:color w:val="auto"/>
              </w:rPr>
            </w:pPr>
            <w:r>
              <w:rPr>
                <w:rFonts w:ascii="Calibri" w:cs="Calibri" w:eastAsia="Calibri" w:hAnsi="Calibri"/>
                <w:sz w:val="15"/>
                <w:szCs w:val="15"/>
                <w:b w:val="1"/>
                <w:bCs w:val="1"/>
                <w:color w:val="auto"/>
              </w:rPr>
              <w:t>$239.3MM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443"/>
        </w:trPr>
        <w:tc>
          <w:tcPr>
            <w:tcW w:w="1340" w:type="dxa"/>
            <w:vAlign w:val="bottom"/>
            <w:shd w:val="clear" w:color="auto" w:fill="0F2F50"/>
          </w:tcPr>
          <w:p>
            <w:pPr>
              <w:spacing w:after="0"/>
              <w:rPr>
                <w:sz w:val="24"/>
                <w:szCs w:val="24"/>
                <w:color w:val="auto"/>
              </w:rPr>
            </w:pPr>
          </w:p>
        </w:tc>
        <w:tc>
          <w:tcPr>
            <w:tcW w:w="2020" w:type="dxa"/>
            <w:vAlign w:val="bottom"/>
            <w:shd w:val="clear" w:color="auto" w:fill="0F2F50"/>
          </w:tcPr>
          <w:p>
            <w:pPr>
              <w:jc w:val="right"/>
              <w:ind w:right="1344"/>
              <w:spacing w:after="0"/>
              <w:rPr>
                <w:sz w:val="20"/>
                <w:szCs w:val="20"/>
                <w:color w:val="auto"/>
              </w:rPr>
            </w:pPr>
            <w:r>
              <w:rPr>
                <w:rFonts w:ascii="Calibri" w:cs="Calibri" w:eastAsia="Calibri" w:hAnsi="Calibri"/>
                <w:sz w:val="15"/>
                <w:szCs w:val="15"/>
                <w:b w:val="1"/>
                <w:bCs w:val="1"/>
                <w:color w:val="FFFFFF"/>
              </w:rPr>
              <w:t>Q4 2023</w:t>
            </w:r>
          </w:p>
        </w:tc>
      </w:tr>
      <w:tr>
        <w:trPr>
          <w:trHeight w:val="340"/>
        </w:trPr>
        <w:tc>
          <w:tcPr>
            <w:tcW w:w="1340" w:type="dxa"/>
            <w:vAlign w:val="bottom"/>
            <w:shd w:val="clear" w:color="auto" w:fill="0F2F50"/>
          </w:tcPr>
          <w:p>
            <w:pPr>
              <w:spacing w:after="0"/>
              <w:rPr>
                <w:sz w:val="24"/>
                <w:szCs w:val="24"/>
                <w:color w:val="auto"/>
              </w:rPr>
            </w:pPr>
          </w:p>
        </w:tc>
        <w:tc>
          <w:tcPr>
            <w:tcW w:w="2020" w:type="dxa"/>
            <w:vAlign w:val="bottom"/>
            <w:shd w:val="clear" w:color="auto" w:fill="0F2F50"/>
          </w:tcPr>
          <w:p>
            <w:pPr>
              <w:spacing w:after="0"/>
              <w:rPr>
                <w:sz w:val="24"/>
                <w:szCs w:val="24"/>
                <w:color w:val="auto"/>
              </w:rPr>
            </w:pPr>
          </w:p>
        </w:tc>
      </w:tr>
      <w:tr>
        <w:trPr>
          <w:trHeight w:val="183"/>
        </w:trPr>
        <w:tc>
          <w:tcPr>
            <w:tcW w:w="1340" w:type="dxa"/>
            <w:vAlign w:val="bottom"/>
          </w:tcPr>
          <w:p>
            <w:pPr>
              <w:ind w:left="20"/>
              <w:spacing w:after="0"/>
              <w:rPr>
                <w:sz w:val="20"/>
                <w:szCs w:val="20"/>
                <w:color w:val="auto"/>
              </w:rPr>
            </w:pPr>
            <w:r>
              <w:rPr>
                <w:rFonts w:ascii="Calibri" w:cs="Calibri" w:eastAsia="Calibri" w:hAnsi="Calibri"/>
                <w:sz w:val="15"/>
                <w:szCs w:val="15"/>
                <w:b w:val="1"/>
                <w:bCs w:val="1"/>
                <w:color w:val="auto"/>
              </w:rPr>
              <w:t>Investment Income:</w:t>
            </w:r>
          </w:p>
        </w:tc>
        <w:tc>
          <w:tcPr>
            <w:tcW w:w="2020" w:type="dxa"/>
            <w:vAlign w:val="bottom"/>
          </w:tcPr>
          <w:p>
            <w:pPr>
              <w:jc w:val="right"/>
              <w:spacing w:after="0"/>
              <w:rPr>
                <w:sz w:val="20"/>
                <w:szCs w:val="20"/>
                <w:color w:val="auto"/>
              </w:rPr>
            </w:pPr>
            <w:r>
              <w:rPr>
                <w:rFonts w:ascii="Calibri" w:cs="Calibri" w:eastAsia="Calibri" w:hAnsi="Calibri"/>
                <w:sz w:val="15"/>
                <w:szCs w:val="15"/>
                <w:b w:val="1"/>
                <w:bCs w:val="1"/>
                <w:color w:val="auto"/>
              </w:rPr>
              <w:t>$119.5MM</w:t>
            </w:r>
          </w:p>
        </w:tc>
      </w:tr>
      <w:tr>
        <w:trPr>
          <w:trHeight w:val="503"/>
        </w:trPr>
        <w:tc>
          <w:tcPr>
            <w:tcW w:w="1340" w:type="dxa"/>
            <w:vAlign w:val="bottom"/>
          </w:tcPr>
          <w:p>
            <w:pPr>
              <w:ind w:left="20"/>
              <w:spacing w:after="0"/>
              <w:rPr>
                <w:sz w:val="20"/>
                <w:szCs w:val="20"/>
                <w:color w:val="auto"/>
              </w:rPr>
            </w:pPr>
            <w:r>
              <w:rPr>
                <w:rFonts w:ascii="Calibri" w:cs="Calibri" w:eastAsia="Calibri" w:hAnsi="Calibri"/>
                <w:sz w:val="15"/>
                <w:szCs w:val="15"/>
                <w:b w:val="1"/>
                <w:bCs w:val="1"/>
                <w:color w:val="auto"/>
              </w:rPr>
              <w:t>Net Expenses:</w:t>
            </w:r>
          </w:p>
        </w:tc>
        <w:tc>
          <w:tcPr>
            <w:tcW w:w="2020" w:type="dxa"/>
            <w:vAlign w:val="bottom"/>
          </w:tcPr>
          <w:p>
            <w:pPr>
              <w:jc w:val="right"/>
              <w:spacing w:after="0"/>
              <w:rPr>
                <w:sz w:val="20"/>
                <w:szCs w:val="20"/>
                <w:color w:val="auto"/>
              </w:rPr>
            </w:pPr>
            <w:r>
              <w:rPr>
                <w:rFonts w:ascii="Calibri" w:cs="Calibri" w:eastAsia="Calibri" w:hAnsi="Calibri"/>
                <w:sz w:val="15"/>
                <w:szCs w:val="15"/>
                <w:b w:val="1"/>
                <w:bCs w:val="1"/>
                <w:color w:val="auto"/>
              </w:rPr>
              <w:t>$64.3MM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Calibri" w:cs="Calibri" w:eastAsia="Calibri" w:hAnsi="Calibri"/>
          <w:sz w:val="15"/>
          <w:szCs w:val="15"/>
          <w:b w:val="1"/>
          <w:bCs w:val="1"/>
          <w:color w:val="FFFFFF"/>
        </w:rPr>
        <w:t>Total Principal Debt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-109220</wp:posOffset>
            </wp:positionV>
            <wp:extent cx="2134235"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34235" cy="146050"/>
                    </a:xfrm>
                    <a:prstGeom prst="rect">
                      <a:avLst/>
                    </a:prstGeom>
                    <a:noFill/>
                  </pic:spPr>
                </pic:pic>
              </a:graphicData>
            </a:graphic>
          </wp:anchor>
        </w:drawing>
      </w:r>
    </w:p>
    <w:p>
      <w:pPr>
        <w:spacing w:after="0" w:line="26" w:lineRule="exact"/>
        <w:rPr>
          <w:sz w:val="20"/>
          <w:szCs w:val="20"/>
          <w:color w:val="auto"/>
        </w:rPr>
      </w:pPr>
    </w:p>
    <w:p>
      <w:pPr>
        <w:jc w:val="center"/>
        <w:spacing w:after="0"/>
        <w:rPr>
          <w:sz w:val="20"/>
          <w:szCs w:val="20"/>
          <w:color w:val="auto"/>
        </w:rPr>
      </w:pPr>
      <w:r>
        <w:rPr>
          <w:rFonts w:ascii="Calibri" w:cs="Calibri" w:eastAsia="Calibri" w:hAnsi="Calibri"/>
          <w:sz w:val="15"/>
          <w:szCs w:val="15"/>
          <w:b w:val="1"/>
          <w:bCs w:val="1"/>
          <w:color w:val="auto"/>
        </w:rPr>
        <w:t>$1,837.2MM</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80" w:type="dxa"/>
            <w:vAlign w:val="bottom"/>
            <w:tcBorders>
              <w:bottom w:val="single" w:sz="8" w:color="0F2F50"/>
            </w:tcBorders>
            <w:shd w:val="clear" w:color="auto" w:fill="0F2F50"/>
          </w:tcPr>
          <w:p>
            <w:pPr>
              <w:spacing w:after="0"/>
              <w:rPr>
                <w:sz w:val="18"/>
                <w:szCs w:val="18"/>
                <w:color w:val="auto"/>
              </w:rPr>
            </w:pPr>
          </w:p>
        </w:tc>
        <w:tc>
          <w:tcPr>
            <w:tcW w:w="2380" w:type="dxa"/>
            <w:vAlign w:val="bottom"/>
            <w:tcBorders>
              <w:bottom w:val="single" w:sz="8" w:color="0F2F50"/>
            </w:tcBorders>
            <w:shd w:val="clear" w:color="auto" w:fill="0F2F50"/>
          </w:tcPr>
          <w:p>
            <w:pPr>
              <w:ind w:left="760"/>
              <w:spacing w:after="0"/>
              <w:rPr>
                <w:sz w:val="20"/>
                <w:szCs w:val="20"/>
                <w:color w:val="auto"/>
              </w:rPr>
            </w:pPr>
            <w:r>
              <w:rPr>
                <w:rFonts w:ascii="Calibri" w:cs="Calibri" w:eastAsia="Calibri" w:hAnsi="Calibri"/>
                <w:sz w:val="15"/>
                <w:szCs w:val="15"/>
                <w:b w:val="1"/>
                <w:bCs w:val="1"/>
                <w:color w:val="FFFFFF"/>
              </w:rPr>
              <w:t>Debt-to-Equity Rato</w:t>
            </w:r>
          </w:p>
        </w:tc>
        <w:tc>
          <w:tcPr>
            <w:tcW w:w="700" w:type="dxa"/>
            <w:vAlign w:val="bottom"/>
            <w:tcBorders>
              <w:bottom w:val="single" w:sz="8" w:color="0F2F50"/>
            </w:tcBorders>
            <w:shd w:val="clear" w:color="auto" w:fill="0F2F50"/>
          </w:tcPr>
          <w:p>
            <w:pPr>
              <w:spacing w:after="0"/>
              <w:rPr>
                <w:sz w:val="18"/>
                <w:szCs w:val="18"/>
                <w:color w:val="auto"/>
              </w:rPr>
            </w:pPr>
          </w:p>
        </w:tc>
      </w:tr>
      <w:tr>
        <w:trPr>
          <w:trHeight w:val="183"/>
        </w:trPr>
        <w:tc>
          <w:tcPr>
            <w:tcW w:w="280" w:type="dxa"/>
            <w:vAlign w:val="bottom"/>
          </w:tcPr>
          <w:p>
            <w:pPr>
              <w:ind w:left="80"/>
              <w:spacing w:after="0"/>
              <w:rPr>
                <w:sz w:val="20"/>
                <w:szCs w:val="20"/>
                <w:color w:val="auto"/>
              </w:rPr>
            </w:pPr>
            <w:r>
              <w:rPr>
                <w:rFonts w:ascii="Calibri" w:cs="Calibri" w:eastAsia="Calibri" w:hAnsi="Calibri"/>
                <w:sz w:val="15"/>
                <w:szCs w:val="15"/>
                <w:b w:val="1"/>
                <w:bCs w:val="1"/>
                <w:color w:val="auto"/>
              </w:rPr>
              <w:t>Q4</w:t>
            </w:r>
          </w:p>
        </w:tc>
        <w:tc>
          <w:tcPr>
            <w:tcW w:w="2380" w:type="dxa"/>
            <w:vAlign w:val="bottom"/>
          </w:tcPr>
          <w:p>
            <w:pPr>
              <w:ind w:left="20"/>
              <w:spacing w:after="0"/>
              <w:rPr>
                <w:sz w:val="20"/>
                <w:szCs w:val="20"/>
                <w:color w:val="auto"/>
              </w:rPr>
            </w:pPr>
            <w:r>
              <w:rPr>
                <w:rFonts w:ascii="Calibri" w:cs="Calibri" w:eastAsia="Calibri" w:hAnsi="Calibri"/>
                <w:sz w:val="15"/>
                <w:szCs w:val="15"/>
                <w:b w:val="1"/>
                <w:bCs w:val="1"/>
                <w:color w:val="auto"/>
              </w:rPr>
              <w:t>2023 Quarter End:</w:t>
            </w:r>
          </w:p>
        </w:tc>
        <w:tc>
          <w:tcPr>
            <w:tcW w:w="700" w:type="dxa"/>
            <w:vAlign w:val="bottom"/>
          </w:tcPr>
          <w:p>
            <w:pPr>
              <w:ind w:left="340"/>
              <w:spacing w:after="0"/>
              <w:rPr>
                <w:sz w:val="20"/>
                <w:szCs w:val="20"/>
                <w:color w:val="auto"/>
              </w:rPr>
            </w:pPr>
            <w:r>
              <w:rPr>
                <w:rFonts w:ascii="Calibri" w:cs="Calibri" w:eastAsia="Calibri" w:hAnsi="Calibri"/>
                <w:sz w:val="15"/>
                <w:szCs w:val="15"/>
                <w:b w:val="1"/>
                <w:bCs w:val="1"/>
                <w:color w:val="auto"/>
              </w:rPr>
              <w:t>1.23x</w:t>
            </w:r>
          </w:p>
        </w:tc>
      </w:tr>
      <w:tr>
        <w:trPr>
          <w:trHeight w:val="233"/>
        </w:trPr>
        <w:tc>
          <w:tcPr>
            <w:tcW w:w="2660" w:type="dxa"/>
            <w:vAlign w:val="bottom"/>
            <w:gridSpan w:val="2"/>
          </w:tcPr>
          <w:p>
            <w:pPr>
              <w:ind w:left="80"/>
              <w:spacing w:after="0" w:line="233" w:lineRule="exact"/>
              <w:rPr>
                <w:sz w:val="20"/>
                <w:szCs w:val="20"/>
                <w:color w:val="auto"/>
              </w:rPr>
            </w:pPr>
            <w:r>
              <w:rPr>
                <w:rFonts w:ascii="Calibri" w:cs="Calibri" w:eastAsia="Calibri" w:hAnsi="Calibri"/>
                <w:sz w:val="15"/>
                <w:szCs w:val="15"/>
                <w:b w:val="1"/>
                <w:bCs w:val="1"/>
                <w:color w:val="auto"/>
              </w:rPr>
              <w:t>2023 Average</w:t>
            </w:r>
            <w:r>
              <w:rPr>
                <w:rFonts w:ascii="Calibri" w:cs="Calibri" w:eastAsia="Calibri" w:hAnsi="Calibri"/>
                <w:sz w:val="20"/>
                <w:szCs w:val="20"/>
                <w:b w:val="1"/>
                <w:bCs w:val="1"/>
                <w:color w:val="auto"/>
                <w:vertAlign w:val="superscript"/>
              </w:rPr>
              <w:t>1</w:t>
            </w:r>
            <w:r>
              <w:rPr>
                <w:rFonts w:ascii="Calibri" w:cs="Calibri" w:eastAsia="Calibri" w:hAnsi="Calibri"/>
                <w:sz w:val="15"/>
                <w:szCs w:val="15"/>
                <w:b w:val="1"/>
                <w:bCs w:val="1"/>
                <w:color w:val="auto"/>
              </w:rPr>
              <w:t>:</w:t>
            </w:r>
          </w:p>
        </w:tc>
        <w:tc>
          <w:tcPr>
            <w:tcW w:w="700" w:type="dxa"/>
            <w:vAlign w:val="bottom"/>
          </w:tcPr>
          <w:p>
            <w:pPr>
              <w:ind w:left="340"/>
              <w:spacing w:after="0"/>
              <w:rPr>
                <w:sz w:val="20"/>
                <w:szCs w:val="20"/>
                <w:color w:val="auto"/>
              </w:rPr>
            </w:pPr>
            <w:r>
              <w:rPr>
                <w:rFonts w:ascii="Calibri" w:cs="Calibri" w:eastAsia="Calibri" w:hAnsi="Calibri"/>
                <w:sz w:val="15"/>
                <w:szCs w:val="15"/>
                <w:b w:val="1"/>
                <w:bCs w:val="1"/>
                <w:color w:val="auto"/>
              </w:rPr>
              <w:t>1.20x</w:t>
            </w:r>
          </w:p>
        </w:tc>
      </w:tr>
      <w:tr>
        <w:trPr>
          <w:trHeight w:val="236"/>
        </w:trPr>
        <w:tc>
          <w:tcPr>
            <w:tcW w:w="280" w:type="dxa"/>
            <w:vAlign w:val="bottom"/>
          </w:tcPr>
          <w:p>
            <w:pPr>
              <w:ind w:left="80"/>
              <w:spacing w:after="0"/>
              <w:rPr>
                <w:sz w:val="20"/>
                <w:szCs w:val="20"/>
                <w:color w:val="auto"/>
              </w:rPr>
            </w:pPr>
            <w:r>
              <w:rPr>
                <w:rFonts w:ascii="Calibri" w:cs="Calibri" w:eastAsia="Calibri" w:hAnsi="Calibri"/>
                <w:sz w:val="15"/>
                <w:szCs w:val="15"/>
                <w:b w:val="1"/>
                <w:bCs w:val="1"/>
                <w:color w:val="auto"/>
              </w:rPr>
              <w:t>Q4</w:t>
            </w:r>
          </w:p>
        </w:tc>
        <w:tc>
          <w:tcPr>
            <w:tcW w:w="2380" w:type="dxa"/>
            <w:vAlign w:val="bottom"/>
          </w:tcPr>
          <w:p>
            <w:pPr>
              <w:ind w:left="20"/>
              <w:spacing w:after="0" w:line="236" w:lineRule="exact"/>
              <w:rPr>
                <w:sz w:val="20"/>
                <w:szCs w:val="20"/>
                <w:color w:val="auto"/>
              </w:rPr>
            </w:pPr>
            <w:r>
              <w:rPr>
                <w:rFonts w:ascii="Calibri" w:cs="Calibri" w:eastAsia="Calibri" w:hAnsi="Calibri"/>
                <w:sz w:val="15"/>
                <w:szCs w:val="15"/>
                <w:b w:val="1"/>
                <w:bCs w:val="1"/>
                <w:color w:val="auto"/>
              </w:rPr>
              <w:t>2023 Average</w:t>
            </w:r>
            <w:r>
              <w:rPr>
                <w:rFonts w:ascii="Calibri" w:cs="Calibri" w:eastAsia="Calibri" w:hAnsi="Calibri"/>
                <w:sz w:val="20"/>
                <w:szCs w:val="20"/>
                <w:b w:val="1"/>
                <w:bCs w:val="1"/>
                <w:color w:val="auto"/>
                <w:vertAlign w:val="superscript"/>
              </w:rPr>
              <w:t>1</w:t>
            </w:r>
            <w:r>
              <w:rPr>
                <w:rFonts w:ascii="Calibri" w:cs="Calibri" w:eastAsia="Calibri" w:hAnsi="Calibri"/>
                <w:sz w:val="15"/>
                <w:szCs w:val="15"/>
                <w:b w:val="1"/>
                <w:bCs w:val="1"/>
                <w:color w:val="auto"/>
              </w:rPr>
              <w:t>:</w:t>
            </w:r>
          </w:p>
        </w:tc>
        <w:tc>
          <w:tcPr>
            <w:tcW w:w="700" w:type="dxa"/>
            <w:vAlign w:val="bottom"/>
          </w:tcPr>
          <w:p>
            <w:pPr>
              <w:ind w:left="340"/>
              <w:spacing w:after="0"/>
              <w:rPr>
                <w:sz w:val="20"/>
                <w:szCs w:val="20"/>
                <w:color w:val="auto"/>
              </w:rPr>
            </w:pPr>
            <w:r>
              <w:rPr>
                <w:rFonts w:ascii="Calibri" w:cs="Calibri" w:eastAsia="Calibri" w:hAnsi="Calibri"/>
                <w:sz w:val="15"/>
                <w:szCs w:val="15"/>
                <w:b w:val="1"/>
                <w:bCs w:val="1"/>
                <w:color w:val="auto"/>
              </w:rPr>
              <w:t>1.22x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7740" w:space="140"/>
            <w:col w:w="3360"/>
          </w:cols>
          <w:pgMar w:left="320" w:top="1440" w:right="339" w:bottom="1440" w:gutter="0" w:footer="0" w:header="0"/>
          <w:type w:val="continuous"/>
        </w:sectPr>
      </w:pPr>
    </w:p>
    <w:bookmarkStart w:id="6" w:name="page7"/>
    <w:bookmarkEnd w:id="6"/>
    <w:p>
      <w:pPr>
        <w:spacing w:after="0" w:line="2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22"/>
          <w:szCs w:val="22"/>
          <w:b w:val="1"/>
          <w:bCs w:val="1"/>
          <w:color w:val="auto"/>
        </w:rPr>
        <w:t>LIQUIDITY AND FUNDING PROFILE</w:t>
      </w:r>
    </w:p>
    <w:p>
      <w:pPr>
        <w:spacing w:after="0" w:line="13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Liquidity</w:t>
      </w:r>
    </w:p>
    <w:p>
      <w:pPr>
        <w:spacing w:after="0" w:line="103" w:lineRule="exact"/>
        <w:rPr>
          <w:sz w:val="20"/>
          <w:szCs w:val="20"/>
          <w:color w:val="auto"/>
        </w:rPr>
      </w:pPr>
    </w:p>
    <w:p>
      <w:pPr>
        <w:spacing w:after="0"/>
        <w:rPr>
          <w:sz w:val="20"/>
          <w:szCs w:val="20"/>
          <w:color w:val="auto"/>
        </w:rPr>
      </w:pPr>
      <w:r>
        <w:rPr>
          <w:rFonts w:ascii="Calibri" w:cs="Calibri" w:eastAsia="Calibri" w:hAnsi="Calibri"/>
          <w:sz w:val="17"/>
          <w:szCs w:val="17"/>
          <w:color w:val="auto"/>
        </w:rPr>
        <w:t>The following tables summarize the Company’s liquidity at December 31, 2023 and changes to unfunded commitments since September 30, 2023.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20"/>
                <w:szCs w:val="20"/>
                <w:color w:val="auto"/>
              </w:rPr>
            </w:pPr>
            <w:r>
              <w:rPr>
                <w:rFonts w:ascii="Calibri" w:cs="Calibri" w:eastAsia="Calibri" w:hAnsi="Calibri"/>
                <w:sz w:val="14"/>
                <w:szCs w:val="14"/>
                <w:color w:val="auto"/>
              </w:rPr>
              <w:t>$ Millions</w:t>
            </w: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4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0"/>
        </w:trPr>
        <w:tc>
          <w:tcPr>
            <w:tcW w:w="4380" w:type="dxa"/>
            <w:vAlign w:val="bottom"/>
            <w:tcBorders>
              <w:bottom w:val="single" w:sz="8" w:color="0F2F50"/>
            </w:tcBorders>
            <w:shd w:val="clear" w:color="auto" w:fill="0F2F50"/>
          </w:tcPr>
          <w:p>
            <w:pPr>
              <w:ind w:left="1920"/>
              <w:spacing w:after="0"/>
              <w:rPr>
                <w:sz w:val="20"/>
                <w:szCs w:val="20"/>
                <w:color w:val="auto"/>
              </w:rPr>
            </w:pPr>
            <w:r>
              <w:rPr>
                <w:rFonts w:ascii="Calibri" w:cs="Calibri" w:eastAsia="Calibri" w:hAnsi="Calibri"/>
                <w:sz w:val="18"/>
                <w:szCs w:val="18"/>
                <w:b w:val="1"/>
                <w:bCs w:val="1"/>
                <w:color w:val="FFFFFF"/>
              </w:rPr>
              <w:t>Revolving Credit Facility</w:t>
            </w:r>
          </w:p>
        </w:tc>
        <w:tc>
          <w:tcPr>
            <w:tcW w:w="1180" w:type="dxa"/>
            <w:vAlign w:val="bottom"/>
            <w:tcBorders>
              <w:bottom w:val="single" w:sz="8" w:color="0F2F50"/>
            </w:tcBorders>
            <w:shd w:val="clear" w:color="auto" w:fill="0F2F50"/>
          </w:tcPr>
          <w:p>
            <w:pPr>
              <w:spacing w:after="0"/>
              <w:rPr>
                <w:sz w:val="21"/>
                <w:szCs w:val="21"/>
                <w:color w:val="auto"/>
              </w:rPr>
            </w:pPr>
          </w:p>
        </w:tc>
        <w:tc>
          <w:tcPr>
            <w:tcW w:w="240" w:type="dxa"/>
            <w:vAlign w:val="bottom"/>
          </w:tcPr>
          <w:p>
            <w:pPr>
              <w:spacing w:after="0"/>
              <w:rPr>
                <w:sz w:val="21"/>
                <w:szCs w:val="21"/>
                <w:color w:val="auto"/>
              </w:rPr>
            </w:pPr>
          </w:p>
        </w:tc>
        <w:tc>
          <w:tcPr>
            <w:tcW w:w="4500" w:type="dxa"/>
            <w:vAlign w:val="bottom"/>
            <w:tcBorders>
              <w:bottom w:val="single" w:sz="8" w:color="0F2F50"/>
            </w:tcBorders>
            <w:shd w:val="clear" w:color="auto" w:fill="0F2F50"/>
          </w:tcPr>
          <w:p>
            <w:pPr>
              <w:ind w:left="1560"/>
              <w:spacing w:after="0"/>
              <w:rPr>
                <w:sz w:val="20"/>
                <w:szCs w:val="20"/>
                <w:color w:val="auto"/>
              </w:rPr>
            </w:pPr>
            <w:r>
              <w:rPr>
                <w:rFonts w:ascii="Calibri" w:cs="Calibri" w:eastAsia="Calibri" w:hAnsi="Calibri"/>
                <w:sz w:val="18"/>
                <w:szCs w:val="18"/>
                <w:b w:val="1"/>
                <w:bCs w:val="1"/>
                <w:color w:val="FFFFFF"/>
              </w:rPr>
              <w:t>Unfunded Commitment Actvity</w:t>
            </w:r>
          </w:p>
        </w:tc>
        <w:tc>
          <w:tcPr>
            <w:tcW w:w="940" w:type="dxa"/>
            <w:vAlign w:val="bottom"/>
            <w:tcBorders>
              <w:bottom w:val="single" w:sz="8" w:color="0F2F50"/>
            </w:tcBorders>
            <w:shd w:val="clear" w:color="auto" w:fill="0F2F50"/>
          </w:tcPr>
          <w:p>
            <w:pPr>
              <w:spacing w:after="0"/>
              <w:rPr>
                <w:sz w:val="21"/>
                <w:szCs w:val="21"/>
                <w:color w:val="auto"/>
              </w:rPr>
            </w:pPr>
          </w:p>
        </w:tc>
      </w:tr>
      <w:tr>
        <w:trPr>
          <w:trHeight w:val="193"/>
        </w:trPr>
        <w:tc>
          <w:tcPr>
            <w:tcW w:w="4380" w:type="dxa"/>
            <w:vAlign w:val="bottom"/>
          </w:tcPr>
          <w:p>
            <w:pPr>
              <w:ind w:left="20"/>
              <w:spacing w:after="0" w:line="193" w:lineRule="exact"/>
              <w:rPr>
                <w:sz w:val="20"/>
                <w:szCs w:val="20"/>
                <w:color w:val="auto"/>
              </w:rPr>
            </w:pPr>
            <w:r>
              <w:rPr>
                <w:rFonts w:ascii="Calibri" w:cs="Calibri" w:eastAsia="Calibri" w:hAnsi="Calibri"/>
                <w:sz w:val="16"/>
                <w:szCs w:val="16"/>
                <w:b w:val="1"/>
                <w:bCs w:val="1"/>
                <w:color w:val="auto"/>
              </w:rPr>
              <w:t>Revolver Capacity</w:t>
            </w: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$1,710</w:t>
            </w:r>
          </w:p>
        </w:tc>
        <w:tc>
          <w:tcPr>
            <w:tcW w:w="240" w:type="dxa"/>
            <w:vAlign w:val="bottom"/>
          </w:tcPr>
          <w:p>
            <w:pPr>
              <w:spacing w:after="0"/>
              <w:rPr>
                <w:sz w:val="16"/>
                <w:szCs w:val="16"/>
                <w:color w:val="auto"/>
              </w:rPr>
            </w:pPr>
          </w:p>
        </w:tc>
        <w:tc>
          <w:tcPr>
            <w:tcW w:w="4500" w:type="dxa"/>
            <w:vAlign w:val="bottom"/>
          </w:tcPr>
          <w:p>
            <w:pPr>
              <w:ind w:left="20"/>
              <w:spacing w:after="0" w:line="193" w:lineRule="exact"/>
              <w:rPr>
                <w:sz w:val="20"/>
                <w:szCs w:val="20"/>
                <w:color w:val="auto"/>
              </w:rPr>
            </w:pPr>
            <w:r>
              <w:rPr>
                <w:rFonts w:ascii="Calibri" w:cs="Calibri" w:eastAsia="Calibri" w:hAnsi="Calibri"/>
                <w:sz w:val="16"/>
                <w:szCs w:val="16"/>
                <w:b w:val="1"/>
                <w:bCs w:val="1"/>
                <w:color w:val="auto"/>
              </w:rPr>
              <w:t>Unfunded Commitments (See Note 8 in 9/30/23 10-Q)</w:t>
            </w:r>
          </w:p>
        </w:tc>
        <w:tc>
          <w:tcPr>
            <w:tcW w:w="94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$327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22860</wp:posOffset>
            </wp:positionV>
            <wp:extent cx="34544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Borders>
              <w:top w:val="single" w:sz="8" w:color="ECEEF0"/>
            </w:tcBorders>
          </w:tcPr>
          <w:p>
            <w:pPr>
              <w:ind w:left="20"/>
              <w:spacing w:after="0"/>
              <w:rPr>
                <w:sz w:val="20"/>
                <w:szCs w:val="20"/>
                <w:color w:val="auto"/>
              </w:rPr>
            </w:pPr>
            <w:r>
              <w:rPr>
                <w:rFonts w:ascii="Calibri" w:cs="Calibri" w:eastAsia="Calibri" w:hAnsi="Calibri"/>
                <w:sz w:val="16"/>
                <w:szCs w:val="16"/>
                <w:color w:val="auto"/>
              </w:rPr>
              <w:t>Drawn on Revolver</w:t>
            </w:r>
          </w:p>
        </w:tc>
        <w:tc>
          <w:tcPr>
            <w:tcW w:w="1160" w:type="dxa"/>
            <w:vAlign w:val="bottom"/>
            <w:tcBorders>
              <w:top w:val="single" w:sz="8" w:color="ECEEF0"/>
            </w:tcBorders>
          </w:tcPr>
          <w:p>
            <w:pPr>
              <w:jc w:val="right"/>
              <w:spacing w:after="0"/>
              <w:rPr>
                <w:sz w:val="20"/>
                <w:szCs w:val="20"/>
                <w:color w:val="auto"/>
              </w:rPr>
            </w:pPr>
            <w:r>
              <w:rPr>
                <w:rFonts w:ascii="Calibri" w:cs="Calibri" w:eastAsia="Calibri" w:hAnsi="Calibri"/>
                <w:sz w:val="16"/>
                <w:szCs w:val="16"/>
                <w:color w:val="auto"/>
              </w:rPr>
              <w:t>($890)</w:t>
            </w:r>
          </w:p>
        </w:tc>
      </w:tr>
      <w:tr>
        <w:trPr>
          <w:trHeight w:val="36"/>
        </w:trPr>
        <w:tc>
          <w:tcPr>
            <w:tcW w:w="4400" w:type="dxa"/>
            <w:vAlign w:val="bottom"/>
            <w:tcBorders>
              <w:bottom w:val="single" w:sz="8" w:color="ECEEF0"/>
            </w:tcBorders>
          </w:tcPr>
          <w:p>
            <w:pPr>
              <w:spacing w:after="0"/>
              <w:rPr>
                <w:sz w:val="3"/>
                <w:szCs w:val="3"/>
                <w:color w:val="auto"/>
              </w:rPr>
            </w:pPr>
          </w:p>
        </w:tc>
        <w:tc>
          <w:tcPr>
            <w:tcW w:w="1160" w:type="dxa"/>
            <w:vAlign w:val="bottom"/>
            <w:tcBorders>
              <w:bottom w:val="single" w:sz="8" w:color="ECEEF0"/>
            </w:tcBorders>
          </w:tcPr>
          <w:p>
            <w:pPr>
              <w:spacing w:after="0"/>
              <w:rPr>
                <w:sz w:val="3"/>
                <w:szCs w:val="3"/>
                <w:color w:val="auto"/>
              </w:rPr>
            </w:pPr>
          </w:p>
        </w:tc>
      </w:tr>
      <w:tr>
        <w:trPr>
          <w:trHeight w:val="187"/>
        </w:trPr>
        <w:tc>
          <w:tcPr>
            <w:tcW w:w="4400" w:type="dxa"/>
            <w:vAlign w:val="bottom"/>
          </w:tcPr>
          <w:p>
            <w:pPr>
              <w:ind w:left="20"/>
              <w:spacing w:after="0" w:line="187" w:lineRule="exact"/>
              <w:rPr>
                <w:sz w:val="20"/>
                <w:szCs w:val="20"/>
                <w:color w:val="auto"/>
              </w:rPr>
            </w:pPr>
            <w:r>
              <w:rPr>
                <w:rFonts w:ascii="Calibri" w:cs="Calibri" w:eastAsia="Calibri" w:hAnsi="Calibri"/>
                <w:sz w:val="16"/>
                <w:szCs w:val="16"/>
                <w:color w:val="auto"/>
              </w:rPr>
              <w:t>Unrestricted Cash Balance</w:t>
            </w:r>
          </w:p>
        </w:tc>
        <w:tc>
          <w:tcPr>
            <w:tcW w:w="1160" w:type="dxa"/>
            <w:vAlign w:val="bottom"/>
          </w:tcPr>
          <w:p>
            <w:pPr>
              <w:jc w:val="right"/>
              <w:spacing w:after="0" w:line="187" w:lineRule="exact"/>
              <w:rPr>
                <w:sz w:val="20"/>
                <w:szCs w:val="20"/>
                <w:color w:val="auto"/>
              </w:rPr>
            </w:pPr>
            <w:r>
              <w:rPr>
                <w:rFonts w:ascii="Calibri" w:cs="Calibri" w:eastAsia="Calibri" w:hAnsi="Calibri"/>
                <w:sz w:val="16"/>
                <w:szCs w:val="16"/>
                <w:color w:val="auto"/>
              </w:rPr>
              <w:t>$1</w:t>
            </w:r>
          </w:p>
        </w:tc>
      </w:tr>
      <w:tr>
        <w:trPr>
          <w:trHeight w:val="36"/>
        </w:trPr>
        <w:tc>
          <w:tcPr>
            <w:tcW w:w="4400" w:type="dxa"/>
            <w:vAlign w:val="bottom"/>
            <w:tcBorders>
              <w:bottom w:val="single" w:sz="8" w:color="ECEEF0"/>
            </w:tcBorders>
          </w:tcPr>
          <w:p>
            <w:pPr>
              <w:spacing w:after="0"/>
              <w:rPr>
                <w:sz w:val="3"/>
                <w:szCs w:val="3"/>
                <w:color w:val="auto"/>
              </w:rPr>
            </w:pPr>
          </w:p>
        </w:tc>
        <w:tc>
          <w:tcPr>
            <w:tcW w:w="1160" w:type="dxa"/>
            <w:vAlign w:val="bottom"/>
            <w:tcBorders>
              <w:bottom w:val="single" w:sz="8" w:color="ECEEF0"/>
            </w:tcBorders>
          </w:tcPr>
          <w:p>
            <w:pPr>
              <w:spacing w:after="0"/>
              <w:rPr>
                <w:sz w:val="3"/>
                <w:szCs w:val="3"/>
                <w:color w:val="auto"/>
              </w:rPr>
            </w:pPr>
          </w:p>
        </w:tc>
      </w:tr>
      <w:tr>
        <w:trPr>
          <w:trHeight w:val="187"/>
        </w:trPr>
        <w:tc>
          <w:tcPr>
            <w:tcW w:w="4400" w:type="dxa"/>
            <w:vAlign w:val="bottom"/>
          </w:tcPr>
          <w:p>
            <w:pPr>
              <w:ind w:left="20"/>
              <w:spacing w:after="0" w:line="187" w:lineRule="exact"/>
              <w:rPr>
                <w:sz w:val="20"/>
                <w:szCs w:val="20"/>
                <w:color w:val="auto"/>
              </w:rPr>
            </w:pPr>
            <w:r>
              <w:rPr>
                <w:rFonts w:ascii="Calibri" w:cs="Calibri" w:eastAsia="Calibri" w:hAnsi="Calibri"/>
                <w:sz w:val="16"/>
                <w:szCs w:val="16"/>
                <w:b w:val="1"/>
                <w:bCs w:val="1"/>
                <w:color w:val="auto"/>
              </w:rPr>
              <w:t>Total Liquidity (Pre-Unfunded Commitments)</w:t>
            </w:r>
          </w:p>
        </w:tc>
        <w:tc>
          <w:tcPr>
            <w:tcW w:w="116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$821</w:t>
            </w:r>
          </w:p>
        </w:tc>
      </w:tr>
      <w:tr>
        <w:trPr>
          <w:trHeight w:val="252"/>
        </w:trPr>
        <w:tc>
          <w:tcPr>
            <w:tcW w:w="4400" w:type="dxa"/>
            <w:vAlign w:val="bottom"/>
          </w:tcPr>
          <w:p>
            <w:pPr>
              <w:ind w:left="20"/>
              <w:spacing w:after="0" w:line="252" w:lineRule="exact"/>
              <w:rPr>
                <w:sz w:val="20"/>
                <w:szCs w:val="20"/>
                <w:color w:val="auto"/>
              </w:rPr>
            </w:pPr>
            <w:r>
              <w:rPr>
                <w:rFonts w:ascii="Calibri" w:cs="Calibri" w:eastAsia="Calibri" w:hAnsi="Calibri"/>
                <w:sz w:val="16"/>
                <w:szCs w:val="16"/>
                <w:color w:val="auto"/>
              </w:rPr>
              <w:t>Available Unfunded Commitments</w:t>
            </w:r>
            <w:r>
              <w:rPr>
                <w:rFonts w:ascii="Calibri" w:cs="Calibri" w:eastAsia="Calibri" w:hAnsi="Calibri"/>
                <w:sz w:val="21"/>
                <w:szCs w:val="21"/>
                <w:color w:val="auto"/>
                <w:vertAlign w:val="superscript"/>
              </w:rPr>
              <w:t>1</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($226)</w:t>
            </w:r>
          </w:p>
        </w:tc>
      </w:tr>
      <w:tr>
        <w:trPr>
          <w:trHeight w:val="27"/>
        </w:trPr>
        <w:tc>
          <w:tcPr>
            <w:tcW w:w="4400" w:type="dxa"/>
            <w:vAlign w:val="bottom"/>
            <w:tcBorders>
              <w:bottom w:val="single" w:sz="8" w:color="ECEEF0"/>
            </w:tcBorders>
          </w:tcPr>
          <w:p>
            <w:pPr>
              <w:spacing w:after="0"/>
              <w:rPr>
                <w:sz w:val="2"/>
                <w:szCs w:val="2"/>
                <w:color w:val="auto"/>
              </w:rPr>
            </w:pPr>
          </w:p>
        </w:tc>
        <w:tc>
          <w:tcPr>
            <w:tcW w:w="1160" w:type="dxa"/>
            <w:vAlign w:val="bottom"/>
            <w:tcBorders>
              <w:bottom w:val="single" w:sz="8" w:color="ECEEF0"/>
            </w:tcBorders>
          </w:tcPr>
          <w:p>
            <w:pPr>
              <w:spacing w:after="0"/>
              <w:rPr>
                <w:sz w:val="2"/>
                <w:szCs w:val="2"/>
                <w:color w:val="auto"/>
              </w:rPr>
            </w:pPr>
          </w:p>
        </w:tc>
      </w:tr>
      <w:tr>
        <w:trPr>
          <w:trHeight w:val="187"/>
        </w:trPr>
        <w:tc>
          <w:tcPr>
            <w:tcW w:w="4400" w:type="dxa"/>
            <w:vAlign w:val="bottom"/>
          </w:tcPr>
          <w:p>
            <w:pPr>
              <w:ind w:left="20"/>
              <w:spacing w:after="0" w:line="187" w:lineRule="exact"/>
              <w:rPr>
                <w:sz w:val="20"/>
                <w:szCs w:val="20"/>
                <w:color w:val="auto"/>
              </w:rPr>
            </w:pPr>
            <w:r>
              <w:rPr>
                <w:rFonts w:ascii="Calibri" w:cs="Calibri" w:eastAsia="Calibri" w:hAnsi="Calibri"/>
                <w:sz w:val="16"/>
                <w:szCs w:val="16"/>
                <w:b w:val="1"/>
                <w:bCs w:val="1"/>
                <w:color w:val="auto"/>
              </w:rPr>
              <w:t>Total Liquidity (Burdened for Unfunded Commitments)</w:t>
            </w:r>
          </w:p>
        </w:tc>
        <w:tc>
          <w:tcPr>
            <w:tcW w:w="116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$595</w:t>
            </w:r>
          </w:p>
        </w:tc>
      </w:tr>
      <w:tr>
        <w:trPr>
          <w:trHeight w:val="36"/>
        </w:trPr>
        <w:tc>
          <w:tcPr>
            <w:tcW w:w="4400" w:type="dxa"/>
            <w:vAlign w:val="bottom"/>
            <w:tcBorders>
              <w:bottom w:val="single" w:sz="8" w:color="ECEEF0"/>
            </w:tcBorders>
          </w:tcPr>
          <w:p>
            <w:pPr>
              <w:spacing w:after="0"/>
              <w:rPr>
                <w:sz w:val="3"/>
                <w:szCs w:val="3"/>
                <w:color w:val="auto"/>
              </w:rPr>
            </w:pPr>
          </w:p>
        </w:tc>
        <w:tc>
          <w:tcPr>
            <w:tcW w:w="1160" w:type="dxa"/>
            <w:vAlign w:val="bottom"/>
            <w:tcBorders>
              <w:bottom w:val="single" w:sz="8" w:color="ECEEF0"/>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35318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ind w:left="20"/>
              <w:spacing w:after="0"/>
              <w:rPr>
                <w:sz w:val="20"/>
                <w:szCs w:val="20"/>
                <w:color w:val="auto"/>
              </w:rPr>
            </w:pPr>
            <w:r>
              <w:rPr>
                <w:rFonts w:ascii="Calibri" w:cs="Calibri" w:eastAsia="Calibri" w:hAnsi="Calibri"/>
                <w:sz w:val="16"/>
                <w:szCs w:val="16"/>
                <w:color w:val="auto"/>
              </w:rPr>
              <w:t>Extnguished Unfunded Commitments</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($25)</w:t>
            </w:r>
          </w:p>
        </w:tc>
      </w:tr>
      <w:tr>
        <w:trPr>
          <w:trHeight w:val="41"/>
        </w:trPr>
        <w:tc>
          <w:tcPr>
            <w:tcW w:w="3960" w:type="dxa"/>
            <w:vAlign w:val="bottom"/>
            <w:tcBorders>
              <w:bottom w:val="single" w:sz="8" w:color="ECEEF0"/>
            </w:tcBorders>
          </w:tcPr>
          <w:p>
            <w:pPr>
              <w:spacing w:after="0"/>
              <w:rPr>
                <w:sz w:val="3"/>
                <w:szCs w:val="3"/>
                <w:color w:val="auto"/>
              </w:rPr>
            </w:pPr>
          </w:p>
        </w:tc>
        <w:tc>
          <w:tcPr>
            <w:tcW w:w="1480" w:type="dxa"/>
            <w:vAlign w:val="bottom"/>
            <w:tcBorders>
              <w:bottom w:val="single" w:sz="8" w:color="ECEEF0"/>
            </w:tcBorders>
          </w:tcPr>
          <w:p>
            <w:pPr>
              <w:spacing w:after="0"/>
              <w:rPr>
                <w:sz w:val="3"/>
                <w:szCs w:val="3"/>
                <w:color w:val="auto"/>
              </w:rPr>
            </w:pPr>
          </w:p>
        </w:tc>
      </w:tr>
      <w:tr>
        <w:trPr>
          <w:trHeight w:val="187"/>
        </w:trPr>
        <w:tc>
          <w:tcPr>
            <w:tcW w:w="3960" w:type="dxa"/>
            <w:vAlign w:val="bottom"/>
          </w:tcPr>
          <w:p>
            <w:pPr>
              <w:ind w:left="20"/>
              <w:spacing w:after="0" w:line="187" w:lineRule="exact"/>
              <w:rPr>
                <w:sz w:val="20"/>
                <w:szCs w:val="20"/>
                <w:color w:val="auto"/>
              </w:rPr>
            </w:pPr>
            <w:r>
              <w:rPr>
                <w:rFonts w:ascii="Calibri" w:cs="Calibri" w:eastAsia="Calibri" w:hAnsi="Calibri"/>
                <w:sz w:val="16"/>
                <w:szCs w:val="16"/>
                <w:color w:val="auto"/>
              </w:rPr>
              <w:t>New Unfunded Commitments</w:t>
            </w:r>
          </w:p>
        </w:tc>
        <w:tc>
          <w:tcPr>
            <w:tcW w:w="1480" w:type="dxa"/>
            <w:vAlign w:val="bottom"/>
          </w:tcPr>
          <w:p>
            <w:pPr>
              <w:jc w:val="right"/>
              <w:spacing w:after="0" w:line="187" w:lineRule="exact"/>
              <w:rPr>
                <w:sz w:val="20"/>
                <w:szCs w:val="20"/>
                <w:color w:val="auto"/>
              </w:rPr>
            </w:pPr>
            <w:r>
              <w:rPr>
                <w:rFonts w:ascii="Calibri" w:cs="Calibri" w:eastAsia="Calibri" w:hAnsi="Calibri"/>
                <w:sz w:val="16"/>
                <w:szCs w:val="16"/>
                <w:color w:val="auto"/>
              </w:rPr>
              <w:t>$73</w:t>
            </w:r>
          </w:p>
        </w:tc>
      </w:tr>
      <w:tr>
        <w:trPr>
          <w:trHeight w:val="36"/>
        </w:trPr>
        <w:tc>
          <w:tcPr>
            <w:tcW w:w="3960" w:type="dxa"/>
            <w:vAlign w:val="bottom"/>
            <w:tcBorders>
              <w:bottom w:val="single" w:sz="8" w:color="ECEEF0"/>
            </w:tcBorders>
          </w:tcPr>
          <w:p>
            <w:pPr>
              <w:spacing w:after="0"/>
              <w:rPr>
                <w:sz w:val="3"/>
                <w:szCs w:val="3"/>
                <w:color w:val="auto"/>
              </w:rPr>
            </w:pPr>
          </w:p>
        </w:tc>
        <w:tc>
          <w:tcPr>
            <w:tcW w:w="1480" w:type="dxa"/>
            <w:vAlign w:val="bottom"/>
            <w:tcBorders>
              <w:bottom w:val="single" w:sz="8" w:color="ECEEF0"/>
            </w:tcBorders>
          </w:tcPr>
          <w:p>
            <w:pPr>
              <w:spacing w:after="0"/>
              <w:rPr>
                <w:sz w:val="3"/>
                <w:szCs w:val="3"/>
                <w:color w:val="auto"/>
              </w:rPr>
            </w:pPr>
          </w:p>
        </w:tc>
      </w:tr>
      <w:tr>
        <w:trPr>
          <w:trHeight w:val="187"/>
        </w:trPr>
        <w:tc>
          <w:tcPr>
            <w:tcW w:w="3960" w:type="dxa"/>
            <w:vAlign w:val="bottom"/>
          </w:tcPr>
          <w:p>
            <w:pPr>
              <w:ind w:left="20"/>
              <w:spacing w:after="0" w:line="187" w:lineRule="exact"/>
              <w:rPr>
                <w:sz w:val="20"/>
                <w:szCs w:val="20"/>
                <w:color w:val="auto"/>
              </w:rPr>
            </w:pPr>
            <w:r>
              <w:rPr>
                <w:rFonts w:ascii="Calibri" w:cs="Calibri" w:eastAsia="Calibri" w:hAnsi="Calibri"/>
                <w:sz w:val="16"/>
                <w:szCs w:val="16"/>
                <w:color w:val="auto"/>
              </w:rPr>
              <w:t>Net Drawdown of Unfunded Commitments</w:t>
            </w:r>
          </w:p>
        </w:tc>
        <w:tc>
          <w:tcPr>
            <w:tcW w:w="1480" w:type="dxa"/>
            <w:vAlign w:val="bottom"/>
          </w:tcPr>
          <w:p>
            <w:pPr>
              <w:jc w:val="right"/>
              <w:spacing w:after="0" w:line="187" w:lineRule="exact"/>
              <w:rPr>
                <w:sz w:val="20"/>
                <w:szCs w:val="20"/>
                <w:color w:val="auto"/>
              </w:rPr>
            </w:pPr>
            <w:r>
              <w:rPr>
                <w:rFonts w:ascii="Calibri" w:cs="Calibri" w:eastAsia="Calibri" w:hAnsi="Calibri"/>
                <w:sz w:val="16"/>
                <w:szCs w:val="16"/>
                <w:color w:val="auto"/>
              </w:rPr>
              <w:t>($59)</w:t>
            </w:r>
          </w:p>
        </w:tc>
      </w:tr>
      <w:tr>
        <w:trPr>
          <w:trHeight w:val="36"/>
        </w:trPr>
        <w:tc>
          <w:tcPr>
            <w:tcW w:w="3960" w:type="dxa"/>
            <w:vAlign w:val="bottom"/>
            <w:tcBorders>
              <w:bottom w:val="single" w:sz="8" w:color="ECEEF0"/>
            </w:tcBorders>
          </w:tcPr>
          <w:p>
            <w:pPr>
              <w:spacing w:after="0"/>
              <w:rPr>
                <w:sz w:val="3"/>
                <w:szCs w:val="3"/>
                <w:color w:val="auto"/>
              </w:rPr>
            </w:pPr>
          </w:p>
        </w:tc>
        <w:tc>
          <w:tcPr>
            <w:tcW w:w="1480" w:type="dxa"/>
            <w:vAlign w:val="bottom"/>
            <w:tcBorders>
              <w:bottom w:val="single" w:sz="8" w:color="ECEEF0"/>
            </w:tcBorders>
          </w:tcPr>
          <w:p>
            <w:pPr>
              <w:spacing w:after="0"/>
              <w:rPr>
                <w:sz w:val="3"/>
                <w:szCs w:val="3"/>
                <w:color w:val="auto"/>
              </w:rPr>
            </w:pPr>
          </w:p>
        </w:tc>
      </w:tr>
      <w:tr>
        <w:trPr>
          <w:trHeight w:val="187"/>
        </w:trPr>
        <w:tc>
          <w:tcPr>
            <w:tcW w:w="3960" w:type="dxa"/>
            <w:vAlign w:val="bottom"/>
          </w:tcPr>
          <w:p>
            <w:pPr>
              <w:ind w:left="20"/>
              <w:spacing w:after="0" w:line="187" w:lineRule="exact"/>
              <w:rPr>
                <w:sz w:val="20"/>
                <w:szCs w:val="20"/>
                <w:color w:val="auto"/>
              </w:rPr>
            </w:pPr>
            <w:r>
              <w:rPr>
                <w:rFonts w:ascii="Calibri" w:cs="Calibri" w:eastAsia="Calibri" w:hAnsi="Calibri"/>
                <w:sz w:val="16"/>
                <w:szCs w:val="16"/>
                <w:b w:val="1"/>
                <w:bCs w:val="1"/>
                <w:color w:val="auto"/>
              </w:rPr>
              <w:t>Total Unfunded Commitments</w:t>
            </w:r>
          </w:p>
        </w:tc>
        <w:tc>
          <w:tcPr>
            <w:tcW w:w="148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$316</w:t>
            </w:r>
          </w:p>
        </w:tc>
      </w:tr>
      <w:tr>
        <w:trPr>
          <w:trHeight w:val="36"/>
        </w:trPr>
        <w:tc>
          <w:tcPr>
            <w:tcW w:w="3960" w:type="dxa"/>
            <w:vAlign w:val="bottom"/>
            <w:tcBorders>
              <w:bottom w:val="single" w:sz="8" w:color="ECEEF0"/>
            </w:tcBorders>
          </w:tcPr>
          <w:p>
            <w:pPr>
              <w:spacing w:after="0"/>
              <w:rPr>
                <w:sz w:val="3"/>
                <w:szCs w:val="3"/>
                <w:color w:val="auto"/>
              </w:rPr>
            </w:pPr>
          </w:p>
        </w:tc>
        <w:tc>
          <w:tcPr>
            <w:tcW w:w="1480" w:type="dxa"/>
            <w:vAlign w:val="bottom"/>
            <w:tcBorders>
              <w:bottom w:val="single" w:sz="8" w:color="ECEEF0"/>
            </w:tcBorders>
          </w:tcPr>
          <w:p>
            <w:pPr>
              <w:spacing w:after="0"/>
              <w:rPr>
                <w:sz w:val="3"/>
                <w:szCs w:val="3"/>
                <w:color w:val="auto"/>
              </w:rPr>
            </w:pPr>
          </w:p>
        </w:tc>
      </w:tr>
      <w:tr>
        <w:trPr>
          <w:trHeight w:val="223"/>
        </w:trPr>
        <w:tc>
          <w:tcPr>
            <w:tcW w:w="3960" w:type="dxa"/>
            <w:vAlign w:val="bottom"/>
            <w:tcBorders>
              <w:bottom w:val="single" w:sz="8" w:color="ECEEF0"/>
            </w:tcBorders>
          </w:tcPr>
          <w:p>
            <w:pPr>
              <w:ind w:left="20"/>
              <w:spacing w:after="0" w:line="223" w:lineRule="exact"/>
              <w:rPr>
                <w:sz w:val="20"/>
                <w:szCs w:val="20"/>
                <w:color w:val="auto"/>
              </w:rPr>
            </w:pPr>
            <w:r>
              <w:rPr>
                <w:rFonts w:ascii="Calibri" w:cs="Calibri" w:eastAsia="Calibri" w:hAnsi="Calibri"/>
                <w:sz w:val="16"/>
                <w:szCs w:val="16"/>
                <w:color w:val="auto"/>
              </w:rPr>
              <w:t>Unavailable Unfunded Commitments</w:t>
            </w:r>
            <w:r>
              <w:rPr>
                <w:rFonts w:ascii="Calibri" w:cs="Calibri" w:eastAsia="Calibri" w:hAnsi="Calibri"/>
                <w:sz w:val="21"/>
                <w:szCs w:val="21"/>
                <w:color w:val="auto"/>
                <w:vertAlign w:val="superscript"/>
              </w:rPr>
              <w:t>1</w:t>
            </w:r>
          </w:p>
        </w:tc>
        <w:tc>
          <w:tcPr>
            <w:tcW w:w="1480" w:type="dxa"/>
            <w:vAlign w:val="bottom"/>
            <w:tcBorders>
              <w:bottom w:val="single" w:sz="8" w:color="ECEEF0"/>
            </w:tcBorders>
          </w:tcPr>
          <w:p>
            <w:pPr>
              <w:jc w:val="right"/>
              <w:spacing w:after="0" w:line="193" w:lineRule="exact"/>
              <w:rPr>
                <w:sz w:val="20"/>
                <w:szCs w:val="20"/>
                <w:color w:val="auto"/>
              </w:rPr>
            </w:pPr>
            <w:r>
              <w:rPr>
                <w:rFonts w:ascii="Calibri" w:cs="Calibri" w:eastAsia="Calibri" w:hAnsi="Calibri"/>
                <w:sz w:val="16"/>
                <w:szCs w:val="16"/>
                <w:color w:val="auto"/>
              </w:rPr>
              <w:t>($90)</w:t>
            </w:r>
          </w:p>
        </w:tc>
      </w:tr>
      <w:tr>
        <w:trPr>
          <w:trHeight w:val="243"/>
        </w:trPr>
        <w:tc>
          <w:tcPr>
            <w:tcW w:w="3960" w:type="dxa"/>
            <w:vAlign w:val="bottom"/>
          </w:tcPr>
          <w:p>
            <w:pPr>
              <w:ind w:left="20"/>
              <w:spacing w:after="0" w:line="243" w:lineRule="exact"/>
              <w:rPr>
                <w:sz w:val="20"/>
                <w:szCs w:val="20"/>
                <w:color w:val="auto"/>
              </w:rPr>
            </w:pPr>
            <w:r>
              <w:rPr>
                <w:rFonts w:ascii="Calibri" w:cs="Calibri" w:eastAsia="Calibri" w:hAnsi="Calibri"/>
                <w:sz w:val="16"/>
                <w:szCs w:val="16"/>
                <w:b w:val="1"/>
                <w:bCs w:val="1"/>
                <w:color w:val="auto"/>
              </w:rPr>
              <w:t>Available Unfunded Commitments</w:t>
            </w:r>
            <w:r>
              <w:rPr>
                <w:rFonts w:ascii="Calibri" w:cs="Calibri" w:eastAsia="Calibri" w:hAnsi="Calibri"/>
                <w:sz w:val="21"/>
                <w:szCs w:val="21"/>
                <w:color w:val="auto"/>
                <w:vertAlign w:val="superscript"/>
              </w:rPr>
              <w:t>1</w:t>
            </w: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$226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34544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560" w:space="240"/>
            <w:col w:w="5440"/>
          </w:cols>
          <w:pgMar w:left="320" w:top="1440" w:right="339" w:bottom="1440" w:gutter="0" w:footer="0" w:header="0"/>
          <w:type w:val="continuous"/>
        </w:sectPr>
      </w:pPr>
    </w:p>
    <w:p>
      <w:pPr>
        <w:ind w:left="380" w:hanging="372"/>
        <w:spacing w:after="0" w:line="211" w:lineRule="auto"/>
        <w:tabs>
          <w:tab w:leader="none" w:pos="380" w:val="left"/>
        </w:tabs>
        <w:numPr>
          <w:ilvl w:val="0"/>
          <w:numId w:val="4"/>
        </w:numPr>
        <w:rPr>
          <w:rFonts w:ascii="Calibri" w:cs="Calibri" w:eastAsia="Calibri" w:hAnsi="Calibri"/>
          <w:sz w:val="13"/>
          <w:szCs w:val="13"/>
          <w:color w:val="auto"/>
        </w:rPr>
      </w:pPr>
      <w:r>
        <w:rPr>
          <w:rFonts w:ascii="Calibri" w:cs="Calibri" w:eastAsia="Calibri" w:hAnsi="Calibri"/>
          <w:sz w:val="13"/>
          <w:szCs w:val="13"/>
          <w:color w:val="auto"/>
        </w:rPr>
        <w:t>Commitments may be subject to limitatons on borrowings set forth in the agreements between the Company and the applicable portolio company. As a result, portolio companies may not be eligible to borrow the full commitment amount on such date.</w:t>
      </w:r>
    </w:p>
    <w:p>
      <w:pPr>
        <w:spacing w:after="0" w:line="226" w:lineRule="auto"/>
        <w:rPr>
          <w:sz w:val="20"/>
          <w:szCs w:val="20"/>
          <w:color w:val="auto"/>
        </w:rPr>
      </w:pPr>
      <w:r>
        <w:rPr>
          <w:rFonts w:ascii="Calibri" w:cs="Calibri" w:eastAsia="Calibri" w:hAnsi="Calibri"/>
          <w:sz w:val="13"/>
          <w:szCs w:val="13"/>
          <w:color w:val="auto"/>
        </w:rPr>
        <w:t>Note: May not sum due to rounding</w:t>
      </w:r>
    </w:p>
    <w:p>
      <w:pPr>
        <w:spacing w:after="0" w:line="34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Funding Profle</w:t>
      </w:r>
    </w:p>
    <w:p>
      <w:pPr>
        <w:spacing w:after="0" w:line="109" w:lineRule="exact"/>
        <w:rPr>
          <w:sz w:val="20"/>
          <w:szCs w:val="20"/>
          <w:color w:val="auto"/>
        </w:rPr>
      </w:pPr>
    </w:p>
    <w:p>
      <w:pPr>
        <w:spacing w:after="0" w:line="258" w:lineRule="auto"/>
        <w:rPr>
          <w:sz w:val="20"/>
          <w:szCs w:val="20"/>
          <w:color w:val="auto"/>
        </w:rPr>
      </w:pPr>
      <w:r>
        <w:rPr>
          <w:rFonts w:ascii="Calibri" w:cs="Calibri" w:eastAsia="Calibri" w:hAnsi="Calibri"/>
          <w:sz w:val="17"/>
          <w:szCs w:val="17"/>
          <w:color w:val="auto"/>
        </w:rPr>
        <w:t>At December 31, 2023, the Company’s funding mix was comprised of 70% unsecured and 30% secured debt*. As illustrated below, the Company’s weighted average remaining life of investments funded with debt was ~2.7 years, compared to a weighted average remaining maturity on debt of ~3.8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6412230" cy="32658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12230" cy="326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246" w:lineRule="auto"/>
        <w:rPr>
          <w:sz w:val="20"/>
          <w:szCs w:val="20"/>
          <w:color w:val="auto"/>
        </w:rPr>
      </w:pPr>
      <w:r>
        <w:rPr>
          <w:rFonts w:ascii="Calibri" w:cs="Calibri" w:eastAsia="Calibri" w:hAnsi="Calibri"/>
          <w:sz w:val="12"/>
          <w:szCs w:val="12"/>
          <w:color w:val="auto"/>
        </w:rPr>
        <w:t>*Adjusted to refect the $350 million of 2029 unsecured notes that closed in January 2024, the net proceeds of which were used to pay down a porton of the outstanding borrowings on the revolving credit facility. **Includes $50 million of non-extending commitments with a maturity of February 4, 2026 and a revolving period ending February 4, 2025 and $170 million of non-extending commitments with a maturity of April 23,</w:t>
      </w:r>
    </w:p>
    <w:p>
      <w:pPr>
        <w:spacing w:after="0" w:line="40" w:lineRule="exact"/>
        <w:rPr>
          <w:sz w:val="20"/>
          <w:szCs w:val="20"/>
          <w:color w:val="auto"/>
        </w:rPr>
      </w:pPr>
    </w:p>
    <w:p>
      <w:pPr>
        <w:spacing w:after="0"/>
        <w:rPr>
          <w:sz w:val="20"/>
          <w:szCs w:val="20"/>
          <w:color w:val="auto"/>
        </w:rPr>
      </w:pPr>
      <w:r>
        <w:rPr>
          <w:rFonts w:ascii="Calibri" w:cs="Calibri" w:eastAsia="Calibri" w:hAnsi="Calibri"/>
          <w:sz w:val="13"/>
          <w:szCs w:val="13"/>
          <w:color w:val="auto"/>
        </w:rPr>
        <w:t>2027 and a revolving period ending April 24, 2026. Adjusted for $25 million of non-extending commitments with a maturity of January 31, 2025 that was terminated on January 31, 2024.</w:t>
      </w:r>
    </w:p>
    <w:p>
      <w:pPr>
        <w:spacing w:after="0" w:line="14" w:lineRule="exact"/>
        <w:rPr>
          <w:sz w:val="20"/>
          <w:szCs w:val="20"/>
          <w:color w:val="auto"/>
        </w:rPr>
      </w:pPr>
    </w:p>
    <w:p>
      <w:pPr>
        <w:ind w:left="300" w:right="20" w:hanging="292"/>
        <w:spacing w:after="0" w:line="224" w:lineRule="auto"/>
        <w:tabs>
          <w:tab w:leader="none" w:pos="300"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Net of Deferred Financing Costs and Interest Rate Fair Value Hedging. Deferred Financing Costs total $21.9M at 12/31/23. Fair value hedge on interest rate swaps related to the unsecured notes total $31.8M at 12/31/23.</w:t>
      </w:r>
    </w:p>
    <w:p>
      <w:pPr>
        <w:jc w:val="both"/>
        <w:ind w:left="300" w:hanging="292"/>
        <w:spacing w:after="0" w:line="224" w:lineRule="auto"/>
        <w:tabs>
          <w:tab w:leader="none" w:pos="300"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Weighted by amortzed cost of debt investments. Investments are fnanced by debt and equity capital. This analysis assumes longer-dated investments are currently funded by equity capital (46% of investments) and the remaining (shorter-dated) investments (54% of investments) are currently funded by debt fnancing. Investments for purposes of this analysis exclude unfunded commitments, and equity capital is defned as 12/31/23 net assets.</w:t>
      </w:r>
    </w:p>
    <w:p>
      <w:pPr>
        <w:spacing w:after="0" w:line="1" w:lineRule="exact"/>
        <w:rPr>
          <w:rFonts w:ascii="Calibri" w:cs="Calibri" w:eastAsia="Calibri" w:hAnsi="Calibri"/>
          <w:sz w:val="13"/>
          <w:szCs w:val="13"/>
          <w:color w:val="auto"/>
        </w:rPr>
      </w:pPr>
    </w:p>
    <w:p>
      <w:pPr>
        <w:ind w:left="300" w:hanging="292"/>
        <w:spacing w:after="0" w:line="224" w:lineRule="auto"/>
        <w:tabs>
          <w:tab w:leader="none" w:pos="300"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Weighted by gross commitment amount.</w:t>
      </w:r>
    </w:p>
    <w:p>
      <w:pPr>
        <w:spacing w:after="0" w:line="225" w:lineRule="auto"/>
        <w:rPr>
          <w:sz w:val="20"/>
          <w:szCs w:val="20"/>
          <w:color w:val="auto"/>
        </w:rPr>
      </w:pPr>
      <w:r>
        <w:rPr>
          <w:rFonts w:ascii="Calibri" w:cs="Calibri" w:eastAsia="Calibri" w:hAnsi="Calibri"/>
          <w:sz w:val="13"/>
          <w:szCs w:val="13"/>
          <w:color w:val="auto"/>
        </w:rPr>
        <w:t>Note: Numbers may not sum due to rounding.</w:t>
      </w: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32"/>
          <w:szCs w:val="32"/>
          <w:b w:val="1"/>
          <w:bCs w:val="1"/>
          <w:color w:val="auto"/>
        </w:rPr>
        <w:t>CONFERENCE CALL AND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Conference Call Informaton:</w:t>
      </w:r>
    </w:p>
    <w:p>
      <w:pPr>
        <w:spacing w:after="0" w:line="32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conference call to discuss the Company’s fnancial results will be held at 8:30 a.m. Eastern Time on February 16, 2024. The conference call will be broadcast live in listen-only mode on the Investor Resources secton of TSLX’s website at htps://sixthstreetspecialtylending.gcs-web.com/events-and-presentatons. The Events &amp; Presentatons page of the Investor Resources secton of TSLX’s website also includes a slide presentaton that complements the Earnings Conference Call. Please visit the website to test your connecton before the webcast.</w:t>
      </w:r>
    </w:p>
    <w:p>
      <w:pPr>
        <w:spacing w:after="0" w:line="111" w:lineRule="exact"/>
        <w:rPr>
          <w:sz w:val="20"/>
          <w:szCs w:val="20"/>
          <w:color w:val="auto"/>
        </w:rPr>
      </w:pPr>
    </w:p>
    <w:p>
      <w:pPr>
        <w:ind w:right="80"/>
        <w:spacing w:after="0" w:line="254" w:lineRule="auto"/>
        <w:rPr>
          <w:sz w:val="20"/>
          <w:szCs w:val="20"/>
          <w:color w:val="auto"/>
        </w:rPr>
      </w:pPr>
      <w:r>
        <w:rPr>
          <w:rFonts w:ascii="Calibri" w:cs="Calibri" w:eastAsia="Calibri" w:hAnsi="Calibri"/>
          <w:sz w:val="17"/>
          <w:szCs w:val="17"/>
          <w:color w:val="auto"/>
        </w:rPr>
        <w:t>Research analysts who wish to partcipate in the conference call must frst register at htps://register.vevent.com/register/BI126013289d0d4b7e8eca53b37c50ebe9. Upon registraton, all telephone partcipants will receive a confrmaton email detailing how to join the conference call, including the dial-in number along with a unique passcode and registrant ID that can be used to access the call.</w:t>
      </w:r>
    </w:p>
    <w:p>
      <w:pPr>
        <w:spacing w:after="0" w:line="33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Replay Informaton:</w:t>
      </w:r>
    </w:p>
    <w:p>
      <w:pPr>
        <w:spacing w:after="0" w:line="366"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A recorded version will be available under the same webcast link (</w:t>
      </w:r>
      <w:r>
        <w:rPr>
          <w:rFonts w:ascii="Calibri" w:cs="Calibri" w:eastAsia="Calibri" w:hAnsi="Calibri"/>
          <w:sz w:val="18"/>
          <w:szCs w:val="18"/>
          <w:u w:val="single" w:color="auto"/>
          <w:color w:val="auto"/>
        </w:rPr>
        <w:t>htps://sixthstreetspecialtylending.gcs-web.com/events-and-presentatons</w:t>
      </w:r>
      <w:r>
        <w:rPr>
          <w:rFonts w:ascii="Calibri" w:cs="Calibri" w:eastAsia="Calibri" w:hAnsi="Calibri"/>
          <w:sz w:val="18"/>
          <w:szCs w:val="18"/>
          <w:color w:val="auto"/>
        </w:rPr>
        <w:t>) following the conclusion of the conference call.</w:t>
      </w:r>
    </w:p>
    <w:p>
      <w:pPr>
        <w:spacing w:after="0" w:line="5"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612140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32"/>
          <w:szCs w:val="32"/>
          <w:b w:val="1"/>
          <w:b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(Amounts in millions, except per share amounts)</w:t>
      </w:r>
    </w:p>
    <w:p>
      <w:pPr>
        <w:spacing w:after="0" w:line="53"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5"/>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7"/>
        </w:trPr>
        <w:tc>
          <w:tcPr>
            <w:tcW w:w="6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52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6"/>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3,283.1</w:t>
            </w: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3,113.3</w:t>
            </w:r>
          </w:p>
        </w:tc>
        <w:tc>
          <w:tcPr>
            <w:tcW w:w="220" w:type="dxa"/>
            <w:vAlign w:val="bottom"/>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2,787.9</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3,343.8</w:t>
            </w:r>
          </w:p>
        </w:tc>
        <w:tc>
          <w:tcPr>
            <w:tcW w:w="24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3,174.1</w:t>
            </w:r>
          </w:p>
        </w:tc>
        <w:tc>
          <w:tcPr>
            <w:tcW w:w="220" w:type="dxa"/>
            <w:vAlign w:val="bottom"/>
          </w:tcPr>
          <w:p>
            <w:pPr>
              <w:spacing w:after="0"/>
              <w:rPr>
                <w:sz w:val="20"/>
                <w:szCs w:val="20"/>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 Value Per Share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Dividend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tcPr>
          <w:p>
            <w:pPr>
              <w:spacing w:after="0"/>
              <w:rPr>
                <w:sz w:val="20"/>
                <w:szCs w:val="20"/>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440" w:type="dxa"/>
            <w:vAlign w:val="bottom"/>
            <w:shd w:val="clear" w:color="auto" w:fill="CFF0FC"/>
          </w:tcPr>
          <w:p>
            <w:pPr>
              <w:spacing w:after="0" w:line="248" w:lineRule="exact"/>
              <w:rPr>
                <w:sz w:val="20"/>
                <w:szCs w:val="20"/>
                <w:color w:val="auto"/>
              </w:rPr>
            </w:pPr>
            <w:r>
              <w:rPr>
                <w:rFonts w:ascii="Times New Roman" w:cs="Times New Roman" w:eastAsia="Times New Roman" w:hAnsi="Times New Roman"/>
                <w:sz w:val="18"/>
                <w:szCs w:val="18"/>
                <w:color w:val="auto"/>
              </w:rPr>
              <w:t xml:space="preserve">Adjusted Net Asset Value Per Share </w:t>
            </w:r>
            <w:r>
              <w:rPr>
                <w:rFonts w:ascii="Times New Roman" w:cs="Times New Roman" w:eastAsia="Times New Roman" w:hAnsi="Times New Roman"/>
                <w:sz w:val="24"/>
                <w:szCs w:val="24"/>
                <w:color w:val="auto"/>
                <w:vertAlign w:val="superscript"/>
              </w:rPr>
              <w:t>(1)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4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Pr>
          <w:p>
            <w:pPr>
              <w:spacing w:after="0"/>
              <w:rPr>
                <w:sz w:val="20"/>
                <w:szCs w:val="20"/>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63"/>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Accrued Capital Gains Incentive Fee 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(0.7 )</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22"/>
                <w:szCs w:val="22"/>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60" w:type="dxa"/>
            <w:vAlign w:val="bottom"/>
          </w:tcPr>
          <w:p>
            <w:pPr>
              <w:spacing w:after="0"/>
              <w:rPr>
                <w:sz w:val="22"/>
                <w:szCs w:val="22"/>
                <w:color w:val="auto"/>
              </w:rPr>
            </w:pPr>
          </w:p>
        </w:tc>
      </w:tr>
      <w:tr>
        <w:trPr>
          <w:trHeight w:val="250"/>
        </w:trPr>
        <w:tc>
          <w:tcPr>
            <w:tcW w:w="6440" w:type="dxa"/>
            <w:vAlign w:val="bottom"/>
            <w:shd w:val="clear" w:color="auto" w:fill="CFF0FC"/>
          </w:tcPr>
          <w:p>
            <w:pPr>
              <w:spacing w:after="0" w:line="250" w:lineRule="exact"/>
              <w:rPr>
                <w:sz w:val="20"/>
                <w:szCs w:val="20"/>
                <w:color w:val="auto"/>
              </w:rPr>
            </w:pPr>
            <w:r>
              <w:rPr>
                <w:rFonts w:ascii="Times New Roman" w:cs="Times New Roman" w:eastAsia="Times New Roman" w:hAnsi="Times New Roman"/>
                <w:sz w:val="18"/>
                <w:szCs w:val="18"/>
                <w:color w:val="auto"/>
              </w:rPr>
              <w:t xml:space="preserve">Adjusted Net Investment Income </w:t>
            </w:r>
            <w:r>
              <w:rPr>
                <w:rFonts w:ascii="Times New Roman" w:cs="Times New Roman" w:eastAsia="Times New Roman" w:hAnsi="Times New Roman"/>
                <w:sz w:val="24"/>
                <w:szCs w:val="24"/>
                <w:color w:val="auto"/>
                <w:vertAlign w:val="superscript"/>
              </w:rPr>
              <w:t>(2)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44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Adjusted Net Income </w:t>
            </w:r>
            <w:r>
              <w:rPr>
                <w:rFonts w:ascii="Times New Roman" w:cs="Times New Roman" w:eastAsia="Times New Roman" w:hAnsi="Times New Roman"/>
                <w:sz w:val="24"/>
                <w:szCs w:val="24"/>
                <w:color w:val="auto"/>
                <w:vertAlign w:val="superscript"/>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4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20" w:type="dxa"/>
            <w:vAlign w:val="bottom"/>
          </w:tcPr>
          <w:p>
            <w:pPr>
              <w:spacing w:after="0"/>
              <w:rPr>
                <w:sz w:val="21"/>
                <w:szCs w:val="21"/>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4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20" w:type="dxa"/>
            <w:vAlign w:val="bottom"/>
          </w:tcPr>
          <w:p>
            <w:pPr>
              <w:spacing w:after="0"/>
              <w:rPr>
                <w:sz w:val="20"/>
                <w:szCs w:val="20"/>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63"/>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Accrued Capital Gains Incentive Fee Expense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(0.01 )</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Pr>
          <w:p>
            <w:pPr>
              <w:spacing w:after="0"/>
              <w:rPr>
                <w:sz w:val="22"/>
                <w:szCs w:val="22"/>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(0.01 )</w:t>
            </w:r>
          </w:p>
        </w:tc>
        <w:tc>
          <w:tcPr>
            <w:tcW w:w="60" w:type="dxa"/>
            <w:vAlign w:val="bottom"/>
          </w:tcPr>
          <w:p>
            <w:pPr>
              <w:spacing w:after="0"/>
              <w:rPr>
                <w:sz w:val="22"/>
                <w:szCs w:val="22"/>
                <w:color w:val="auto"/>
              </w:rPr>
            </w:pPr>
          </w:p>
        </w:tc>
      </w:tr>
      <w:tr>
        <w:trPr>
          <w:trHeight w:val="250"/>
        </w:trPr>
        <w:tc>
          <w:tcPr>
            <w:tcW w:w="6440" w:type="dxa"/>
            <w:vAlign w:val="bottom"/>
            <w:shd w:val="clear" w:color="auto" w:fill="CFF0FC"/>
          </w:tcPr>
          <w:p>
            <w:pPr>
              <w:spacing w:after="0" w:line="250" w:lineRule="exact"/>
              <w:rPr>
                <w:sz w:val="20"/>
                <w:szCs w:val="20"/>
                <w:color w:val="auto"/>
              </w:rPr>
            </w:pPr>
            <w:r>
              <w:rPr>
                <w:rFonts w:ascii="Times New Roman" w:cs="Times New Roman" w:eastAsia="Times New Roman" w:hAnsi="Times New Roman"/>
                <w:sz w:val="18"/>
                <w:szCs w:val="18"/>
                <w:color w:val="auto"/>
              </w:rPr>
              <w:t xml:space="preserve">Adjusted Net Investment Income Per Share </w:t>
            </w:r>
            <w:r>
              <w:rPr>
                <w:rFonts w:ascii="Times New Roman" w:cs="Times New Roman" w:eastAsia="Times New Roman" w:hAnsi="Times New Roman"/>
                <w:sz w:val="24"/>
                <w:szCs w:val="24"/>
                <w:color w:val="auto"/>
                <w:vertAlign w:val="superscript"/>
              </w:rPr>
              <w:t>(2)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44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Adjusted Net Income Per Share </w:t>
            </w:r>
            <w:r>
              <w:rPr>
                <w:rFonts w:ascii="Times New Roman" w:cs="Times New Roman" w:eastAsia="Times New Roman" w:hAnsi="Times New Roman"/>
                <w:sz w:val="24"/>
                <w:szCs w:val="24"/>
                <w:color w:val="auto"/>
                <w:vertAlign w:val="superscript"/>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4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220" w:type="dxa"/>
            <w:vAlign w:val="bottom"/>
          </w:tcPr>
          <w:p>
            <w:pPr>
              <w:spacing w:after="0"/>
              <w:rPr>
                <w:sz w:val="21"/>
                <w:szCs w:val="21"/>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18"/>
        </w:trPr>
        <w:tc>
          <w:tcPr>
            <w:tcW w:w="6440" w:type="dxa"/>
            <w:vAlign w:val="bottom"/>
          </w:tcPr>
          <w:p>
            <w:pPr>
              <w:spacing w:after="0" w:line="218" w:lineRule="exact"/>
              <w:rPr>
                <w:sz w:val="20"/>
                <w:szCs w:val="20"/>
                <w:color w:val="auto"/>
              </w:rPr>
            </w:pPr>
            <w:r>
              <w:rPr>
                <w:rFonts w:ascii="Times New Roman" w:cs="Times New Roman" w:eastAsia="Times New Roman" w:hAnsi="Times New Roman"/>
                <w:sz w:val="18"/>
                <w:szCs w:val="18"/>
                <w:color w:val="auto"/>
              </w:rPr>
              <w:t xml:space="preserve">Annualized Return on Equity (Net Investment Income) </w:t>
            </w:r>
            <w:r>
              <w:rPr>
                <w:rFonts w:ascii="Times New Roman" w:cs="Times New Roman" w:eastAsia="Times New Roman" w:hAnsi="Times New Roman"/>
                <w:sz w:val="24"/>
                <w:szCs w:val="24"/>
                <w:color w:val="auto"/>
                <w:vertAlign w:val="superscript"/>
              </w:rPr>
              <w:t>(3)</w:t>
            </w:r>
          </w:p>
        </w:tc>
        <w:tc>
          <w:tcPr>
            <w:tcW w:w="10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14.7 %</w:t>
            </w:r>
          </w:p>
        </w:tc>
        <w:tc>
          <w:tcPr>
            <w:tcW w:w="2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13.7 %</w:t>
            </w:r>
          </w:p>
        </w:tc>
        <w:tc>
          <w:tcPr>
            <w:tcW w:w="46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15.9 %</w:t>
            </w:r>
          </w:p>
        </w:tc>
      </w:tr>
      <w:tr>
        <w:trPr>
          <w:trHeight w:val="243"/>
        </w:trPr>
        <w:tc>
          <w:tcPr>
            <w:tcW w:w="644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Annualized Return on Equity (Net Income) </w:t>
            </w:r>
            <w:r>
              <w:rPr>
                <w:rFonts w:ascii="Times New Roman" w:cs="Times New Roman" w:eastAsia="Times New Roman" w:hAnsi="Times New Roman"/>
                <w:sz w:val="24"/>
                <w:szCs w:val="24"/>
                <w:color w:val="auto"/>
                <w:vertAlign w:val="superscript"/>
              </w:rPr>
              <w:t>(3)</w:t>
            </w:r>
          </w:p>
        </w:tc>
        <w:tc>
          <w:tcPr>
            <w:tcW w:w="10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13.8 %</w:t>
            </w:r>
          </w:p>
        </w:tc>
        <w:tc>
          <w:tcPr>
            <w:tcW w:w="22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17.8 %</w:t>
            </w:r>
          </w:p>
        </w:tc>
        <w:tc>
          <w:tcPr>
            <w:tcW w:w="46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14.0 %</w:t>
            </w:r>
          </w:p>
        </w:tc>
      </w:tr>
      <w:tr>
        <w:trPr>
          <w:trHeight w:val="243"/>
        </w:trPr>
        <w:tc>
          <w:tcPr>
            <w:tcW w:w="644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Annualized Return on Equity (Adjusted Net Investment Income) </w:t>
            </w:r>
            <w:r>
              <w:rPr>
                <w:rFonts w:ascii="Times New Roman" w:cs="Times New Roman" w:eastAsia="Times New Roman" w:hAnsi="Times New Roman"/>
                <w:sz w:val="24"/>
                <w:szCs w:val="24"/>
                <w:color w:val="auto"/>
                <w:vertAlign w:val="superscript"/>
              </w:rPr>
              <w:t>(2)(3)</w:t>
            </w:r>
          </w:p>
        </w:tc>
        <w:tc>
          <w:tcPr>
            <w:tcW w:w="10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14.5 %</w:t>
            </w:r>
          </w:p>
        </w:tc>
        <w:tc>
          <w:tcPr>
            <w:tcW w:w="22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14.4 %</w:t>
            </w:r>
          </w:p>
        </w:tc>
        <w:tc>
          <w:tcPr>
            <w:tcW w:w="46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15.5 %</w:t>
            </w:r>
          </w:p>
        </w:tc>
      </w:tr>
      <w:tr>
        <w:trPr>
          <w:trHeight w:val="268"/>
        </w:trPr>
        <w:tc>
          <w:tcPr>
            <w:tcW w:w="644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Annualized Return on Equity (Adjusted Net Income) </w:t>
            </w:r>
            <w:r>
              <w:rPr>
                <w:rFonts w:ascii="Times New Roman" w:cs="Times New Roman" w:eastAsia="Times New Roman" w:hAnsi="Times New Roman"/>
                <w:sz w:val="24"/>
                <w:szCs w:val="24"/>
                <w:color w:val="auto"/>
                <w:vertAlign w:val="superscript"/>
              </w:rPr>
              <w:t>(2)(3)</w:t>
            </w:r>
          </w:p>
        </w:tc>
        <w:tc>
          <w:tcPr>
            <w:tcW w:w="100" w:type="dxa"/>
            <w:vAlign w:val="bottom"/>
          </w:tcPr>
          <w:p>
            <w:pPr>
              <w:spacing w:after="0"/>
              <w:rPr>
                <w:sz w:val="23"/>
                <w:szCs w:val="23"/>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13.6 %</w:t>
            </w:r>
          </w:p>
        </w:tc>
        <w:tc>
          <w:tcPr>
            <w:tcW w:w="22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18.5 %</w:t>
            </w:r>
          </w:p>
        </w:tc>
        <w:tc>
          <w:tcPr>
            <w:tcW w:w="46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13.6 %</w:t>
            </w:r>
          </w:p>
        </w:tc>
      </w:tr>
      <w:tr>
        <w:trPr>
          <w:trHeight w:val="50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Yield of Debt and Income Producing Securities at Fair Value</w:t>
            </w:r>
          </w:p>
        </w:tc>
        <w:tc>
          <w:tcPr>
            <w:tcW w:w="100" w:type="dxa"/>
            <w:vAlign w:val="bottom"/>
          </w:tcPr>
          <w:p>
            <w:pPr>
              <w:spacing w:after="0"/>
              <w:rPr>
                <w:sz w:val="24"/>
                <w:szCs w:val="24"/>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14.1 %</w:t>
            </w:r>
          </w:p>
        </w:tc>
        <w:tc>
          <w:tcPr>
            <w:tcW w:w="220" w:type="dxa"/>
            <w:vAlign w:val="bottom"/>
          </w:tcPr>
          <w:p>
            <w:pPr>
              <w:spacing w:after="0"/>
              <w:rPr>
                <w:sz w:val="24"/>
                <w:szCs w:val="24"/>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14.2 %</w:t>
            </w:r>
          </w:p>
        </w:tc>
        <w:tc>
          <w:tcPr>
            <w:tcW w:w="46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13.5 %</w:t>
            </w:r>
          </w:p>
        </w:tc>
      </w:tr>
      <w:tr>
        <w:trPr>
          <w:trHeight w:val="232"/>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Yield of Debt and Income Producing Securities at Amortized Cost</w:t>
            </w:r>
          </w:p>
        </w:tc>
        <w:tc>
          <w:tcPr>
            <w:tcW w:w="100" w:type="dxa"/>
            <w:vAlign w:val="bottom"/>
          </w:tcPr>
          <w:p>
            <w:pPr>
              <w:spacing w:after="0"/>
              <w:rPr>
                <w:sz w:val="20"/>
                <w:szCs w:val="20"/>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14.2 %</w:t>
            </w:r>
          </w:p>
        </w:tc>
        <w:tc>
          <w:tcPr>
            <w:tcW w:w="22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14.3 %</w:t>
            </w:r>
          </w:p>
        </w:tc>
        <w:tc>
          <w:tcPr>
            <w:tcW w:w="46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13.4 %</w:t>
            </w:r>
          </w:p>
        </w:tc>
      </w:tr>
      <w:tr>
        <w:trPr>
          <w:trHeight w:val="268"/>
        </w:trPr>
        <w:tc>
          <w:tcPr>
            <w:tcW w:w="644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Percentage of Debt Investment Commitments at Floating Rates </w:t>
            </w:r>
            <w:r>
              <w:rPr>
                <w:rFonts w:ascii="Times New Roman" w:cs="Times New Roman" w:eastAsia="Times New Roman" w:hAnsi="Times New Roman"/>
                <w:sz w:val="24"/>
                <w:szCs w:val="24"/>
                <w:color w:val="auto"/>
                <w:vertAlign w:val="superscript"/>
              </w:rPr>
              <w:t>(4)</w:t>
            </w:r>
          </w:p>
        </w:tc>
        <w:tc>
          <w:tcPr>
            <w:tcW w:w="100" w:type="dxa"/>
            <w:vAlign w:val="bottom"/>
          </w:tcPr>
          <w:p>
            <w:pPr>
              <w:spacing w:after="0"/>
              <w:rPr>
                <w:sz w:val="23"/>
                <w:szCs w:val="23"/>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99.7 %</w:t>
            </w:r>
          </w:p>
        </w:tc>
        <w:tc>
          <w:tcPr>
            <w:tcW w:w="22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99.7 %</w:t>
            </w:r>
          </w:p>
        </w:tc>
        <w:tc>
          <w:tcPr>
            <w:tcW w:w="46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-1096645</wp:posOffset>
            </wp:positionV>
            <wp:extent cx="705485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54850" cy="15430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-788035</wp:posOffset>
            </wp:positionV>
            <wp:extent cx="705485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54850" cy="15430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-462280</wp:posOffset>
            </wp:positionV>
            <wp:extent cx="705485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54850" cy="15430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-153670</wp:posOffset>
            </wp:positionV>
            <wp:extent cx="705485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54850" cy="154305"/>
                    </a:xfrm>
                    <a:prstGeom prst="rect">
                      <a:avLst/>
                    </a:prstGeom>
                    <a:noFill/>
                  </pic:spPr>
                </pic:pic>
              </a:graphicData>
            </a:graphic>
          </wp:anchor>
        </w:drawing>
      </w:r>
    </w:p>
    <w:p>
      <w:pPr>
        <w:spacing w:after="0" w:line="140" w:lineRule="exact"/>
        <w:rPr>
          <w:sz w:val="20"/>
          <w:szCs w:val="20"/>
          <w:color w:val="auto"/>
        </w:rPr>
      </w:pPr>
    </w:p>
    <w:p>
      <w:pPr>
        <w:ind w:left="760" w:hanging="378"/>
        <w:spacing w:after="0"/>
        <w:tabs>
          <w:tab w:leader="none" w:pos="760" w:val="left"/>
        </w:tabs>
        <w:numPr>
          <w:ilvl w:val="0"/>
          <w:numId w:val="6"/>
        </w:numPr>
        <w:rPr>
          <w:rFonts w:ascii="Calibri" w:cs="Calibri" w:eastAsia="Calibri" w:hAnsi="Calibri"/>
          <w:sz w:val="14"/>
          <w:szCs w:val="14"/>
          <w:color w:val="auto"/>
        </w:rPr>
      </w:pPr>
      <w:r>
        <w:rPr>
          <w:rFonts w:ascii="Calibri" w:cs="Calibri" w:eastAsia="Calibri" w:hAnsi="Calibri"/>
          <w:sz w:val="14"/>
          <w:szCs w:val="14"/>
          <w:color w:val="auto"/>
        </w:rPr>
        <w:t>Adjusted net asset value per share gives efect to the supplemental dividend declared related to earnings or special dividend in the applicable period.</w:t>
      </w:r>
    </w:p>
    <w:p>
      <w:pPr>
        <w:spacing w:after="0" w:line="5" w:lineRule="exact"/>
        <w:rPr>
          <w:rFonts w:ascii="Calibri" w:cs="Calibri" w:eastAsia="Calibri" w:hAnsi="Calibri"/>
          <w:sz w:val="14"/>
          <w:szCs w:val="14"/>
          <w:color w:val="auto"/>
        </w:rPr>
      </w:pPr>
    </w:p>
    <w:p>
      <w:pPr>
        <w:ind w:left="760" w:hanging="378"/>
        <w:spacing w:after="0" w:line="245" w:lineRule="auto"/>
        <w:tabs>
          <w:tab w:leader="none" w:pos="760" w:val="left"/>
        </w:tabs>
        <w:numPr>
          <w:ilvl w:val="0"/>
          <w:numId w:val="6"/>
        </w:numPr>
        <w:rPr>
          <w:rFonts w:ascii="Calibri" w:cs="Calibri" w:eastAsia="Calibri" w:hAnsi="Calibri"/>
          <w:sz w:val="14"/>
          <w:szCs w:val="14"/>
          <w:color w:val="auto"/>
        </w:rPr>
      </w:pPr>
      <w:r>
        <w:rPr>
          <w:rFonts w:ascii="Calibri" w:cs="Calibri" w:eastAsia="Calibri" w:hAnsi="Calibri"/>
          <w:sz w:val="14"/>
          <w:szCs w:val="14"/>
          <w:color w:val="auto"/>
        </w:rPr>
        <w:t>Adjusted to exclude the capital gains incentve fee that was accrued, but not paid, related to cumulatve unrealized capital gains in excess of cumulatve net realized capital gains less any cumulatve unrealized losses and capital gains incentve fees paid incepton to date.</w:t>
      </w:r>
    </w:p>
    <w:p>
      <w:pPr>
        <w:spacing w:after="0" w:line="1" w:lineRule="exact"/>
        <w:rPr>
          <w:rFonts w:ascii="Calibri" w:cs="Calibri" w:eastAsia="Calibri" w:hAnsi="Calibri"/>
          <w:sz w:val="14"/>
          <w:szCs w:val="14"/>
          <w:color w:val="auto"/>
        </w:rPr>
      </w:pPr>
    </w:p>
    <w:p>
      <w:pPr>
        <w:ind w:left="760" w:hanging="378"/>
        <w:spacing w:after="0"/>
        <w:tabs>
          <w:tab w:leader="none" w:pos="760" w:val="left"/>
        </w:tabs>
        <w:numPr>
          <w:ilvl w:val="0"/>
          <w:numId w:val="6"/>
        </w:numPr>
        <w:rPr>
          <w:rFonts w:ascii="Calibri" w:cs="Calibri" w:eastAsia="Calibri" w:hAnsi="Calibri"/>
          <w:sz w:val="14"/>
          <w:szCs w:val="14"/>
          <w:color w:val="auto"/>
        </w:rPr>
      </w:pPr>
      <w:r>
        <w:rPr>
          <w:rFonts w:ascii="Calibri" w:cs="Calibri" w:eastAsia="Calibri" w:hAnsi="Calibri"/>
          <w:sz w:val="14"/>
          <w:szCs w:val="14"/>
          <w:color w:val="auto"/>
        </w:rPr>
        <w:t>Return on equity is calculated using prior period’s ending net asset value per share.</w:t>
      </w:r>
    </w:p>
    <w:p>
      <w:pPr>
        <w:spacing w:after="0" w:line="5" w:lineRule="exact"/>
        <w:rPr>
          <w:rFonts w:ascii="Calibri" w:cs="Calibri" w:eastAsia="Calibri" w:hAnsi="Calibri"/>
          <w:sz w:val="14"/>
          <w:szCs w:val="14"/>
          <w:color w:val="auto"/>
        </w:rPr>
      </w:pPr>
    </w:p>
    <w:p>
      <w:pPr>
        <w:ind w:left="760" w:right="20" w:hanging="378"/>
        <w:spacing w:after="0" w:line="243" w:lineRule="auto"/>
        <w:tabs>
          <w:tab w:leader="none" w:pos="760" w:val="left"/>
        </w:tabs>
        <w:numPr>
          <w:ilvl w:val="0"/>
          <w:numId w:val="6"/>
        </w:numPr>
        <w:rPr>
          <w:rFonts w:ascii="Calibri" w:cs="Calibri" w:eastAsia="Calibri" w:hAnsi="Calibri"/>
          <w:sz w:val="14"/>
          <w:szCs w:val="14"/>
          <w:color w:val="auto"/>
        </w:rPr>
      </w:pPr>
      <w:r>
        <w:rPr>
          <w:rFonts w:ascii="Calibri" w:cs="Calibri" w:eastAsia="Calibri" w:hAnsi="Calibri"/>
          <w:sz w:val="14"/>
          <w:szCs w:val="14"/>
          <w:color w:val="auto"/>
        </w:rPr>
        <w:t>Includes one or more fxed rate investments for which the Company entered into an interest rate swap agreement to swap to foatng rate. Calculaton includes income earning debt investments only.</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32"/>
          <w:szCs w:val="32"/>
          <w:b w:val="1"/>
          <w:bCs w:val="1"/>
          <w:color w:val="auto"/>
        </w:rPr>
        <w:t>FINANCIAL STATEMENTS AND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Sixth Street Specialty Lending, Inc.</w:t>
      </w:r>
    </w:p>
    <w:p>
      <w:pPr>
        <w:jc w:val="center"/>
        <w:spacing w:after="0" w:line="238" w:lineRule="auto"/>
        <w:rPr>
          <w:sz w:val="20"/>
          <w:szCs w:val="20"/>
          <w:color w:val="auto"/>
        </w:rPr>
      </w:pPr>
      <w:r>
        <w:rPr>
          <w:rFonts w:ascii="Calibri" w:cs="Calibri" w:eastAsia="Calibri" w:hAnsi="Calibri"/>
          <w:sz w:val="20"/>
          <w:szCs w:val="20"/>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Calibri" w:cs="Calibri" w:eastAsia="Calibri" w:hAnsi="Calibri"/>
          <w:sz w:val="18"/>
          <w:szCs w:val="18"/>
          <w:i w:val="1"/>
          <w:iCs w:val="1"/>
          <w:color w:val="auto"/>
        </w:rPr>
        <w:t>(Amounts in thousands, except share and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5"/>
                <w:szCs w:val="15"/>
                <w:color w:val="auto"/>
              </w:rPr>
            </w:pP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Non-controlled, non-affiliated investments (amortized cost of $3,172,853 and $2,707,442,</w:t>
            </w: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3,223,152</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2,717,170</w:t>
            </w:r>
          </w:p>
        </w:tc>
        <w:tc>
          <w:tcPr>
            <w:tcW w:w="100" w:type="dxa"/>
            <w:vAlign w:val="bottom"/>
            <w:shd w:val="clear" w:color="auto" w:fill="CFF0FC"/>
          </w:tcPr>
          <w:p>
            <w:pPr>
              <w:spacing w:after="0"/>
              <w:rPr>
                <w:sz w:val="21"/>
                <w:szCs w:val="21"/>
                <w:color w:val="auto"/>
              </w:rPr>
            </w:pPr>
          </w:p>
        </w:tc>
      </w:tr>
      <w:tr>
        <w:trPr>
          <w:trHeight w:val="243"/>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Controlled, affiliated investments (amortized cost of $78,159 and $67,284, respectively)</w:t>
            </w:r>
          </w:p>
        </w:tc>
        <w:tc>
          <w:tcPr>
            <w:tcW w:w="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59,913</w:t>
            </w:r>
          </w:p>
        </w:tc>
        <w:tc>
          <w:tcPr>
            <w:tcW w:w="3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70,755</w:t>
            </w:r>
          </w:p>
        </w:tc>
        <w:tc>
          <w:tcPr>
            <w:tcW w:w="100" w:type="dxa"/>
            <w:vAlign w:val="bottom"/>
          </w:tcPr>
          <w:p>
            <w:pPr>
              <w:spacing w:after="0"/>
              <w:rPr>
                <w:sz w:val="21"/>
                <w:szCs w:val="21"/>
                <w:color w:val="auto"/>
              </w:rPr>
            </w:pPr>
          </w:p>
        </w:tc>
      </w:tr>
      <w:tr>
        <w:trPr>
          <w:trHeight w:val="23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 (amortized cost of $3,251,012 and $2,774,726, respectively)</w:t>
            </w:r>
          </w:p>
        </w:tc>
        <w:tc>
          <w:tcPr>
            <w:tcW w:w="2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3,283,065</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2,787,925</w:t>
            </w:r>
          </w:p>
        </w:tc>
        <w:tc>
          <w:tcPr>
            <w:tcW w:w="100" w:type="dxa"/>
            <w:vAlign w:val="bottom"/>
            <w:shd w:val="clear" w:color="auto" w:fill="CFF0FC"/>
          </w:tcPr>
          <w:p>
            <w:pPr>
              <w:spacing w:after="0"/>
              <w:rPr>
                <w:sz w:val="20"/>
                <w:szCs w:val="20"/>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(restricted cash of $23,979 and $15,437, respectively)</w:t>
            </w: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25,196</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25,647</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2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27,969</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18,846</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100" w:type="dxa"/>
            <w:vAlign w:val="bottom"/>
          </w:tcPr>
          <w:p>
            <w:pPr>
              <w:spacing w:after="0"/>
              <w:rPr>
                <w:sz w:val="20"/>
                <w:szCs w:val="20"/>
                <w:color w:val="auto"/>
              </w:rPr>
            </w:pPr>
          </w:p>
        </w:tc>
      </w:tr>
      <w:tr>
        <w:trPr>
          <w:trHeight w:val="281"/>
        </w:trPr>
        <w:tc>
          <w:tcPr>
            <w:tcW w:w="73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3,343,808</w:t>
            </w:r>
          </w:p>
        </w:tc>
        <w:tc>
          <w:tcPr>
            <w:tcW w:w="3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2,836,947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(net of deferred financing costs of $21,930 and $17,760, respectively)</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1,780,307</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1,441,796</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fees payable to affiliate</w:t>
            </w: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11,962</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Incentive fees on net investment income payable to affiliate</w:t>
            </w:r>
          </w:p>
        </w:tc>
        <w:tc>
          <w:tcPr>
            <w:tcW w:w="2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11,451</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10,918</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fees on net capital gains accrued to affiliate</w:t>
            </w: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10,446</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payables to affiliate</w:t>
            </w:r>
          </w:p>
        </w:tc>
        <w:tc>
          <w:tcPr>
            <w:tcW w:w="2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30,465</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22,809</w:t>
            </w:r>
          </w:p>
        </w:tc>
        <w:tc>
          <w:tcPr>
            <w:tcW w:w="100" w:type="dxa"/>
            <w:vAlign w:val="bottom"/>
          </w:tcPr>
          <w:p>
            <w:pPr>
              <w:spacing w:after="0"/>
              <w:rPr>
                <w:sz w:val="20"/>
                <w:szCs w:val="20"/>
                <w:color w:val="auto"/>
              </w:rPr>
            </w:pPr>
          </w:p>
        </w:tc>
      </w:tr>
      <w:tr>
        <w:trPr>
          <w:trHeight w:val="239"/>
        </w:trPr>
        <w:tc>
          <w:tcPr>
            <w:tcW w:w="73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1,847,433</w:t>
            </w:r>
          </w:p>
        </w:tc>
        <w:tc>
          <w:tcPr>
            <w:tcW w:w="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1,495,378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2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$0.01 par value; 100,000,000 shares authorized; no shares</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 and outstanding</w:t>
            </w:r>
          </w:p>
        </w:tc>
        <w:tc>
          <w:tcPr>
            <w:tcW w:w="28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$0.01 par value; 400,000,000 shares authorized, 88,493,749</w:t>
            </w: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and 82,053,537 shares issued, respectively; and 87,829,499 and 81,389,287</w:t>
            </w: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shares outstanding, respectively</w:t>
            </w:r>
          </w:p>
        </w:tc>
        <w:tc>
          <w:tcPr>
            <w:tcW w:w="2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shd w:val="clear" w:color="auto" w:fill="CFF0FC"/>
          </w:tcPr>
          <w:p>
            <w:pPr>
              <w:spacing w:after="0"/>
              <w:rPr>
                <w:sz w:val="21"/>
                <w:szCs w:val="21"/>
                <w:color w:val="auto"/>
              </w:rPr>
            </w:pP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1,405,173</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1,294,751</w:t>
            </w:r>
          </w:p>
        </w:tc>
        <w:tc>
          <w:tcPr>
            <w:tcW w:w="100" w:type="dxa"/>
            <w:vAlign w:val="bottom"/>
          </w:tcPr>
          <w:p>
            <w:pPr>
              <w:spacing w:after="0"/>
              <w:rPr>
                <w:sz w:val="20"/>
                <w:szCs w:val="20"/>
                <w:color w:val="auto"/>
              </w:rPr>
            </w:pPr>
          </w:p>
        </w:tc>
      </w:tr>
      <w:tr>
        <w:trPr>
          <w:trHeight w:val="247"/>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Treasury stock at cost; 664,250 and 664,250 shares held, respectively</w:t>
            </w:r>
          </w:p>
        </w:tc>
        <w:tc>
          <w:tcPr>
            <w:tcW w:w="28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(10,459 )</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(10,459 )</w:t>
            </w:r>
          </w:p>
        </w:tc>
      </w:tr>
      <w:tr>
        <w:trPr>
          <w:trHeight w:val="23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Distributable earnings</w:t>
            </w: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100,776</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56,456</w:t>
            </w:r>
          </w:p>
        </w:tc>
        <w:tc>
          <w:tcPr>
            <w:tcW w:w="100" w:type="dxa"/>
            <w:vAlign w:val="bottom"/>
          </w:tcPr>
          <w:p>
            <w:pPr>
              <w:spacing w:after="0"/>
              <w:rPr>
                <w:sz w:val="20"/>
                <w:szCs w:val="20"/>
                <w:color w:val="auto"/>
              </w:rPr>
            </w:pPr>
          </w:p>
        </w:tc>
      </w:tr>
      <w:tr>
        <w:trPr>
          <w:trHeight w:val="239"/>
        </w:trPr>
        <w:tc>
          <w:tcPr>
            <w:tcW w:w="73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28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1,496,375</w:t>
            </w:r>
          </w:p>
        </w:tc>
        <w:tc>
          <w:tcPr>
            <w:tcW w:w="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1,341,569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73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 and Net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3,343,808</w:t>
            </w:r>
          </w:p>
        </w:tc>
        <w:tc>
          <w:tcPr>
            <w:tcW w:w="30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2,836,947</w:t>
            </w:r>
          </w:p>
        </w:tc>
        <w:tc>
          <w:tcPr>
            <w:tcW w:w="100" w:type="dxa"/>
            <w:vAlign w:val="bottom"/>
          </w:tcPr>
          <w:p>
            <w:pPr>
              <w:spacing w:after="0"/>
              <w:rPr>
                <w:sz w:val="20"/>
                <w:szCs w:val="20"/>
                <w:color w:val="auto"/>
              </w:rPr>
            </w:pPr>
          </w:p>
        </w:tc>
      </w:tr>
      <w:tr>
        <w:trPr>
          <w:trHeight w:val="20"/>
        </w:trPr>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3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Net Asset Value Per Share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3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16"/>
        </w:trPr>
        <w:tc>
          <w:tcPr>
            <w:tcW w:w="7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948"/>
        </w:trPr>
        <w:tc>
          <w:tcPr>
            <w:tcW w:w="7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-4191000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-4173855</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-4173855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-2922270</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-2922270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-1259205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-916305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-899160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jc w:val="center"/>
        <w:spacing w:after="0"/>
        <w:rPr>
          <w:sz w:val="20"/>
          <w:szCs w:val="20"/>
          <w:color w:val="auto"/>
        </w:rPr>
      </w:pPr>
      <w:r>
        <w:rPr>
          <w:rFonts w:ascii="Calibri" w:cs="Calibri" w:eastAsia="Calibri" w:hAnsi="Calibri"/>
          <w:sz w:val="20"/>
          <w:szCs w:val="20"/>
          <w:b w:val="1"/>
          <w:bCs w:val="1"/>
          <w:color w:val="auto"/>
        </w:rPr>
        <w:t>Sixth Street Specialty Lending, Inc.</w:t>
      </w:r>
    </w:p>
    <w:p>
      <w:pPr>
        <w:jc w:val="center"/>
        <w:spacing w:after="0" w:line="238" w:lineRule="auto"/>
        <w:rPr>
          <w:sz w:val="20"/>
          <w:szCs w:val="20"/>
          <w:color w:val="auto"/>
        </w:rPr>
      </w:pPr>
      <w:r>
        <w:rPr>
          <w:rFonts w:ascii="Calibri" w:cs="Calibri" w:eastAsia="Calibri" w:hAnsi="Calibri"/>
          <w:sz w:val="20"/>
          <w:szCs w:val="20"/>
          <w:color w:val="auto"/>
        </w:rPr>
        <w:t>Consolidated Statements of Operatons</w:t>
      </w:r>
    </w:p>
    <w:p>
      <w:pPr>
        <w:spacing w:after="0" w:line="7" w:lineRule="exact"/>
        <w:rPr>
          <w:sz w:val="20"/>
          <w:szCs w:val="20"/>
          <w:color w:val="auto"/>
        </w:rPr>
      </w:pPr>
    </w:p>
    <w:p>
      <w:pPr>
        <w:jc w:val="center"/>
        <w:spacing w:after="0"/>
        <w:rPr>
          <w:sz w:val="20"/>
          <w:szCs w:val="20"/>
          <w:color w:val="auto"/>
        </w:rPr>
      </w:pPr>
      <w:r>
        <w:rPr>
          <w:rFonts w:ascii="Calibri" w:cs="Calibri" w:eastAsia="Calibri" w:hAnsi="Calibri"/>
          <w:sz w:val="18"/>
          <w:szCs w:val="18"/>
          <w:i w:val="1"/>
          <w:iCs w:val="1"/>
          <w:color w:val="auto"/>
        </w:rPr>
        <w:t>(Amounts in thousands, except share and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5"/>
                <w:szCs w:val="15"/>
                <w:color w:val="auto"/>
              </w:rPr>
            </w:pPr>
          </w:p>
        </w:tc>
        <w:tc>
          <w:tcPr>
            <w:tcW w:w="16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5"/>
                <w:szCs w:val="15"/>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6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6"/>
                <w:szCs w:val="16"/>
                <w:color w:val="auto"/>
              </w:rPr>
            </w:pPr>
          </w:p>
        </w:tc>
        <w:tc>
          <w:tcPr>
            <w:tcW w:w="16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69"/>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Borders>
              <w:top w:val="single" w:sz="8" w:color="auto"/>
            </w:tcBorders>
            <w:shd w:val="clear" w:color="auto" w:fill="CFF0FC"/>
          </w:tcPr>
          <w:p>
            <w:pPr>
              <w:spacing w:after="0"/>
              <w:rPr>
                <w:sz w:val="14"/>
                <w:szCs w:val="14"/>
                <w:color w:val="auto"/>
              </w:rPr>
            </w:pPr>
          </w:p>
        </w:tc>
        <w:tc>
          <w:tcPr>
            <w:tcW w:w="134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40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4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income from non-controlled, non-affiliated investments:</w:t>
            </w: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6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Interest from investments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411,022</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292,442</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261,782</w:t>
            </w:r>
          </w:p>
        </w:tc>
        <w:tc>
          <w:tcPr>
            <w:tcW w:w="100" w:type="dxa"/>
            <w:vAlign w:val="bottom"/>
            <w:shd w:val="clear" w:color="auto" w:fill="CFF0FC"/>
          </w:tcPr>
          <w:p>
            <w:pPr>
              <w:spacing w:after="0"/>
              <w:rPr>
                <w:sz w:val="15"/>
                <w:szCs w:val="15"/>
                <w:color w:val="auto"/>
              </w:rPr>
            </w:pPr>
          </w:p>
        </w:tc>
      </w:tr>
      <w:tr>
        <w:trPr>
          <w:trHeight w:val="176"/>
        </w:trPr>
        <w:tc>
          <w:tcPr>
            <w:tcW w:w="6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Dividend income</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3,426</w:t>
            </w:r>
          </w:p>
        </w:tc>
        <w:tc>
          <w:tcPr>
            <w:tcW w:w="100" w:type="dxa"/>
            <w:vAlign w:val="bottom"/>
          </w:tcPr>
          <w:p>
            <w:pPr>
              <w:spacing w:after="0"/>
              <w:rPr>
                <w:sz w:val="15"/>
                <w:szCs w:val="15"/>
                <w:color w:val="auto"/>
              </w:rPr>
            </w:pPr>
          </w:p>
        </w:tc>
      </w:tr>
      <w:tr>
        <w:trPr>
          <w:trHeight w:val="175"/>
        </w:trPr>
        <w:tc>
          <w:tcPr>
            <w:tcW w:w="6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12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15,122</w:t>
            </w: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9,502</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7,751</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6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investment income from non-controlled, non-affiliated investments</w:t>
            </w: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430,325</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304,103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272,959</w:t>
            </w:r>
          </w:p>
        </w:tc>
        <w:tc>
          <w:tcPr>
            <w:tcW w:w="100" w:type="dxa"/>
            <w:vAlign w:val="bottom"/>
          </w:tcPr>
          <w:p>
            <w:pPr>
              <w:spacing w:after="0"/>
              <w:rPr>
                <w:sz w:val="14"/>
                <w:szCs w:val="14"/>
                <w:color w:val="auto"/>
              </w:rPr>
            </w:pPr>
          </w:p>
        </w:tc>
      </w:tr>
      <w:tr>
        <w:trPr>
          <w:trHeight w:val="176"/>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 income from non-controlled, affiliated investments:</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from investments</w:t>
            </w:r>
          </w:p>
        </w:tc>
        <w:tc>
          <w:tcPr>
            <w:tcW w:w="120" w:type="dxa"/>
            <w:vAlign w:val="bottom"/>
          </w:tcPr>
          <w:p>
            <w:pPr>
              <w:spacing w:after="0"/>
              <w:rPr>
                <w:sz w:val="15"/>
                <w:szCs w:val="15"/>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100" w:type="dxa"/>
            <w:vAlign w:val="bottom"/>
          </w:tcPr>
          <w:p>
            <w:pPr>
              <w:spacing w:after="0"/>
              <w:rPr>
                <w:sz w:val="15"/>
                <w:szCs w:val="15"/>
                <w:color w:val="auto"/>
              </w:rPr>
            </w:pPr>
          </w:p>
        </w:tc>
      </w:tr>
      <w:tr>
        <w:trPr>
          <w:trHeight w:val="176"/>
        </w:trPr>
        <w:tc>
          <w:tcPr>
            <w:tcW w:w="6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Dividend income</w:t>
            </w:r>
          </w:p>
        </w:tc>
        <w:tc>
          <w:tcPr>
            <w:tcW w:w="12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6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shd w:val="clear" w:color="auto" w:fill="CFF0FC"/>
          </w:tcPr>
          <w:p>
            <w:pPr>
              <w:spacing w:after="0"/>
              <w:rPr>
                <w:sz w:val="15"/>
                <w:szCs w:val="15"/>
                <w:color w:val="auto"/>
              </w:rPr>
            </w:pPr>
          </w:p>
        </w:tc>
      </w:tr>
      <w:tr>
        <w:trPr>
          <w:trHeight w:val="175"/>
        </w:trPr>
        <w:tc>
          <w:tcPr>
            <w:tcW w:w="6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r>
        <w:trPr>
          <w:trHeight w:val="169"/>
        </w:trPr>
        <w:tc>
          <w:tcPr>
            <w:tcW w:w="6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investment income from non-controlled, affiliated investments</w:t>
            </w:r>
          </w:p>
        </w:tc>
        <w:tc>
          <w:tcPr>
            <w:tcW w:w="12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1,578</w:t>
            </w:r>
          </w:p>
        </w:tc>
        <w:tc>
          <w:tcPr>
            <w:tcW w:w="100" w:type="dxa"/>
            <w:vAlign w:val="bottom"/>
            <w:shd w:val="clear" w:color="auto" w:fill="CFF0FC"/>
          </w:tcPr>
          <w:p>
            <w:pPr>
              <w:spacing w:after="0"/>
              <w:rPr>
                <w:sz w:val="14"/>
                <w:szCs w:val="14"/>
                <w:color w:val="auto"/>
              </w:rPr>
            </w:pPr>
          </w:p>
        </w:tc>
      </w:tr>
      <w:tr>
        <w:trPr>
          <w:trHeight w:val="176"/>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income from controlled, affiliated investments:</w:t>
            </w: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Interest from investments</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7,756</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5,064</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4,039</w:t>
            </w:r>
          </w:p>
        </w:tc>
        <w:tc>
          <w:tcPr>
            <w:tcW w:w="100" w:type="dxa"/>
            <w:vAlign w:val="bottom"/>
            <w:shd w:val="clear" w:color="auto" w:fill="CFF0FC"/>
          </w:tcPr>
          <w:p>
            <w:pPr>
              <w:spacing w:after="0"/>
              <w:rPr>
                <w:sz w:val="15"/>
                <w:szCs w:val="15"/>
                <w:color w:val="auto"/>
              </w:rPr>
            </w:pPr>
          </w:p>
        </w:tc>
      </w:tr>
      <w:tr>
        <w:trPr>
          <w:trHeight w:val="176"/>
        </w:trPr>
        <w:tc>
          <w:tcPr>
            <w:tcW w:w="6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r>
      <w:tr>
        <w:trPr>
          <w:trHeight w:val="169"/>
        </w:trPr>
        <w:tc>
          <w:tcPr>
            <w:tcW w:w="61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investment income from controlled, affiliated investments</w:t>
            </w:r>
          </w:p>
        </w:tc>
        <w:tc>
          <w:tcPr>
            <w:tcW w:w="12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7,762</w:t>
            </w:r>
          </w:p>
        </w:tc>
        <w:tc>
          <w:tcPr>
            <w:tcW w:w="2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5,069</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4,056</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61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438,087</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309,305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278,593</w:t>
            </w:r>
          </w:p>
        </w:tc>
        <w:tc>
          <w:tcPr>
            <w:tcW w:w="100" w:type="dxa"/>
            <w:vAlign w:val="bottom"/>
          </w:tcPr>
          <w:p>
            <w:pPr>
              <w:spacing w:after="0"/>
              <w:rPr>
                <w:sz w:val="14"/>
                <w:szCs w:val="14"/>
                <w:color w:val="auto"/>
              </w:rPr>
            </w:pPr>
          </w:p>
        </w:tc>
      </w:tr>
      <w:tr>
        <w:trPr>
          <w:trHeight w:val="169"/>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133,731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62,991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38,825</w:t>
            </w:r>
          </w:p>
        </w:tc>
        <w:tc>
          <w:tcPr>
            <w:tcW w:w="100" w:type="dxa"/>
            <w:vAlign w:val="bottom"/>
          </w:tcPr>
          <w:p>
            <w:pPr>
              <w:spacing w:after="0"/>
              <w:rPr>
                <w:sz w:val="15"/>
                <w:szCs w:val="15"/>
                <w:color w:val="auto"/>
              </w:rPr>
            </w:pPr>
          </w:p>
        </w:tc>
      </w:tr>
      <w:tr>
        <w:trPr>
          <w:trHeight w:val="175"/>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Management fees</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46,382</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39,900</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37,081</w:t>
            </w:r>
          </w:p>
        </w:tc>
        <w:tc>
          <w:tcPr>
            <w:tcW w:w="100" w:type="dxa"/>
            <w:vAlign w:val="bottom"/>
            <w:shd w:val="clear" w:color="auto" w:fill="CFF0FC"/>
          </w:tcPr>
          <w:p>
            <w:pPr>
              <w:spacing w:after="0"/>
              <w:rPr>
                <w:sz w:val="15"/>
                <w:szCs w:val="15"/>
                <w:color w:val="auto"/>
              </w:rPr>
            </w:pPr>
          </w:p>
        </w:tc>
      </w:tr>
      <w:tr>
        <w:trPr>
          <w:trHeight w:val="176"/>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Incentive fees on net investment income</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42,590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33,062</w:t>
            </w:r>
          </w:p>
        </w:tc>
        <w:tc>
          <w:tcPr>
            <w:tcW w:w="100" w:type="dxa"/>
            <w:vAlign w:val="bottom"/>
          </w:tcPr>
          <w:p>
            <w:pPr>
              <w:spacing w:after="0"/>
              <w:rPr>
                <w:sz w:val="15"/>
                <w:szCs w:val="15"/>
                <w:color w:val="auto"/>
              </w:rPr>
            </w:pPr>
          </w:p>
        </w:tc>
      </w:tr>
      <w:tr>
        <w:trPr>
          <w:trHeight w:val="175"/>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Incentive fees on net capital gains</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4,382</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(8,864 )</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13,507</w:t>
            </w:r>
          </w:p>
        </w:tc>
        <w:tc>
          <w:tcPr>
            <w:tcW w:w="100" w:type="dxa"/>
            <w:vAlign w:val="bottom"/>
            <w:shd w:val="clear" w:color="auto" w:fill="CFF0FC"/>
          </w:tcPr>
          <w:p>
            <w:pPr>
              <w:spacing w:after="0"/>
              <w:rPr>
                <w:sz w:val="15"/>
                <w:szCs w:val="15"/>
                <w:color w:val="auto"/>
              </w:rPr>
            </w:pPr>
          </w:p>
        </w:tc>
      </w:tr>
      <w:tr>
        <w:trPr>
          <w:trHeight w:val="175"/>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6,586</w:t>
            </w:r>
          </w:p>
        </w:tc>
        <w:tc>
          <w:tcPr>
            <w:tcW w:w="100" w:type="dxa"/>
            <w:vAlign w:val="bottom"/>
          </w:tcPr>
          <w:p>
            <w:pPr>
              <w:spacing w:after="0"/>
              <w:rPr>
                <w:sz w:val="15"/>
                <w:szCs w:val="15"/>
                <w:color w:val="auto"/>
              </w:rPr>
            </w:pPr>
          </w:p>
        </w:tc>
      </w:tr>
      <w:tr>
        <w:trPr>
          <w:trHeight w:val="175"/>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Directors’ fees</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00" w:type="dxa"/>
            <w:vAlign w:val="bottom"/>
            <w:shd w:val="clear" w:color="auto" w:fill="CFF0FC"/>
          </w:tcPr>
          <w:p>
            <w:pPr>
              <w:spacing w:after="0"/>
              <w:rPr>
                <w:sz w:val="15"/>
                <w:szCs w:val="15"/>
                <w:color w:val="auto"/>
              </w:rPr>
            </w:pPr>
          </w:p>
        </w:tc>
      </w:tr>
      <w:tr>
        <w:trPr>
          <w:trHeight w:val="176"/>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general and administrative</w:t>
            </w: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5,280</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6,236</w:t>
            </w:r>
          </w:p>
        </w:tc>
        <w:tc>
          <w:tcPr>
            <w:tcW w:w="100" w:type="dxa"/>
            <w:vAlign w:val="bottom"/>
          </w:tcPr>
          <w:p>
            <w:pPr>
              <w:spacing w:after="0"/>
              <w:rPr>
                <w:sz w:val="15"/>
                <w:szCs w:val="15"/>
                <w:color w:val="auto"/>
              </w:rPr>
            </w:pPr>
          </w:p>
        </w:tc>
      </w:tr>
      <w:tr>
        <w:trPr>
          <w:trHeight w:val="169"/>
        </w:trPr>
        <w:tc>
          <w:tcPr>
            <w:tcW w:w="61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 expenses</w:t>
            </w:r>
          </w:p>
        </w:tc>
        <w:tc>
          <w:tcPr>
            <w:tcW w:w="12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240,494</w:t>
            </w:r>
          </w:p>
        </w:tc>
        <w:tc>
          <w:tcPr>
            <w:tcW w:w="2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140,783</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136,040</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Management and incentive fees waived (Note 3)</w:t>
            </w:r>
          </w:p>
        </w:tc>
        <w:tc>
          <w:tcPr>
            <w:tcW w:w="120" w:type="dxa"/>
            <w:vAlign w:val="bottom"/>
          </w:tcPr>
          <w:p>
            <w:pPr>
              <w:spacing w:after="0"/>
              <w:rPr>
                <w:sz w:val="14"/>
                <w:szCs w:val="14"/>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(1,171 )</w:t>
            </w:r>
          </w:p>
        </w:tc>
        <w:tc>
          <w:tcPr>
            <w:tcW w:w="120" w:type="dxa"/>
            <w:vAlign w:val="bottom"/>
          </w:tcPr>
          <w:p>
            <w:pPr>
              <w:spacing w:after="0"/>
              <w:rPr>
                <w:sz w:val="14"/>
                <w:szCs w:val="14"/>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(427 )</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(190 )</w:t>
            </w:r>
          </w:p>
        </w:tc>
      </w:tr>
      <w:tr>
        <w:trPr>
          <w:trHeight w:val="169"/>
        </w:trPr>
        <w:tc>
          <w:tcPr>
            <w:tcW w:w="61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b w:val="1"/>
                <w:bCs w:val="1"/>
                <w:color w:val="auto"/>
              </w:rPr>
              <w:t>Net Expenses</w:t>
            </w: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239,323</w:t>
            </w:r>
          </w:p>
        </w:tc>
        <w:tc>
          <w:tcPr>
            <w:tcW w:w="2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140,356</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135,850</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Income Before Income Taxes</w:t>
            </w: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198,764</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168,949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142,743</w:t>
            </w:r>
          </w:p>
        </w:tc>
        <w:tc>
          <w:tcPr>
            <w:tcW w:w="100" w:type="dxa"/>
            <w:vAlign w:val="bottom"/>
          </w:tcPr>
          <w:p>
            <w:pPr>
              <w:spacing w:after="0"/>
              <w:rPr>
                <w:sz w:val="14"/>
                <w:szCs w:val="14"/>
                <w:color w:val="auto"/>
              </w:rPr>
            </w:pPr>
          </w:p>
        </w:tc>
      </w:tr>
      <w:tr>
        <w:trPr>
          <w:trHeight w:val="175"/>
        </w:trPr>
        <w:tc>
          <w:tcPr>
            <w:tcW w:w="6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taxes, including excise taxes</w:t>
            </w:r>
          </w:p>
        </w:tc>
        <w:tc>
          <w:tcPr>
            <w:tcW w:w="12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2,365</w:t>
            </w: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2,622</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196,399</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166,327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142,359</w:t>
            </w:r>
          </w:p>
        </w:tc>
        <w:tc>
          <w:tcPr>
            <w:tcW w:w="100" w:type="dxa"/>
            <w:vAlign w:val="bottom"/>
          </w:tcPr>
          <w:p>
            <w:pPr>
              <w:spacing w:after="0"/>
              <w:rPr>
                <w:sz w:val="14"/>
                <w:szCs w:val="14"/>
                <w:color w:val="auto"/>
              </w:rPr>
            </w:pPr>
          </w:p>
        </w:tc>
      </w:tr>
      <w:tr>
        <w:trPr>
          <w:trHeight w:val="175"/>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and Realized Gains (Losses)</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unrealized gains (losses):</w:t>
            </w: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40,571</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(70,085 )</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17,938</w:t>
            </w:r>
          </w:p>
        </w:tc>
        <w:tc>
          <w:tcPr>
            <w:tcW w:w="100" w:type="dxa"/>
            <w:vAlign w:val="bottom"/>
            <w:shd w:val="clear" w:color="auto" w:fill="CFF0FC"/>
          </w:tcPr>
          <w:p>
            <w:pPr>
              <w:spacing w:after="0"/>
              <w:rPr>
                <w:sz w:val="15"/>
                <w:szCs w:val="15"/>
                <w:color w:val="auto"/>
              </w:rPr>
            </w:pPr>
          </w:p>
        </w:tc>
      </w:tr>
      <w:tr>
        <w:trPr>
          <w:trHeight w:val="175"/>
        </w:trPr>
        <w:tc>
          <w:tcPr>
            <w:tcW w:w="6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Non-controlled, affiliated investments</w:t>
            </w:r>
          </w:p>
        </w:tc>
        <w:tc>
          <w:tcPr>
            <w:tcW w:w="120" w:type="dxa"/>
            <w:vAlign w:val="bottom"/>
          </w:tcPr>
          <w:p>
            <w:pPr>
              <w:spacing w:after="0"/>
              <w:rPr>
                <w:sz w:val="15"/>
                <w:szCs w:val="15"/>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(14,350 )</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14,350</w:t>
            </w:r>
          </w:p>
        </w:tc>
        <w:tc>
          <w:tcPr>
            <w:tcW w:w="100" w:type="dxa"/>
            <w:vAlign w:val="bottom"/>
          </w:tcPr>
          <w:p>
            <w:pPr>
              <w:spacing w:after="0"/>
              <w:rPr>
                <w:sz w:val="15"/>
                <w:szCs w:val="15"/>
                <w:color w:val="auto"/>
              </w:rPr>
            </w:pPr>
          </w:p>
        </w:tc>
      </w:tr>
      <w:tr>
        <w:trPr>
          <w:trHeight w:val="175"/>
        </w:trPr>
        <w:tc>
          <w:tcPr>
            <w:tcW w:w="6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Controlled, affiliated investments</w:t>
            </w:r>
          </w:p>
        </w:tc>
        <w:tc>
          <w:tcPr>
            <w:tcW w:w="12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(21,717 )</w:t>
            </w: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8,054</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17,450</w:t>
            </w:r>
          </w:p>
        </w:tc>
        <w:tc>
          <w:tcPr>
            <w:tcW w:w="100" w:type="dxa"/>
            <w:vAlign w:val="bottom"/>
            <w:shd w:val="clear" w:color="auto" w:fill="CFF0FC"/>
          </w:tcPr>
          <w:p>
            <w:pPr>
              <w:spacing w:after="0"/>
              <w:rPr>
                <w:sz w:val="15"/>
                <w:szCs w:val="15"/>
                <w:color w:val="auto"/>
              </w:rPr>
            </w:pPr>
          </w:p>
        </w:tc>
      </w:tr>
      <w:tr>
        <w:trPr>
          <w:trHeight w:val="176"/>
        </w:trPr>
        <w:tc>
          <w:tcPr>
            <w:tcW w:w="6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Translation of other assets and liabilities in foreign currencies</w:t>
            </w:r>
          </w:p>
        </w:tc>
        <w:tc>
          <w:tcPr>
            <w:tcW w:w="120" w:type="dxa"/>
            <w:vAlign w:val="bottom"/>
          </w:tcPr>
          <w:p>
            <w:pPr>
              <w:spacing w:after="0"/>
              <w:rPr>
                <w:sz w:val="15"/>
                <w:szCs w:val="15"/>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(6,393 )</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(591 )</w:t>
            </w:r>
          </w:p>
        </w:tc>
      </w:tr>
      <w:tr>
        <w:trPr>
          <w:trHeight w:val="175"/>
        </w:trPr>
        <w:tc>
          <w:tcPr>
            <w:tcW w:w="6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Interest rate swaps</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(6,748 )</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(6,699 )</w:t>
            </w:r>
          </w:p>
        </w:tc>
      </w:tr>
      <w:tr>
        <w:trPr>
          <w:trHeight w:val="175"/>
        </w:trPr>
        <w:tc>
          <w:tcPr>
            <w:tcW w:w="6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Income tax provision</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(561 )</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(1,902 )</w:t>
            </w:r>
          </w:p>
        </w:tc>
      </w:tr>
      <w:tr>
        <w:trPr>
          <w:trHeight w:val="20"/>
        </w:trPr>
        <w:tc>
          <w:tcPr>
            <w:tcW w:w="6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1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Total net change in unrealized gains (losses)</w:t>
            </w: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13,191</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(74,969 )</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40,546</w:t>
            </w:r>
          </w:p>
        </w:tc>
        <w:tc>
          <w:tcPr>
            <w:tcW w:w="100" w:type="dxa"/>
            <w:vAlign w:val="bottom"/>
            <w:shd w:val="clear" w:color="auto" w:fill="CFF0FC"/>
          </w:tcPr>
          <w:p>
            <w:pPr>
              <w:spacing w:after="0"/>
              <w:rPr>
                <w:sz w:val="14"/>
                <w:szCs w:val="14"/>
                <w:color w:val="auto"/>
              </w:rPr>
            </w:pPr>
          </w:p>
        </w:tc>
      </w:tr>
      <w:tr>
        <w:trPr>
          <w:trHeight w:val="169"/>
        </w:trPr>
        <w:tc>
          <w:tcPr>
            <w:tcW w:w="61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Realized gains (losses):</w:t>
            </w: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75"/>
        </w:trPr>
        <w:tc>
          <w:tcPr>
            <w:tcW w:w="6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12,095</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28,849</w:t>
            </w:r>
          </w:p>
        </w:tc>
        <w:tc>
          <w:tcPr>
            <w:tcW w:w="100" w:type="dxa"/>
            <w:vAlign w:val="bottom"/>
            <w:shd w:val="clear" w:color="auto" w:fill="CFF0FC"/>
          </w:tcPr>
          <w:p>
            <w:pPr>
              <w:spacing w:after="0"/>
              <w:rPr>
                <w:sz w:val="15"/>
                <w:szCs w:val="15"/>
                <w:color w:val="auto"/>
              </w:rPr>
            </w:pPr>
          </w:p>
        </w:tc>
      </w:tr>
      <w:tr>
        <w:trPr>
          <w:trHeight w:val="175"/>
        </w:trPr>
        <w:tc>
          <w:tcPr>
            <w:tcW w:w="6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Non-controlled, affiliated investments</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(33 )</w:t>
            </w:r>
          </w:p>
        </w:tc>
      </w:tr>
      <w:tr>
        <w:trPr>
          <w:trHeight w:val="176"/>
        </w:trPr>
        <w:tc>
          <w:tcPr>
            <w:tcW w:w="6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Controlled, affiliated investments</w:t>
            </w:r>
          </w:p>
        </w:tc>
        <w:tc>
          <w:tcPr>
            <w:tcW w:w="12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rate swaps</w:t>
            </w:r>
          </w:p>
        </w:tc>
        <w:tc>
          <w:tcPr>
            <w:tcW w:w="120" w:type="dxa"/>
            <w:vAlign w:val="bottom"/>
          </w:tcPr>
          <w:p>
            <w:pPr>
              <w:spacing w:after="0"/>
              <w:rPr>
                <w:sz w:val="15"/>
                <w:szCs w:val="15"/>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Foreign currency transactions</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(291 )</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FF0FC"/>
          </w:tcPr>
          <w:p>
            <w:pPr>
              <w:spacing w:after="0"/>
              <w:rPr>
                <w:sz w:val="15"/>
                <w:szCs w:val="15"/>
                <w:color w:val="auto"/>
              </w:rPr>
            </w:pPr>
          </w:p>
        </w:tc>
      </w:tr>
      <w:tr>
        <w:trPr>
          <w:trHeight w:val="169"/>
        </w:trPr>
        <w:tc>
          <w:tcPr>
            <w:tcW w:w="610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4"/>
                <w:szCs w:val="14"/>
                <w:color w:val="auto"/>
              </w:rPr>
              <w:t>Total net realized gains (losses)</w:t>
            </w:r>
          </w:p>
        </w:tc>
        <w:tc>
          <w:tcPr>
            <w:tcW w:w="1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12,433</w:t>
            </w:r>
          </w:p>
        </w:tc>
        <w:tc>
          <w:tcPr>
            <w:tcW w:w="260" w:type="dxa"/>
            <w:vAlign w:val="bottom"/>
            <w:tcBorders>
              <w:top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16,695</w:t>
            </w:r>
          </w:p>
        </w:tc>
        <w:tc>
          <w:tcPr>
            <w:tcW w:w="12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28,875</w:t>
            </w:r>
          </w:p>
        </w:tc>
        <w:tc>
          <w:tcPr>
            <w:tcW w:w="100" w:type="dxa"/>
            <w:vAlign w:val="bottom"/>
            <w:tcBorders>
              <w:top w:val="single" w:sz="8" w:color="CFF0FC"/>
            </w:tcBorders>
          </w:tcPr>
          <w:p>
            <w:pPr>
              <w:spacing w:after="0"/>
              <w:rPr>
                <w:sz w:val="14"/>
                <w:szCs w:val="14"/>
                <w:color w:val="auto"/>
              </w:rPr>
            </w:pPr>
          </w:p>
        </w:tc>
      </w:tr>
      <w:tr>
        <w:trPr>
          <w:trHeight w:val="169"/>
        </w:trPr>
        <w:tc>
          <w:tcPr>
            <w:tcW w:w="61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b w:val="1"/>
                <w:bCs w:val="1"/>
                <w:color w:val="auto"/>
              </w:rPr>
              <w:t>Total Net Unrealized and Realized Gains (Losses)</w:t>
            </w: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25,624</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(58,274 )</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69,421</w:t>
            </w:r>
          </w:p>
        </w:tc>
        <w:tc>
          <w:tcPr>
            <w:tcW w:w="100" w:type="dxa"/>
            <w:vAlign w:val="bottom"/>
            <w:shd w:val="clear" w:color="auto" w:fill="CFF0FC"/>
          </w:tcPr>
          <w:p>
            <w:pPr>
              <w:spacing w:after="0"/>
              <w:rPr>
                <w:sz w:val="14"/>
                <w:szCs w:val="14"/>
                <w:color w:val="auto"/>
              </w:rPr>
            </w:pPr>
          </w:p>
        </w:tc>
      </w:tr>
      <w:tr>
        <w:trPr>
          <w:trHeight w:val="169"/>
        </w:trPr>
        <w:tc>
          <w:tcPr>
            <w:tcW w:w="6100" w:type="dxa"/>
            <w:vAlign w:val="bottom"/>
            <w:tcBorders>
              <w:top w:val="single" w:sz="8" w:color="CFF0FC"/>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Increase (Decrease) in Net Assets Resulting from Operations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222,023</w:t>
            </w:r>
          </w:p>
        </w:tc>
        <w:tc>
          <w:tcPr>
            <w:tcW w:w="260" w:type="dxa"/>
            <w:vAlign w:val="bottom"/>
            <w:tcBorders>
              <w:top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108,053</w:t>
            </w:r>
          </w:p>
        </w:tc>
        <w:tc>
          <w:tcPr>
            <w:tcW w:w="12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211,780</w:t>
            </w:r>
          </w:p>
        </w:tc>
        <w:tc>
          <w:tcPr>
            <w:tcW w:w="100" w:type="dxa"/>
            <w:vAlign w:val="bottom"/>
            <w:tcBorders>
              <w:top w:val="single" w:sz="8" w:color="CFF0FC"/>
            </w:tcBorders>
          </w:tcPr>
          <w:p>
            <w:pPr>
              <w:spacing w:after="0"/>
              <w:rPr>
                <w:sz w:val="14"/>
                <w:szCs w:val="14"/>
                <w:color w:val="auto"/>
              </w:rPr>
            </w:pPr>
          </w:p>
        </w:tc>
      </w:tr>
      <w:tr>
        <w:trPr>
          <w:trHeight w:val="20"/>
        </w:trPr>
        <w:tc>
          <w:tcPr>
            <w:tcW w:w="6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10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Earnings per common share—basic</w:t>
            </w:r>
          </w:p>
        </w:tc>
        <w:tc>
          <w:tcPr>
            <w:tcW w:w="1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2.61</w:t>
            </w:r>
          </w:p>
        </w:tc>
        <w:tc>
          <w:tcPr>
            <w:tcW w:w="2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1.38</w:t>
            </w: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2.93</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69"/>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shares of common stock outstanding—basic</w:t>
            </w: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85,131,264</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78,197,826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72,169,488</w:t>
            </w:r>
          </w:p>
        </w:tc>
        <w:tc>
          <w:tcPr>
            <w:tcW w:w="100" w:type="dxa"/>
            <w:vAlign w:val="bottom"/>
          </w:tcPr>
          <w:p>
            <w:pPr>
              <w:spacing w:after="0"/>
              <w:rPr>
                <w:sz w:val="14"/>
                <w:szCs w:val="14"/>
                <w:color w:val="auto"/>
              </w:rPr>
            </w:pPr>
          </w:p>
        </w:tc>
      </w:tr>
      <w:tr>
        <w:trPr>
          <w:trHeight w:val="169"/>
        </w:trPr>
        <w:tc>
          <w:tcPr>
            <w:tcW w:w="6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Earnings per common share—diluted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2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shares of common stock outstanding—diluted</w:t>
            </w: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85,131,264</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78,197,826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77,702,258</w:t>
            </w:r>
          </w:p>
        </w:tc>
        <w:tc>
          <w:tcPr>
            <w:tcW w:w="100" w:type="dxa"/>
            <w:vAlign w:val="bottom"/>
          </w:tcPr>
          <w:p>
            <w:pPr>
              <w:spacing w:after="0"/>
              <w:rPr>
                <w:sz w:val="14"/>
                <w:szCs w:val="14"/>
                <w:color w:val="auto"/>
              </w:rPr>
            </w:pPr>
          </w:p>
        </w:tc>
      </w:tr>
      <w:tr>
        <w:trPr>
          <w:trHeight w:val="429"/>
        </w:trPr>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948"/>
        </w:trPr>
        <w:tc>
          <w:tcPr>
            <w:tcW w:w="6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-6316980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-6316980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-6316980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-5177155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-5177155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-5177155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-4036695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-4036695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-4036695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-3796665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-3796665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-3796665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-3565525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-3565525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-3565525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-2433955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-2433955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-2433955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-1756410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-1756410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-1756410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-1516380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-1516380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-1259205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-1259205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-1019175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-1019175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ind w:right="60"/>
        <w:spacing w:after="0" w:line="235" w:lineRule="auto"/>
        <w:rPr>
          <w:sz w:val="20"/>
          <w:szCs w:val="20"/>
          <w:color w:val="auto"/>
        </w:rPr>
      </w:pPr>
      <w:r>
        <w:rPr>
          <w:rFonts w:ascii="Calibri" w:cs="Calibri" w:eastAsia="Calibri" w:hAnsi="Calibri"/>
          <w:sz w:val="18"/>
          <w:szCs w:val="18"/>
          <w:color w:val="auto"/>
        </w:rPr>
        <w:t>The Company’s investment actvity for the year ended December 31, 2023, 2022 and 2021 is presented below (informaton presented herein is at par value unless otherwise indicated).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5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4"/>
                <w:szCs w:val="14"/>
                <w:color w:val="auto"/>
              </w:rPr>
            </w:pPr>
          </w:p>
        </w:tc>
        <w:tc>
          <w:tcPr>
            <w:tcW w:w="15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14"/>
                <w:szCs w:val="14"/>
                <w:color w:val="auto"/>
              </w:rPr>
            </w:pPr>
          </w:p>
        </w:tc>
        <w:tc>
          <w:tcPr>
            <w:tcW w:w="13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gridSpan w:val="2"/>
          </w:tcPr>
          <w:p>
            <w:pPr>
              <w:spacing w:after="0"/>
              <w:rPr>
                <w:sz w:val="14"/>
                <w:szCs w:val="14"/>
                <w:color w:val="auto"/>
              </w:rPr>
            </w:pPr>
          </w:p>
        </w:tc>
      </w:tr>
      <w:tr>
        <w:trPr>
          <w:trHeight w:val="23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New investment commitments:</w:t>
            </w:r>
          </w:p>
        </w:tc>
        <w:tc>
          <w:tcPr>
            <w:tcW w:w="42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640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Gross originations </w:t>
            </w:r>
            <w:r>
              <w:rPr>
                <w:rFonts w:ascii="Times New Roman" w:cs="Times New Roman" w:eastAsia="Times New Roman" w:hAnsi="Times New Roman"/>
                <w:sz w:val="24"/>
                <w:szCs w:val="24"/>
                <w:color w:val="auto"/>
                <w:vertAlign w:val="superscript"/>
              </w:rPr>
              <w:t>(1)</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6,516.6</w:t>
            </w:r>
          </w:p>
        </w:tc>
        <w:tc>
          <w:tcPr>
            <w:tcW w:w="2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400" w:type="dxa"/>
            <w:vAlign w:val="bottom"/>
            <w:tcBorders>
              <w:bottom w:val="single" w:sz="8" w:color="CFF0FC"/>
            </w:tcBorders>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Less: Syndications/sell downs </w:t>
            </w:r>
            <w:r>
              <w:rPr>
                <w:rFonts w:ascii="Times New Roman" w:cs="Times New Roman" w:eastAsia="Times New Roman" w:hAnsi="Times New Roman"/>
                <w:sz w:val="24"/>
                <w:szCs w:val="24"/>
                <w:color w:val="auto"/>
                <w:vertAlign w:val="superscript"/>
              </w:rPr>
              <w:t>(1)</w:t>
            </w:r>
          </w:p>
        </w:tc>
        <w:tc>
          <w:tcPr>
            <w:tcW w:w="4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5,558.0</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3,156.7</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3,152.5</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2"/>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new investment commitments</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958.6</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amount of investments funded:</w:t>
            </w: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6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First-lien</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Second-lien</w:t>
            </w: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6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Mezzanine</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2"/>
        </w:trPr>
        <w:tc>
          <w:tcPr>
            <w:tcW w:w="6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 and other</w:t>
            </w: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9"/>
        </w:trPr>
        <w:tc>
          <w:tcPr>
            <w:tcW w:w="6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Structured Credit</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6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808.4</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1,117.4</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amount of investments sold or repaid:</w:t>
            </w: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5"/>
        </w:trPr>
        <w:tc>
          <w:tcPr>
            <w:tcW w:w="6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First-lien</w:t>
            </w:r>
          </w:p>
        </w:tc>
        <w:tc>
          <w:tcPr>
            <w:tcW w:w="420" w:type="dxa"/>
            <w:vAlign w:val="bottom"/>
            <w:shd w:val="clear" w:color="auto" w:fill="CFF0FC"/>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6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Second-lien</w:t>
            </w:r>
          </w:p>
        </w:tc>
        <w:tc>
          <w:tcPr>
            <w:tcW w:w="42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2"/>
        </w:trPr>
        <w:tc>
          <w:tcPr>
            <w:tcW w:w="6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Mezzanine</w:t>
            </w:r>
          </w:p>
        </w:tc>
        <w:tc>
          <w:tcPr>
            <w:tcW w:w="4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5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9"/>
        </w:trPr>
        <w:tc>
          <w:tcPr>
            <w:tcW w:w="6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and other</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6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Structured Credit</w:t>
            </w:r>
          </w:p>
        </w:tc>
        <w:tc>
          <w:tcPr>
            <w:tcW w:w="4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2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653.8</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5"/>
        </w:trPr>
        <w:tc>
          <w:tcPr>
            <w:tcW w:w="640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Number of new investment commitments in</w:t>
            </w:r>
          </w:p>
        </w:tc>
        <w:tc>
          <w:tcPr>
            <w:tcW w:w="4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52"/>
        </w:trPr>
        <w:tc>
          <w:tcPr>
            <w:tcW w:w="6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07"/>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Average new investment commitment amount in</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4"/>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term for new investment</w:t>
            </w: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commitments in new portfolio companies</w:t>
            </w: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52"/>
        </w:trPr>
        <w:tc>
          <w:tcPr>
            <w:tcW w:w="6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07"/>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at floating rates</w:t>
            </w:r>
          </w:p>
        </w:tc>
        <w:tc>
          <w:tcPr>
            <w:tcW w:w="4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99.5 %</w:t>
            </w:r>
          </w:p>
        </w:tc>
        <w:tc>
          <w:tcPr>
            <w:tcW w:w="120" w:type="dxa"/>
            <w:vAlign w:val="bottom"/>
          </w:tcPr>
          <w:p>
            <w:pPr>
              <w:spacing w:after="0"/>
              <w:rPr>
                <w:sz w:val="20"/>
                <w:szCs w:val="20"/>
                <w:color w:val="auto"/>
              </w:rPr>
            </w:pP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98.9 %</w:t>
            </w:r>
          </w:p>
        </w:tc>
        <w:tc>
          <w:tcPr>
            <w:tcW w:w="16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99.5 %</w:t>
            </w:r>
          </w:p>
        </w:tc>
      </w:tr>
      <w:tr>
        <w:trPr>
          <w:trHeight w:val="221"/>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interest rate of new</w:t>
            </w: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investment commitments</w:t>
            </w:r>
          </w:p>
        </w:tc>
        <w:tc>
          <w:tcPr>
            <w:tcW w:w="4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12.9 %</w:t>
            </w:r>
          </w:p>
        </w:tc>
        <w:tc>
          <w:tcPr>
            <w:tcW w:w="120" w:type="dxa"/>
            <w:vAlign w:val="bottom"/>
          </w:tcPr>
          <w:p>
            <w:pPr>
              <w:spacing w:after="0"/>
              <w:rPr>
                <w:sz w:val="20"/>
                <w:szCs w:val="20"/>
                <w:color w:val="auto"/>
              </w:rPr>
            </w:pP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11.9 %</w:t>
            </w:r>
          </w:p>
        </w:tc>
        <w:tc>
          <w:tcPr>
            <w:tcW w:w="16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21"/>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spread over reference rate of new</w:t>
            </w: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floating rate investment commitments</w:t>
            </w:r>
          </w:p>
        </w:tc>
        <w:tc>
          <w:tcPr>
            <w:tcW w:w="4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tcPr>
          <w:p>
            <w:pPr>
              <w:spacing w:after="0"/>
              <w:rPr>
                <w:sz w:val="20"/>
                <w:szCs w:val="20"/>
                <w:color w:val="auto"/>
              </w:rPr>
            </w:pP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7.8 %</w:t>
            </w:r>
          </w:p>
        </w:tc>
        <w:tc>
          <w:tcPr>
            <w:tcW w:w="16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21"/>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interest rate on investments</w:t>
            </w: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fully sold or paid down</w:t>
            </w:r>
          </w:p>
        </w:tc>
        <w:tc>
          <w:tcPr>
            <w:tcW w:w="4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13.7 %</w:t>
            </w:r>
          </w:p>
        </w:tc>
        <w:tc>
          <w:tcPr>
            <w:tcW w:w="120" w:type="dxa"/>
            <w:vAlign w:val="bottom"/>
          </w:tcPr>
          <w:p>
            <w:pPr>
              <w:spacing w:after="0"/>
              <w:rPr>
                <w:sz w:val="20"/>
                <w:szCs w:val="20"/>
                <w:color w:val="auto"/>
              </w:rPr>
            </w:pP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9.9 %</w:t>
            </w:r>
          </w:p>
        </w:tc>
        <w:tc>
          <w:tcPr>
            <w:tcW w:w="16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-864870</wp:posOffset>
            </wp:positionV>
            <wp:extent cx="7132320" cy="291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291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-4516755</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-4516755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-4516755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-2339340</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-2339340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3" w:lineRule="exact"/>
        <w:rPr>
          <w:sz w:val="20"/>
          <w:szCs w:val="20"/>
          <w:color w:val="auto"/>
        </w:rPr>
      </w:pPr>
    </w:p>
    <w:p>
      <w:pPr>
        <w:ind w:left="760" w:hanging="378"/>
        <w:spacing w:after="0"/>
        <w:tabs>
          <w:tab w:leader="none" w:pos="760" w:val="left"/>
        </w:tabs>
        <w:numPr>
          <w:ilvl w:val="0"/>
          <w:numId w:val="7"/>
        </w:numPr>
        <w:rPr>
          <w:rFonts w:ascii="Calibri" w:cs="Calibri" w:eastAsia="Calibri" w:hAnsi="Calibri"/>
          <w:sz w:val="14"/>
          <w:szCs w:val="14"/>
          <w:color w:val="auto"/>
        </w:rPr>
      </w:pPr>
      <w:r>
        <w:rPr>
          <w:rFonts w:ascii="Calibri" w:cs="Calibri" w:eastAsia="Calibri" w:hAnsi="Calibri"/>
          <w:sz w:val="14"/>
          <w:szCs w:val="14"/>
          <w:color w:val="auto"/>
        </w:rPr>
        <w:t>Includes afliates of Sixth Street.</w:t>
      </w:r>
    </w:p>
    <w:p>
      <w:pPr>
        <w:spacing w:after="0" w:line="217" w:lineRule="exact"/>
        <w:rPr>
          <w:sz w:val="20"/>
          <w:szCs w:val="20"/>
          <w:color w:val="auto"/>
        </w:rPr>
      </w:pPr>
    </w:p>
    <w:p>
      <w:pPr>
        <w:ind w:left="111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bookmarkStart w:id="12" w:name="page13"/>
    <w:bookmarkEnd w:id="12"/>
    <w:p>
      <w:pPr>
        <w:spacing w:after="0" w:line="2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18"/>
          <w:szCs w:val="18"/>
          <w:b w:val="1"/>
          <w:bCs w:val="1"/>
          <w:color w:val="auto"/>
        </w:rPr>
        <w:t>About Sixth Street Specialty Lending</w:t>
      </w:r>
    </w:p>
    <w:p>
      <w:pPr>
        <w:spacing w:after="0" w:line="21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Sixth Street Specialty Lending is a specialty fnance company focused on lending to middle-market companies. The Company seeks to generate current income primarily in U.S.-domiciled middle-market companies through direct originatons of senior secured loans and, to a lesser extent, originatons of mezzanine loans and investments in corporate bonds and equity securites. The Company has elected to be regulated as a business development company, or a BDC, under the Investment Company Act of 1940 and the rules and regulatons promulgated thereunder. The Company is externally managed by Sixth Street Specialty Lending Advisers, LLC, an afliate of Sixth Street and a Securites and Exchange Commission (“SEC”) registered investment adviser. The Company leverages the deep investment, sector, and operatng resources of Sixth Street, a global investment frm with over $75 billion in assets under management and commited capital. For more informaton, visit the Company’s website at htps://sixthstreetspecialtylending.com.</w:t>
      </w:r>
    </w:p>
    <w:p>
      <w:pPr>
        <w:spacing w:after="0" w:line="15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About Sixth Street</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Sixth Street is a global investment frm with over $75 billion in assets under management and commited capital. The frm uses its long-term fexible capital, data-enabled capabilites, and One Team culture to develop themes and ofer solutons to companies across all stages of growth. Founded in 2009, Sixth Street has more than 550 team members including over 200 investment professionals around the world. For more informaton, visit htps://sixthstreet.com or follow Sixth Street on LinkedIn.</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Forward-Looking Statements</w:t>
      </w:r>
    </w:p>
    <w:p>
      <w:pPr>
        <w:spacing w:after="0" w:line="217"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Statements included herein may consttute “forward-looking statements,” within the meaning of the federal securites laws and the Private Securites Litgaton Reform Act of 1995, which relate to future events or the Company’s future performance or fnancial conditon. These forward-looking statements can be identfed by the use of forward-looking terminology, such as “outlook,” “indicator,” “believes,” “expects,” “potental,” “contnues,” “may,” “can,” “will,” “should,” “seeks,” “approximately,” “predicts,” “intends,” “plans,” “estmates,” “antcipates”, “confdent,” “convicton,” “identfed” or the negatve versions of these words or other comparable words thereof. These statements are not guarantees of future performance, conditons or results and involve a number of risks and uncertaintes. Actual results may difer materially from those in the forward-looking statements as a result of a number of factors, including those described from tme to tme in the Company’s flings with the SEC, which are accessible on the SEC’s website at www.sec.gov. Except as otherwise required by federal securites laws, the Company assumes no obligaton to update any such forward-looking statements, whether as a result of new informaton, future developments or otherwise.</w:t>
      </w:r>
    </w:p>
    <w:p>
      <w:pPr>
        <w:spacing w:after="0" w:line="21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Non-GAAP Financial Measures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Adjusted net investment income and adjusted net income are each non-GAAP fnancial measures, which represent net investment income and net income, respectvely, in each case less the impact of accrued capital gains incentve fee expenses. The Company believes that adjusted net investment income and adjusted net income provide useful informaton to investors regarding the fundamental earnings power of the business, and these fgures are used by the Company to measure its fnancial conditon and results of operatons. The presentaton of this additonal informaton is not meant to be considered in isolaton or as a substtute for fnancial results prepared in accordance with GAAP.</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alibri" w:cs="Calibri" w:eastAsia="Calibri" w:hAnsi="Calibri"/>
          <w:sz w:val="18"/>
          <w:szCs w:val="18"/>
          <w:color w:val="auto"/>
        </w:rPr>
        <w:t>Investors: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Cami VanHorn, 469-621-2033</w:t>
      </w:r>
    </w:p>
    <w:p>
      <w:pPr>
        <w:spacing w:after="0" w:line="235" w:lineRule="auto"/>
        <w:rPr>
          <w:sz w:val="20"/>
          <w:szCs w:val="20"/>
          <w:color w:val="auto"/>
        </w:rPr>
      </w:pPr>
      <w:r>
        <w:rPr>
          <w:rFonts w:ascii="Calibri" w:cs="Calibri" w:eastAsia="Calibri" w:hAnsi="Calibri"/>
          <w:sz w:val="18"/>
          <w:szCs w:val="18"/>
          <w:color w:val="auto"/>
        </w:rPr>
        <w:t>Sixth Street Specialty Lending</w:t>
      </w:r>
    </w:p>
    <w:p>
      <w:pPr>
        <w:spacing w:after="0" w:line="236" w:lineRule="auto"/>
        <w:rPr>
          <w:sz w:val="20"/>
          <w:szCs w:val="20"/>
          <w:color w:val="auto"/>
        </w:rPr>
      </w:pPr>
      <w:r>
        <w:rPr>
          <w:rFonts w:ascii="Calibri" w:cs="Calibri" w:eastAsia="Calibri" w:hAnsi="Calibri"/>
          <w:sz w:val="18"/>
          <w:szCs w:val="18"/>
          <w:color w:val="auto"/>
        </w:rPr>
        <w:t>IRTSLX@sixthstreet.com</w:t>
      </w:r>
    </w:p>
    <w:p>
      <w:pPr>
        <w:spacing w:after="0" w:line="362" w:lineRule="exact"/>
        <w:rPr>
          <w:sz w:val="20"/>
          <w:szCs w:val="20"/>
          <w:color w:val="auto"/>
        </w:rPr>
      </w:pPr>
    </w:p>
    <w:p>
      <w:pPr>
        <w:spacing w:after="0"/>
        <w:rPr>
          <w:sz w:val="20"/>
          <w:szCs w:val="20"/>
          <w:color w:val="auto"/>
        </w:rPr>
      </w:pPr>
      <w:r>
        <w:rPr>
          <w:rFonts w:ascii="Calibri" w:cs="Calibri" w:eastAsia="Calibri" w:hAnsi="Calibri"/>
          <w:sz w:val="18"/>
          <w:szCs w:val="18"/>
          <w:color w:val="auto"/>
        </w:rPr>
        <w:t>Media:</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371600" cy="4114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18"/>
          <w:szCs w:val="18"/>
          <w:color w:val="auto"/>
        </w:rPr>
        <w:t>Patrick Cliford, 617-793-2004</w:t>
      </w:r>
    </w:p>
    <w:p>
      <w:pPr>
        <w:spacing w:after="0" w:line="235" w:lineRule="auto"/>
        <w:rPr>
          <w:sz w:val="20"/>
          <w:szCs w:val="20"/>
          <w:color w:val="auto"/>
        </w:rPr>
      </w:pPr>
      <w:r>
        <w:rPr>
          <w:rFonts w:ascii="Calibri" w:cs="Calibri" w:eastAsia="Calibri" w:hAnsi="Calibri"/>
          <w:sz w:val="18"/>
          <w:szCs w:val="18"/>
          <w:color w:val="auto"/>
        </w:rPr>
        <w:t>Sixth Street</w:t>
      </w:r>
    </w:p>
    <w:p>
      <w:pPr>
        <w:spacing w:after="0" w:line="236" w:lineRule="auto"/>
        <w:rPr>
          <w:sz w:val="20"/>
          <w:szCs w:val="20"/>
          <w:color w:val="auto"/>
        </w:rPr>
      </w:pPr>
      <w:r>
        <w:rPr>
          <w:rFonts w:ascii="Calibri" w:cs="Calibri" w:eastAsia="Calibri" w:hAnsi="Calibri"/>
          <w:sz w:val="18"/>
          <w:szCs w:val="18"/>
          <w:color w:val="auto"/>
        </w:rPr>
        <w:t>PCliford@sixthstreet.com</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2024-02-15T15:07:24Z</dcterms:created>
  <dcterms:modified xsi:type="dcterms:W3CDTF">2024-02-15T15:07:24Z</dcterms:modified>
</cp:coreProperties>
</file>