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8,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333-203450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4040" w:type="dxa"/>
        <w:tblCellMar>
          <w:top w:w="0" w:type="dxa"/>
          <w:left w:w="0" w:type="dxa"/>
          <w:bottom w:w="0" w:type="dxa"/>
          <w:right w:w="0" w:type="dxa"/>
        </w:tblCellMar>
      </w:tblPr>
      <w:tr>
        <w:trPr>
          <w:trHeight w:val="225"/>
        </w:trPr>
        <w:tc>
          <w:tcPr>
            <w:tcW w:w="5140" w:type="dxa"/>
            <w:vAlign w:val="bottom"/>
          </w:tcPr>
          <w:p>
            <w:pPr>
              <w:ind w:left="1300"/>
              <w:spacing w:after="0" w:line="225" w:lineRule="exact"/>
              <w:rPr>
                <w:sz w:val="20"/>
                <w:szCs w:val="20"/>
                <w:color w:val="auto"/>
              </w:rPr>
            </w:pPr>
            <w:r>
              <w:rPr>
                <w:rFonts w:ascii="Arial" w:cs="Arial" w:eastAsia="Arial" w:hAnsi="Arial"/>
                <w:sz w:val="22"/>
                <w:szCs w:val="22"/>
                <w:b w:val="1"/>
                <w:bCs w:val="1"/>
                <w:i w:val="1"/>
                <w:iCs w:val="1"/>
                <w:color w:val="auto"/>
              </w:rPr>
              <w:t>UNDER</w:t>
            </w:r>
          </w:p>
        </w:tc>
        <w:tc>
          <w:tcPr>
            <w:tcW w:w="2240" w:type="dxa"/>
            <w:vAlign w:val="bottom"/>
            <w:vMerge w:val="restart"/>
          </w:tcPr>
          <w:p>
            <w:pPr>
              <w:ind w:left="20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8"/>
        </w:trPr>
        <w:tc>
          <w:tcPr>
            <w:tcW w:w="5140" w:type="dxa"/>
            <w:vAlign w:val="bottom"/>
          </w:tcPr>
          <w:p>
            <w:pPr>
              <w:jc w:val="center"/>
              <w:ind w:right="1952"/>
              <w:spacing w:after="0" w:line="218" w:lineRule="exact"/>
              <w:rPr>
                <w:sz w:val="20"/>
                <w:szCs w:val="20"/>
                <w:color w:val="auto"/>
              </w:rPr>
            </w:pPr>
            <w:r>
              <w:rPr>
                <w:rFonts w:ascii="Arial" w:cs="Arial" w:eastAsia="Arial" w:hAnsi="Arial"/>
                <w:sz w:val="22"/>
                <w:szCs w:val="22"/>
                <w:b w:val="1"/>
                <w:bCs w:val="1"/>
                <w:i w:val="1"/>
                <w:iCs w:val="1"/>
                <w:color w:val="auto"/>
                <w:w w:val="94"/>
              </w:rPr>
              <w:t>THE SECURITIES ACT OF 1933</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Arial" w:cs="Arial" w:eastAsia="Arial" w:hAnsi="Arial"/>
                <w:sz w:val="22"/>
                <w:szCs w:val="22"/>
                <w:b w:val="1"/>
                <w:bCs w:val="1"/>
                <w:color w:val="auto"/>
                <w:w w:val="89"/>
              </w:rPr>
              <w:t>Pre-Effective Amendment No.</w:t>
            </w:r>
          </w:p>
        </w:tc>
        <w:tc>
          <w:tcPr>
            <w:tcW w:w="2240" w:type="dxa"/>
            <w:vAlign w:val="bottom"/>
          </w:tcPr>
          <w:p>
            <w:pPr>
              <w:ind w:left="20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0"/>
        </w:trPr>
        <w:tc>
          <w:tcPr>
            <w:tcW w:w="5140" w:type="dxa"/>
            <w:vAlign w:val="bottom"/>
          </w:tcPr>
          <w:p>
            <w:pPr>
              <w:jc w:val="center"/>
              <w:ind w:right="1952"/>
              <w:spacing w:after="0"/>
              <w:rPr>
                <w:sz w:val="20"/>
                <w:szCs w:val="20"/>
                <w:color w:val="auto"/>
              </w:rPr>
            </w:pPr>
            <w:r>
              <w:rPr>
                <w:rFonts w:ascii="Arial" w:cs="Arial" w:eastAsia="Arial" w:hAnsi="Arial"/>
                <w:sz w:val="22"/>
                <w:szCs w:val="22"/>
                <w:b w:val="1"/>
                <w:bCs w:val="1"/>
                <w:color w:val="auto"/>
                <w:w w:val="88"/>
              </w:rPr>
              <w:t>Post-Effective Amendment No. 2</w:t>
            </w:r>
          </w:p>
        </w:tc>
        <w:tc>
          <w:tcPr>
            <w:tcW w:w="2240" w:type="dxa"/>
            <w:vAlign w:val="bottom"/>
          </w:tcPr>
          <w:p>
            <w:pPr>
              <w:ind w:left="20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A. Gerstenzang,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2 to the Registration Statement on Form N-2 (File No. 333-203450) of TPG Specialty Lending, Inc. (the “Registration Statement”) is being filed pursuant to Rule 462(d) under the Securities Act of 1933, as amended (the “Securities Act”), solely for the purpose of filing exhibits to the Registration Statement. Accordingly, this Post-Effective Amendment No. 2 consists only of a facing page, this explanatory note and Part C of the Registration Statement, which sets forth the exhibits to the Registration Statement. This Post-Effective Amendment No. 2 does not modify any other part of the Registration Statement. Pursuant to Rule 462(d) under the Securities Act, this Post-Effective Amendment No. 2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00" w:type="dxa"/>
            <w:vAlign w:val="bottom"/>
          </w:tcPr>
          <w:p>
            <w:pPr>
              <w:jc w:val="center"/>
              <w:ind w:left="1030"/>
              <w:spacing w:after="0"/>
              <w:rPr>
                <w:sz w:val="20"/>
                <w:szCs w:val="20"/>
                <w:color w:val="auto"/>
              </w:rPr>
            </w:pPr>
            <w:r>
              <w:rPr>
                <w:rFonts w:ascii="Arial" w:cs="Arial" w:eastAsia="Arial" w:hAnsi="Arial"/>
                <w:sz w:val="18"/>
                <w:szCs w:val="18"/>
                <w:b w:val="1"/>
                <w:bCs w:val="1"/>
                <w:color w:val="auto"/>
              </w:rPr>
              <w:t>TPG SPECIALTY LENDING, INC.</w:t>
            </w:r>
          </w:p>
        </w:tc>
        <w:tc>
          <w:tcPr>
            <w:tcW w:w="1020" w:type="dxa"/>
            <w:vAlign w:val="bottom"/>
          </w:tcPr>
          <w:p>
            <w:pPr>
              <w:spacing w:after="0"/>
              <w:rPr>
                <w:sz w:val="20"/>
                <w:szCs w:val="20"/>
                <w:color w:val="auto"/>
              </w:rPr>
            </w:pPr>
          </w:p>
        </w:tc>
      </w:tr>
      <w:tr>
        <w:trPr>
          <w:trHeight w:val="432"/>
        </w:trPr>
        <w:tc>
          <w:tcPr>
            <w:tcW w:w="10300" w:type="dxa"/>
            <w:vAlign w:val="bottom"/>
          </w:tcPr>
          <w:p>
            <w:pPr>
              <w:jc w:val="center"/>
              <w:ind w:left="1050"/>
              <w:spacing w:after="0"/>
              <w:rPr>
                <w:sz w:val="20"/>
                <w:szCs w:val="20"/>
                <w:color w:val="auto"/>
              </w:rPr>
            </w:pPr>
            <w:r>
              <w:rPr>
                <w:rFonts w:ascii="Arial" w:cs="Arial" w:eastAsia="Arial" w:hAnsi="Arial"/>
                <w:sz w:val="18"/>
                <w:szCs w:val="18"/>
                <w:b w:val="1"/>
                <w:bCs w:val="1"/>
                <w:color w:val="auto"/>
                <w:w w:val="95"/>
              </w:rPr>
              <w:t>PART C</w:t>
            </w:r>
          </w:p>
        </w:tc>
        <w:tc>
          <w:tcPr>
            <w:tcW w:w="1020" w:type="dxa"/>
            <w:vAlign w:val="bottom"/>
          </w:tcPr>
          <w:p>
            <w:pPr>
              <w:spacing w:after="0"/>
              <w:rPr>
                <w:sz w:val="24"/>
                <w:szCs w:val="24"/>
                <w:color w:val="auto"/>
              </w:rPr>
            </w:pPr>
          </w:p>
        </w:tc>
      </w:tr>
      <w:tr>
        <w:trPr>
          <w:trHeight w:val="432"/>
        </w:trPr>
        <w:tc>
          <w:tcPr>
            <w:tcW w:w="10300" w:type="dxa"/>
            <w:vAlign w:val="bottom"/>
          </w:tcPr>
          <w:p>
            <w:pPr>
              <w:jc w:val="center"/>
              <w:ind w:left="1050"/>
              <w:spacing w:after="0"/>
              <w:rPr>
                <w:sz w:val="20"/>
                <w:szCs w:val="20"/>
                <w:color w:val="auto"/>
              </w:rPr>
            </w:pPr>
            <w:r>
              <w:rPr>
                <w:rFonts w:ascii="Arial" w:cs="Arial" w:eastAsia="Arial" w:hAnsi="Arial"/>
                <w:sz w:val="18"/>
                <w:szCs w:val="18"/>
                <w:b w:val="1"/>
                <w:bCs w:val="1"/>
                <w:color w:val="auto"/>
                <w:w w:val="94"/>
              </w:rPr>
              <w:t>Other Information</w:t>
            </w:r>
          </w:p>
        </w:tc>
        <w:tc>
          <w:tcPr>
            <w:tcW w:w="1020" w:type="dxa"/>
            <w:vAlign w:val="bottom"/>
          </w:tcPr>
          <w:p>
            <w:pPr>
              <w:spacing w:after="0"/>
              <w:rPr>
                <w:sz w:val="24"/>
                <w:szCs w:val="24"/>
                <w:color w:val="auto"/>
              </w:rPr>
            </w:pPr>
          </w:p>
        </w:tc>
      </w:tr>
      <w:tr>
        <w:trPr>
          <w:trHeight w:val="432"/>
        </w:trPr>
        <w:tc>
          <w:tcPr>
            <w:tcW w:w="1030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020" w:type="dxa"/>
            <w:vAlign w:val="bottom"/>
          </w:tcPr>
          <w:p>
            <w:pPr>
              <w:spacing w:after="0"/>
              <w:rPr>
                <w:sz w:val="24"/>
                <w:szCs w:val="24"/>
                <w:color w:val="auto"/>
              </w:rPr>
            </w:pPr>
          </w:p>
        </w:tc>
      </w:tr>
      <w:tr>
        <w:trPr>
          <w:trHeight w:val="324"/>
        </w:trPr>
        <w:tc>
          <w:tcPr>
            <w:tcW w:w="1030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020" w:type="dxa"/>
            <w:vAlign w:val="bottom"/>
          </w:tcPr>
          <w:p>
            <w:pPr>
              <w:spacing w:after="0"/>
              <w:rPr>
                <w:sz w:val="24"/>
                <w:szCs w:val="24"/>
                <w:color w:val="auto"/>
              </w:rPr>
            </w:pPr>
          </w:p>
        </w:tc>
      </w:tr>
      <w:tr>
        <w:trPr>
          <w:trHeight w:val="324"/>
        </w:trPr>
        <w:tc>
          <w:tcPr>
            <w:tcW w:w="10300" w:type="dxa"/>
            <w:vAlign w:val="bottom"/>
          </w:tcPr>
          <w:p>
            <w:pPr>
              <w:ind w:left="920"/>
              <w:spacing w:after="0"/>
              <w:rPr>
                <w:sz w:val="20"/>
                <w:szCs w:val="20"/>
                <w:color w:val="auto"/>
              </w:rPr>
            </w:pPr>
            <w:r>
              <w:rPr>
                <w:rFonts w:ascii="Arial" w:cs="Arial" w:eastAsia="Arial" w:hAnsi="Arial"/>
                <w:sz w:val="18"/>
                <w:szCs w:val="18"/>
                <w:color w:val="auto"/>
                <w:w w:val="99"/>
              </w:rPr>
              <w:t>The following financial statements of TPG Specialty Lending, Inc. are provided in Part A of this Registration Statement:</w:t>
            </w:r>
          </w:p>
        </w:tc>
        <w:tc>
          <w:tcPr>
            <w:tcW w:w="1020" w:type="dxa"/>
            <w:vAlign w:val="bottom"/>
          </w:tcPr>
          <w:p>
            <w:pPr>
              <w:spacing w:after="0"/>
              <w:rPr>
                <w:sz w:val="24"/>
                <w:szCs w:val="24"/>
                <w:color w:val="auto"/>
              </w:rPr>
            </w:pPr>
          </w:p>
        </w:tc>
      </w:tr>
      <w:tr>
        <w:trPr>
          <w:trHeight w:val="445"/>
        </w:trPr>
        <w:tc>
          <w:tcPr>
            <w:tcW w:w="1030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020" w:type="dxa"/>
            <w:vAlign w:val="bottom"/>
          </w:tcPr>
          <w:p>
            <w:pPr>
              <w:spacing w:after="0"/>
              <w:rPr>
                <w:sz w:val="24"/>
                <w:szCs w:val="24"/>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Balance Sheets as of December 31, 2014 and 2013</w:t>
            </w:r>
          </w:p>
        </w:tc>
        <w:tc>
          <w:tcPr>
            <w:tcW w:w="10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2014, 2013 and 2012</w:t>
            </w:r>
          </w:p>
        </w:tc>
        <w:tc>
          <w:tcPr>
            <w:tcW w:w="10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2014 and 2013</w:t>
            </w:r>
          </w:p>
        </w:tc>
        <w:tc>
          <w:tcPr>
            <w:tcW w:w="10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2014, 2013 and 2012</w:t>
            </w:r>
          </w:p>
        </w:tc>
        <w:tc>
          <w:tcPr>
            <w:tcW w:w="1020" w:type="dxa"/>
            <w:vAlign w:val="bottom"/>
          </w:tcPr>
          <w:p>
            <w:pPr>
              <w:jc w:val="right"/>
              <w:spacing w:after="0"/>
              <w:rPr>
                <w:sz w:val="20"/>
                <w:szCs w:val="20"/>
                <w:color w:val="auto"/>
              </w:rPr>
            </w:pPr>
            <w:r>
              <w:rPr>
                <w:rFonts w:ascii="Arial" w:cs="Arial" w:eastAsia="Arial" w:hAnsi="Arial"/>
                <w:sz w:val="18"/>
                <w:szCs w:val="18"/>
                <w:color w:val="auto"/>
              </w:rPr>
              <w:t>F-12</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tc>
        <w:tc>
          <w:tcPr>
            <w:tcW w:w="102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310"/>
        </w:trPr>
        <w:tc>
          <w:tcPr>
            <w:tcW w:w="1030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020" w:type="dxa"/>
            <w:vAlign w:val="bottom"/>
          </w:tcPr>
          <w:p>
            <w:pPr>
              <w:spacing w:after="0"/>
              <w:rPr>
                <w:sz w:val="24"/>
                <w:szCs w:val="24"/>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Balance Sheets as of March 31, 2015 and December 31, 2014</w:t>
            </w:r>
          </w:p>
        </w:tc>
        <w:tc>
          <w:tcPr>
            <w:tcW w:w="1020" w:type="dxa"/>
            <w:vAlign w:val="bottom"/>
          </w:tcPr>
          <w:p>
            <w:pPr>
              <w:jc w:val="right"/>
              <w:spacing w:after="0"/>
              <w:rPr>
                <w:sz w:val="20"/>
                <w:szCs w:val="20"/>
                <w:color w:val="auto"/>
              </w:rPr>
            </w:pPr>
            <w:r>
              <w:rPr>
                <w:rFonts w:ascii="Arial" w:cs="Arial" w:eastAsia="Arial" w:hAnsi="Arial"/>
                <w:sz w:val="18"/>
                <w:szCs w:val="18"/>
                <w:color w:val="auto"/>
              </w:rPr>
              <w:t>F-43</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2015 and 2014</w:t>
            </w:r>
          </w:p>
        </w:tc>
        <w:tc>
          <w:tcPr>
            <w:tcW w:w="1020" w:type="dxa"/>
            <w:vAlign w:val="bottom"/>
          </w:tcPr>
          <w:p>
            <w:pPr>
              <w:jc w:val="right"/>
              <w:spacing w:after="0"/>
              <w:rPr>
                <w:sz w:val="20"/>
                <w:szCs w:val="20"/>
                <w:color w:val="auto"/>
              </w:rPr>
            </w:pPr>
            <w:r>
              <w:rPr>
                <w:rFonts w:ascii="Arial" w:cs="Arial" w:eastAsia="Arial" w:hAnsi="Arial"/>
                <w:sz w:val="18"/>
                <w:szCs w:val="18"/>
                <w:color w:val="auto"/>
              </w:rPr>
              <w:t>F-44</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2015 and December 31, 2014</w:t>
            </w:r>
          </w:p>
        </w:tc>
        <w:tc>
          <w:tcPr>
            <w:tcW w:w="1020" w:type="dxa"/>
            <w:vAlign w:val="bottom"/>
          </w:tcPr>
          <w:p>
            <w:pPr>
              <w:jc w:val="right"/>
              <w:spacing w:after="0"/>
              <w:rPr>
                <w:sz w:val="20"/>
                <w:szCs w:val="20"/>
                <w:color w:val="auto"/>
              </w:rPr>
            </w:pPr>
            <w:r>
              <w:rPr>
                <w:rFonts w:ascii="Arial" w:cs="Arial" w:eastAsia="Arial" w:hAnsi="Arial"/>
                <w:sz w:val="18"/>
                <w:szCs w:val="18"/>
                <w:color w:val="auto"/>
              </w:rPr>
              <w:t>F-45</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2015 and 2014</w:t>
            </w:r>
          </w:p>
        </w:tc>
        <w:tc>
          <w:tcPr>
            <w:tcW w:w="102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2015 and 2014</w:t>
            </w:r>
          </w:p>
        </w:tc>
        <w:tc>
          <w:tcPr>
            <w:tcW w:w="102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F-55</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256" w:lineRule="exact"/>
        <w:rPr>
          <w:sz w:val="20"/>
          <w:szCs w:val="20"/>
          <w:color w:val="auto"/>
        </w:rPr>
      </w:pPr>
    </w:p>
    <w:p>
      <w:pPr>
        <w:ind w:left="760" w:right="8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44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right="20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760" w:right="20" w:hanging="759"/>
        <w:spacing w:after="0" w:line="277" w:lineRule="auto"/>
        <w:tabs>
          <w:tab w:leader="none" w:pos="7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20"/>
          </w:cols>
          <w:pgMar w:left="240" w:top="270" w:right="339" w:bottom="1440" w:gutter="0" w:footer="0" w:header="0"/>
        </w:sectPr>
      </w:pPr>
    </w:p>
    <w:bookmarkStart w:id="3" w:name="page4"/>
    <w:bookmarkEnd w:id="3"/>
    <w:p>
      <w:pPr>
        <w:ind w:left="760" w:right="120" w:hanging="759"/>
        <w:spacing w:after="0" w:line="277" w:lineRule="auto"/>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60" w:right="240" w:hanging="759"/>
        <w:spacing w:after="0" w:line="277" w:lineRule="auto"/>
        <w:tabs>
          <w:tab w:leader="none" w:pos="7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760" w:right="40" w:hanging="759"/>
        <w:spacing w:after="0" w:line="277" w:lineRule="auto"/>
        <w:tabs>
          <w:tab w:leader="none" w:pos="74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Indenture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760" w:right="220" w:hanging="759"/>
        <w:spacing w:after="0" w:line="277" w:lineRule="auto"/>
        <w:tabs>
          <w:tab w:leader="none" w:pos="74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760" w:right="200" w:hanging="75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right="380" w:hanging="752"/>
        <w:spacing w:after="0" w:line="308"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(1)</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color w:val="auto"/>
        </w:rPr>
        <w:t>(h)(3)</w:t>
      </w:r>
      <w:r>
        <w:rPr>
          <w:sz w:val="20"/>
          <w:szCs w:val="20"/>
          <w:color w:val="auto"/>
        </w:rPr>
        <w:tab/>
      </w:r>
      <w:r>
        <w:rPr>
          <w:rFonts w:ascii="Arial" w:cs="Arial" w:eastAsia="Arial" w:hAnsi="Arial"/>
          <w:sz w:val="17"/>
          <w:szCs w:val="17"/>
          <w:color w:val="auto"/>
        </w:rPr>
        <w:t>Underwriting Agreement, dated March 3, 2016, among the Company, the Adviser and the several underwriters named in Schedule 1 thereto</w:t>
      </w:r>
    </w:p>
    <w:p>
      <w:pPr>
        <w:spacing w:after="0" w:line="129" w:lineRule="exact"/>
        <w:rPr>
          <w:sz w:val="20"/>
          <w:szCs w:val="20"/>
          <w:color w:val="auto"/>
        </w:rPr>
      </w:pPr>
    </w:p>
    <w:p>
      <w:pPr>
        <w:ind w:left="760" w:hanging="752"/>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60" w:hanging="752"/>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760" w:right="600" w:hanging="759"/>
        <w:spacing w:after="0" w:line="277" w:lineRule="auto"/>
        <w:tabs>
          <w:tab w:leader="none" w:pos="74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ind w:left="760" w:right="220" w:hanging="759"/>
        <w:spacing w:after="0" w:line="277" w:lineRule="auto"/>
        <w:tabs>
          <w:tab w:leader="none" w:pos="74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Revolving Credit and Security Agreement, dated May 8, 2012, among TPG SL SPV, LLC, as Borrower, the Lenders from Time to Time Parties Hereto, Natixis, New York Branch,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20"/>
          </w:cols>
          <w:pgMar w:left="240" w:top="382" w:right="339" w:bottom="1440" w:gutter="0" w:footer="0" w:header="0"/>
        </w:sectPr>
      </w:pPr>
    </w:p>
    <w:bookmarkStart w:id="4" w:name="page5"/>
    <w:bookmarkEnd w:id="4"/>
    <w:p>
      <w:pPr>
        <w:ind w:left="660"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Facility Agent and The Bank of New York Mellon Trust Company, N.A., as Collateral Agent (incorporated by reference to Exhibit 10.1 to the Company’s Quarterly Report on Form 10-Q filed on August 13, 2012)</w:t>
      </w:r>
    </w:p>
    <w:p>
      <w:pPr>
        <w:spacing w:after="0" w:line="62" w:lineRule="exact"/>
        <w:rPr>
          <w:sz w:val="20"/>
          <w:szCs w:val="20"/>
          <w:color w:val="auto"/>
        </w:rPr>
      </w:pPr>
    </w:p>
    <w:p>
      <w:pPr>
        <w:ind w:left="660" w:right="280" w:hanging="719"/>
        <w:spacing w:after="0" w:line="342" w:lineRule="auto"/>
        <w:tabs>
          <w:tab w:leader="none" w:pos="64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16" w:lineRule="exact"/>
        <w:rPr>
          <w:sz w:val="20"/>
          <w:szCs w:val="20"/>
          <w:color w:val="auto"/>
        </w:rPr>
      </w:pPr>
    </w:p>
    <w:p>
      <w:pPr>
        <w:ind w:left="660" w:hanging="719"/>
        <w:spacing w:after="0" w:line="264" w:lineRule="auto"/>
        <w:tabs>
          <w:tab w:leader="none" w:pos="64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660" w:right="120" w:hanging="719"/>
        <w:spacing w:after="0" w:line="264" w:lineRule="auto"/>
        <w:tabs>
          <w:tab w:leader="none" w:pos="64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73" w:lineRule="exact"/>
        <w:rPr>
          <w:sz w:val="20"/>
          <w:szCs w:val="20"/>
          <w:color w:val="auto"/>
        </w:rPr>
      </w:pPr>
    </w:p>
    <w:p>
      <w:pPr>
        <w:ind w:left="660" w:right="340" w:hanging="719"/>
        <w:spacing w:after="0" w:line="264" w:lineRule="auto"/>
        <w:tabs>
          <w:tab w:leader="none" w:pos="64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jc w:val="both"/>
        <w:ind w:left="660" w:right="140" w:hanging="719"/>
        <w:spacing w:after="0" w:line="312" w:lineRule="auto"/>
        <w:tabs>
          <w:tab w:leader="none" w:pos="640" w:val="left"/>
        </w:tabs>
        <w:rPr>
          <w:sz w:val="20"/>
          <w:szCs w:val="20"/>
          <w:color w:val="auto"/>
        </w:rPr>
      </w:pPr>
      <w:r>
        <w:rPr>
          <w:rFonts w:ascii="Arial" w:cs="Arial" w:eastAsia="Arial" w:hAnsi="Arial"/>
          <w:sz w:val="16"/>
          <w:szCs w:val="16"/>
          <w:color w:val="auto"/>
        </w:rPr>
        <w:t>(k)(8)</w:t>
      </w:r>
      <w:r>
        <w:rPr>
          <w:sz w:val="20"/>
          <w:szCs w:val="20"/>
          <w:color w:val="auto"/>
        </w:rPr>
        <w:tab/>
      </w:r>
      <w:r>
        <w:rPr>
          <w:rFonts w:ascii="Arial" w:cs="Arial" w:eastAsia="Arial" w:hAnsi="Arial"/>
          <w:sz w:val="16"/>
          <w:szCs w:val="16"/>
          <w:color w:val="auto"/>
        </w:rPr>
        <w:t>Amendment No. 1 dated July 17, 2013 to 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9, 2013)</w:t>
      </w:r>
    </w:p>
    <w:p>
      <w:pPr>
        <w:spacing w:after="0" w:line="39" w:lineRule="exact"/>
        <w:rPr>
          <w:sz w:val="20"/>
          <w:szCs w:val="20"/>
          <w:color w:val="auto"/>
        </w:rPr>
      </w:pPr>
    </w:p>
    <w:p>
      <w:pPr>
        <w:ind w:left="660" w:right="220" w:hanging="719"/>
        <w:spacing w:after="0" w:line="286" w:lineRule="auto"/>
        <w:tabs>
          <w:tab w:leader="none" w:pos="640" w:val="left"/>
        </w:tabs>
        <w:rPr>
          <w:sz w:val="20"/>
          <w:szCs w:val="20"/>
          <w:color w:val="auto"/>
        </w:rPr>
      </w:pPr>
      <w:r>
        <w:rPr>
          <w:rFonts w:ascii="Arial" w:cs="Arial" w:eastAsia="Arial" w:hAnsi="Arial"/>
          <w:sz w:val="17"/>
          <w:szCs w:val="17"/>
          <w:color w:val="auto"/>
        </w:rPr>
        <w:t>(k)(9)</w:t>
      </w:r>
      <w:r>
        <w:rPr>
          <w:sz w:val="20"/>
          <w:szCs w:val="20"/>
          <w:color w:val="auto"/>
        </w:rPr>
        <w:tab/>
      </w:r>
      <w:r>
        <w:rPr>
          <w:rFonts w:ascii="Arial" w:cs="Arial" w:eastAsia="Arial" w:hAnsi="Arial"/>
          <w:sz w:val="17"/>
          <w:szCs w:val="17"/>
          <w:color w:val="auto"/>
        </w:rPr>
        <w:t>Amended and Restated Revolving Credit and Security Agreement, dated as of January 21, 2014, among TPG SL SPV, LLC, as Borrower, the Lenders from Time to Time Parties Hereto, Natixis, New York Branch, as Facility Agent and State Street Bank and Trust Company, as Collateral Agent (incorporated by reference to Exhibit 10.18 to the Company’s Annual Report on Form 10-K filed on March 4, 2014)</w:t>
      </w:r>
    </w:p>
    <w:p>
      <w:pPr>
        <w:spacing w:after="0" w:line="57" w:lineRule="exact"/>
        <w:rPr>
          <w:sz w:val="20"/>
          <w:szCs w:val="20"/>
          <w:color w:val="auto"/>
        </w:rPr>
      </w:pPr>
    </w:p>
    <w:p>
      <w:pPr>
        <w:ind w:left="660" w:right="40" w:hanging="719"/>
        <w:spacing w:after="0" w:line="264" w:lineRule="auto"/>
        <w:tabs>
          <w:tab w:leader="none" w:pos="640" w:val="left"/>
        </w:tabs>
        <w:rPr>
          <w:sz w:val="20"/>
          <w:szCs w:val="20"/>
          <w:color w:val="auto"/>
        </w:rPr>
      </w:pPr>
      <w:r>
        <w:rPr>
          <w:rFonts w:ascii="Arial" w:cs="Arial" w:eastAsia="Arial" w:hAnsi="Arial"/>
          <w:sz w:val="18"/>
          <w:szCs w:val="18"/>
          <w:color w:val="auto"/>
        </w:rPr>
        <w:t>(k)(10)</w:t>
        <w:tab/>
        <w:t>Amended and Restated Master Sale and Contribution Agreement by and between TPG Specialty Lending, Inc., as the Originator and TPG SL SPV, LLC, as the Buyer, dated as of January 21, 2014 (incorporated by reference to Exhibit 10.19 to the Company’s Annual Report on Form 10-K filed on March 4, 2014)</w:t>
      </w:r>
    </w:p>
    <w:p>
      <w:pPr>
        <w:spacing w:after="0" w:line="73" w:lineRule="exact"/>
        <w:rPr>
          <w:sz w:val="20"/>
          <w:szCs w:val="20"/>
          <w:color w:val="auto"/>
        </w:rPr>
      </w:pPr>
    </w:p>
    <w:p>
      <w:pPr>
        <w:ind w:left="660" w:right="120" w:hanging="719"/>
        <w:spacing w:after="0" w:line="286" w:lineRule="auto"/>
        <w:tabs>
          <w:tab w:leader="none" w:pos="640" w:val="left"/>
        </w:tabs>
        <w:rPr>
          <w:sz w:val="20"/>
          <w:szCs w:val="20"/>
          <w:color w:val="auto"/>
        </w:rPr>
      </w:pPr>
      <w:r>
        <w:rPr>
          <w:rFonts w:ascii="Arial" w:cs="Arial" w:eastAsia="Arial" w:hAnsi="Arial"/>
          <w:sz w:val="17"/>
          <w:szCs w:val="17"/>
          <w:color w:val="auto"/>
        </w:rPr>
        <w:t>(k)(11)</w:t>
        <w:tab/>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660" w:right="120" w:hanging="719"/>
        <w:spacing w:after="0" w:line="312" w:lineRule="auto"/>
        <w:tabs>
          <w:tab w:leader="none" w:pos="640" w:val="left"/>
        </w:tabs>
        <w:rPr>
          <w:sz w:val="20"/>
          <w:szCs w:val="20"/>
          <w:color w:val="auto"/>
        </w:rPr>
      </w:pPr>
      <w:r>
        <w:rPr>
          <w:rFonts w:ascii="Arial" w:cs="Arial" w:eastAsia="Arial" w:hAnsi="Arial"/>
          <w:sz w:val="16"/>
          <w:szCs w:val="16"/>
          <w:color w:val="auto"/>
        </w:rPr>
        <w:t>(k)(12)</w:t>
        <w:tab/>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20"/>
          </w:cols>
          <w:pgMar w:left="300" w:top="382" w:right="279" w:bottom="1440" w:gutter="0" w:footer="0" w:header="0"/>
        </w:sectPr>
      </w:pPr>
    </w:p>
    <w:bookmarkStart w:id="5" w:name="page6"/>
    <w:bookmarkEnd w:id="5"/>
    <w:p>
      <w:pPr>
        <w:ind w:left="720" w:right="100" w:hanging="719"/>
        <w:spacing w:after="0" w:line="264" w:lineRule="auto"/>
        <w:tabs>
          <w:tab w:leader="none" w:pos="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(k)(13)</w:t>
        <w:tab/>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720" w:hanging="719"/>
        <w:spacing w:after="0" w:line="264" w:lineRule="auto"/>
        <w:tabs>
          <w:tab w:leader="none" w:pos="700" w:val="left"/>
        </w:tabs>
        <w:rPr>
          <w:sz w:val="20"/>
          <w:szCs w:val="20"/>
          <w:color w:val="auto"/>
        </w:rPr>
      </w:pPr>
      <w:r>
        <w:rPr>
          <w:rFonts w:ascii="Arial" w:cs="Arial" w:eastAsia="Arial" w:hAnsi="Arial"/>
          <w:sz w:val="18"/>
          <w:szCs w:val="18"/>
          <w:color w:val="auto"/>
        </w:rPr>
        <w:t>(k)(14)</w:t>
        <w:tab/>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73" w:lineRule="exact"/>
        <w:rPr>
          <w:sz w:val="20"/>
          <w:szCs w:val="20"/>
          <w:color w:val="auto"/>
        </w:rPr>
      </w:pPr>
    </w:p>
    <w:p>
      <w:pPr>
        <w:ind w:left="720" w:right="600" w:hanging="719"/>
        <w:spacing w:after="0" w:line="264" w:lineRule="auto"/>
        <w:tabs>
          <w:tab w:leader="none" w:pos="700" w:val="left"/>
        </w:tabs>
        <w:rPr>
          <w:sz w:val="20"/>
          <w:szCs w:val="20"/>
          <w:color w:val="auto"/>
        </w:rPr>
      </w:pPr>
      <w:r>
        <w:rPr>
          <w:rFonts w:ascii="Arial" w:cs="Arial" w:eastAsia="Arial" w:hAnsi="Arial"/>
          <w:sz w:val="18"/>
          <w:szCs w:val="18"/>
          <w:color w:val="auto"/>
        </w:rPr>
        <w:t>(k)(15)</w:t>
        <w:tab/>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ind w:left="720" w:right="200" w:hanging="719"/>
        <w:spacing w:after="0" w:line="286" w:lineRule="auto"/>
        <w:tabs>
          <w:tab w:leader="none" w:pos="700" w:val="left"/>
        </w:tabs>
        <w:rPr>
          <w:sz w:val="20"/>
          <w:szCs w:val="20"/>
          <w:color w:val="auto"/>
        </w:rPr>
      </w:pPr>
      <w:r>
        <w:rPr>
          <w:rFonts w:ascii="Arial" w:cs="Arial" w:eastAsia="Arial" w:hAnsi="Arial"/>
          <w:sz w:val="17"/>
          <w:szCs w:val="17"/>
          <w:color w:val="auto"/>
        </w:rPr>
        <w:t>(k)(16)</w:t>
        <w:tab/>
        <w:t>Second Amended and Restated Credit and Security Agreement, dated as of March 27, 2015, among TPG SL SPV, LLC, as Borrower, the Lenders from Time to Time Parties Hereto, Natixis, New York Branch, as Facility Agent and State Street Bank and Trust Company, as Collateral Agent (incorporated by reference to Exhibit 10.1 to the Company’s Current Report on Form 8-K filed on March 30, 2015)</w:t>
      </w:r>
    </w:p>
    <w:p>
      <w:pPr>
        <w:spacing w:after="0" w:line="57" w:lineRule="exact"/>
        <w:rPr>
          <w:sz w:val="20"/>
          <w:szCs w:val="20"/>
          <w:color w:val="auto"/>
        </w:rPr>
      </w:pPr>
    </w:p>
    <w:p>
      <w:pPr>
        <w:jc w:val="both"/>
        <w:ind w:left="720" w:right="140" w:hanging="719"/>
        <w:spacing w:after="0" w:line="264" w:lineRule="auto"/>
        <w:tabs>
          <w:tab w:leader="none" w:pos="700" w:val="left"/>
        </w:tabs>
        <w:rPr>
          <w:sz w:val="20"/>
          <w:szCs w:val="20"/>
          <w:color w:val="auto"/>
        </w:rPr>
      </w:pPr>
      <w:r>
        <w:rPr>
          <w:rFonts w:ascii="Arial" w:cs="Arial" w:eastAsia="Arial" w:hAnsi="Arial"/>
          <w:sz w:val="18"/>
          <w:szCs w:val="18"/>
          <w:color w:val="auto"/>
        </w:rPr>
        <w:t>(k)(17)</w:t>
        <w:tab/>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Cleary Gottlieb Steen &amp; Hamilton LLP, dated April 16, 2015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(l)(2)</w:t>
      </w:r>
      <w:r>
        <w:rPr>
          <w:sz w:val="20"/>
          <w:szCs w:val="20"/>
          <w:color w:val="auto"/>
        </w:rPr>
        <w:tab/>
      </w:r>
      <w:r>
        <w:rPr>
          <w:rFonts w:ascii="Arial" w:cs="Arial" w:eastAsia="Arial" w:hAnsi="Arial"/>
          <w:sz w:val="18"/>
          <w:szCs w:val="18"/>
          <w:color w:val="auto"/>
        </w:rPr>
        <w:t>Opinion and Consent of Cleary Gottlieb Steen &amp; Hamilton LLP, dated March 8, 2016</w:t>
      </w:r>
    </w:p>
    <w:p>
      <w:pPr>
        <w:spacing w:after="0" w:line="117"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dated April 16, 2015 (included in Exhibit (l)(1))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June 15, 2015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16, 2015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KPMG LLP, dated March 2, 2016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(n)(5)</w:t>
      </w:r>
      <w:r>
        <w:rPr>
          <w:sz w:val="20"/>
          <w:szCs w:val="20"/>
          <w:color w:val="auto"/>
        </w:rPr>
        <w:tab/>
      </w:r>
      <w:r>
        <w:rPr>
          <w:rFonts w:ascii="Arial" w:cs="Arial" w:eastAsia="Arial" w:hAnsi="Arial"/>
          <w:sz w:val="18"/>
          <w:szCs w:val="18"/>
          <w:color w:val="auto"/>
        </w:rPr>
        <w:t>Report of KPMG LLP, dated March 2, 2016 (1)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(n)(6)</w:t>
      </w:r>
      <w:r>
        <w:rPr>
          <w:sz w:val="20"/>
          <w:szCs w:val="20"/>
          <w:color w:val="auto"/>
        </w:rPr>
        <w:tab/>
      </w:r>
      <w:r>
        <w:rPr>
          <w:rFonts w:ascii="Arial" w:cs="Arial" w:eastAsia="Arial" w:hAnsi="Arial"/>
          <w:sz w:val="18"/>
          <w:szCs w:val="18"/>
          <w:color w:val="auto"/>
        </w:rPr>
        <w:t>Consent of Cleary Gottlieb Steen &amp; Hamilton LLP, dated March 8, 2016 (included in Exhibit (l)(2))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382" w:right="239" w:bottom="1440" w:gutter="0" w:footer="0" w:header="0"/>
        </w:sectPr>
      </w:pPr>
    </w:p>
    <w:bookmarkStart w:id="6" w:name="page7"/>
    <w:bookmarkEnd w:id="6"/>
    <w:p>
      <w:pPr>
        <w:ind w:left="960" w:hanging="95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17" w:lineRule="exact"/>
        <w:rPr>
          <w:rFonts w:ascii="Arial" w:cs="Arial" w:eastAsia="Arial" w:hAnsi="Arial"/>
          <w:sz w:val="18"/>
          <w:szCs w:val="18"/>
          <w:color w:val="auto"/>
        </w:rPr>
      </w:pPr>
    </w:p>
    <w:p>
      <w:pPr>
        <w:ind w:left="960" w:hanging="95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60" w:hanging="95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(r)(1)</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Code of Ethics of TPG Specialty Lending, Inc. (incorporated by reference to Exhibit (r)(1) to Pre-Effective Amendment No. 4 to the Company’s</w:t>
            </w:r>
          </w:p>
        </w:tc>
      </w:tr>
      <w:tr>
        <w:trPr>
          <w:trHeight w:val="230"/>
        </w:trPr>
        <w:tc>
          <w:tcPr>
            <w:tcW w:w="6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Code of Ethics of TSL Advisers, LLC (incorporated by reference to Exhibit (r)(2) to Pre-Effective Amendment No. 4 to the Company’s</w:t>
            </w:r>
          </w:p>
        </w:tc>
      </w:tr>
      <w:tr>
        <w:trPr>
          <w:trHeight w:val="230"/>
        </w:trPr>
        <w:tc>
          <w:tcPr>
            <w:tcW w:w="6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6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Preferred Stock Offerings (incorporated by reference to Exhibit 99.2 to Pre-Effective</w:t>
            </w:r>
          </w:p>
        </w:tc>
      </w:tr>
      <w:tr>
        <w:trPr>
          <w:trHeight w:val="230"/>
        </w:trPr>
        <w:tc>
          <w:tcPr>
            <w:tcW w:w="6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6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Form of Preliminary Prospectus Supplement For Rights Offerings (incorporated by reference to Exhibit 99.4 to Pre-Effective Amendment No. 1</w:t>
            </w:r>
          </w:p>
        </w:tc>
      </w:tr>
      <w:tr>
        <w:trPr>
          <w:trHeight w:val="230"/>
        </w:trPr>
        <w:tc>
          <w:tcPr>
            <w:tcW w:w="6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N-2 filed on July 25, 2014)</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99.5</w:t>
            </w:r>
          </w:p>
        </w:tc>
        <w:tc>
          <w:tcPr>
            <w:tcW w:w="10680" w:type="dxa"/>
            <w:vAlign w:val="bottom"/>
          </w:tcPr>
          <w:p>
            <w:pPr>
              <w:ind w:left="280"/>
              <w:spacing w:after="0"/>
              <w:rPr>
                <w:sz w:val="20"/>
                <w:szCs w:val="20"/>
                <w:color w:val="auto"/>
              </w:rPr>
            </w:pPr>
            <w:r>
              <w:rPr>
                <w:rFonts w:ascii="Arial" w:cs="Arial" w:eastAsia="Arial" w:hAnsi="Arial"/>
                <w:sz w:val="18"/>
                <w:szCs w:val="18"/>
                <w:color w:val="auto"/>
                <w:w w:val="94"/>
              </w:rPr>
              <w:t>Form of Preliminary Prospectus Supplement For Warrant Offerings (incorporated by reference to Exhibit 99.5 to Pre-Effective Amendment</w:t>
            </w:r>
          </w:p>
        </w:tc>
      </w:tr>
      <w:tr>
        <w:trPr>
          <w:trHeight w:val="230"/>
        </w:trPr>
        <w:tc>
          <w:tcPr>
            <w:tcW w:w="68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87,150.00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113,000.00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50,000.00(1)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300,000.00(1)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24,850.00(1)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840" w:type="dxa"/>
            <w:vAlign w:val="bottom"/>
          </w:tcPr>
          <w:p>
            <w:pPr>
              <w:spacing w:after="0"/>
              <w:rPr>
                <w:sz w:val="24"/>
                <w:szCs w:val="24"/>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700,000.00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These amounts are estimates.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60"/>
          </w:cols>
          <w:pgMar w:left="240" w:top="382"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28. Persons Controlled by or Under Common Control</w:t>
      </w:r>
    </w:p>
    <w:p>
      <w:pPr>
        <w:spacing w:after="0" w:line="12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20,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Record Holders</w:t>
            </w:r>
          </w:p>
        </w:tc>
      </w:tr>
      <w:tr>
        <w:trPr>
          <w:trHeight w:val="217"/>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3380" w:type="dxa"/>
            <w:vAlign w:val="bottom"/>
          </w:tcPr>
          <w:p>
            <w:pPr>
              <w:spacing w:after="0" w:line="190" w:lineRule="exact"/>
              <w:rPr>
                <w:sz w:val="20"/>
                <w:szCs w:val="20"/>
                <w:color w:val="auto"/>
              </w:rPr>
            </w:pPr>
            <w:r>
              <w:rPr>
                <w:rFonts w:ascii="Arial" w:cs="Arial" w:eastAsia="Arial" w:hAnsi="Arial"/>
                <w:sz w:val="18"/>
                <w:szCs w:val="18"/>
                <w:color w:val="auto"/>
              </w:rPr>
              <w:t>Stock, $0.01 par value</w:t>
            </w:r>
          </w:p>
        </w:tc>
        <w:tc>
          <w:tcPr>
            <w:tcW w:w="184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8" w:name="page9"/>
    <w:bookmarkEnd w:id="8"/>
    <w:p>
      <w:pPr>
        <w:ind w:right="4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32. Location of Accounts and Records</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920" w:hanging="440"/>
        <w:spacing w:after="0" w:line="264" w:lineRule="auto"/>
        <w:tabs>
          <w:tab w:leader="none" w:pos="1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920" w:right="80" w:hanging="440"/>
        <w:spacing w:after="0" w:line="277" w:lineRule="auto"/>
        <w:tabs>
          <w:tab w:leader="none" w:pos="1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270" w:right="279" w:bottom="1440" w:gutter="0" w:footer="0" w:header="0"/>
        </w:sectPr>
      </w:pPr>
    </w:p>
    <w:bookmarkStart w:id="10" w:name="page11"/>
    <w:bookmarkEnd w:id="10"/>
    <w:p>
      <w:pPr>
        <w:ind w:left="1026" w:right="160" w:hanging="567"/>
        <w:spacing w:after="0" w:line="264" w:lineRule="auto"/>
        <w:tabs>
          <w:tab w:leader="none" w:pos="1026"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026" w:right="280" w:hanging="567"/>
        <w:spacing w:after="0" w:line="277" w:lineRule="auto"/>
        <w:tabs>
          <w:tab w:leader="none" w:pos="1026"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26" w:right="100" w:hanging="567"/>
        <w:spacing w:after="0" w:line="290" w:lineRule="auto"/>
        <w:tabs>
          <w:tab w:leader="none" w:pos="1026" w:val="left"/>
        </w:tabs>
        <w:numPr>
          <w:ilvl w:val="1"/>
          <w:numId w:val="9"/>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 and</w:t>
      </w:r>
    </w:p>
    <w:p>
      <w:pPr>
        <w:spacing w:after="0" w:line="71" w:lineRule="exact"/>
        <w:rPr>
          <w:rFonts w:ascii="Arial" w:cs="Arial" w:eastAsia="Arial" w:hAnsi="Arial"/>
          <w:sz w:val="16"/>
          <w:szCs w:val="16"/>
          <w:color w:val="auto"/>
        </w:rPr>
      </w:pPr>
    </w:p>
    <w:p>
      <w:pPr>
        <w:ind w:left="1026" w:hanging="567"/>
        <w:spacing w:after="0" w:line="279" w:lineRule="auto"/>
        <w:tabs>
          <w:tab w:leader="none" w:pos="102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46"/>
          </w:cols>
          <w:pgMar w:left="694" w:top="274" w:right="259" w:bottom="1440" w:gutter="0" w:footer="0" w:header="0"/>
        </w:sectPr>
      </w:pPr>
    </w:p>
    <w:bookmarkStart w:id="11" w:name="page12"/>
    <w:bookmarkEnd w:id="11"/>
    <w:p>
      <w:pPr>
        <w:ind w:left="446" w:right="340" w:hanging="446"/>
        <w:spacing w:after="0" w:line="277"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hanging="446"/>
        <w:spacing w:after="0" w:line="264" w:lineRule="auto"/>
        <w:tabs>
          <w:tab w:leader="none" w:pos="4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(including subscription rights to purchase shares of common stock) below net asset value as of the date of the commencement of such offering.</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0866"/>
          </w:cols>
          <w:pgMar w:left="694" w:top="274" w:right="33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the State of New York on the 8th day of March,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7" w:lineRule="exact"/>
        <w:rPr>
          <w:sz w:val="20"/>
          <w:szCs w:val="20"/>
          <w:color w:val="auto"/>
        </w:rPr>
      </w:pPr>
    </w:p>
    <w:p>
      <w:pPr>
        <w:ind w:left="7180"/>
        <w:spacing w:after="0"/>
        <w:tabs>
          <w:tab w:leader="none" w:pos="78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Co-Chief Executive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4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color w:val="auto"/>
              </w:rPr>
              <w:t>/s/  Michael Fishman</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Co-Chief Executive Officer and Director (Principal Executive</w:t>
            </w:r>
          </w:p>
        </w:tc>
        <w:tc>
          <w:tcPr>
            <w:tcW w:w="144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March 8, 2016</w:t>
            </w:r>
          </w:p>
        </w:tc>
      </w:tr>
      <w:tr>
        <w:trPr>
          <w:trHeight w:val="224"/>
        </w:trPr>
        <w:tc>
          <w:tcPr>
            <w:tcW w:w="460" w:type="dxa"/>
            <w:vAlign w:val="bottom"/>
          </w:tcPr>
          <w:p>
            <w:pPr>
              <w:spacing w:after="0"/>
              <w:rPr>
                <w:sz w:val="19"/>
                <w:szCs w:val="19"/>
                <w:color w:val="auto"/>
              </w:rPr>
            </w:pPr>
          </w:p>
        </w:tc>
        <w:tc>
          <w:tcPr>
            <w:tcW w:w="4220" w:type="dxa"/>
            <w:vAlign w:val="bottom"/>
            <w:gridSpan w:val="3"/>
          </w:tcPr>
          <w:p>
            <w:pPr>
              <w:jc w:val="center"/>
              <w:ind w:right="440"/>
              <w:spacing w:after="0"/>
              <w:rPr>
                <w:sz w:val="20"/>
                <w:szCs w:val="20"/>
                <w:color w:val="auto"/>
              </w:rPr>
            </w:pPr>
            <w:r>
              <w:rPr>
                <w:rFonts w:ascii="Arial" w:cs="Arial" w:eastAsia="Arial" w:hAnsi="Arial"/>
                <w:sz w:val="18"/>
                <w:szCs w:val="18"/>
                <w:color w:val="auto"/>
                <w:w w:val="92"/>
              </w:rPr>
              <w:t>Michael Fishman</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3"/>
          </w:tcPr>
          <w:p>
            <w:pPr>
              <w:jc w:val="center"/>
              <w:ind w:left="17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Co-Chief Executive Officer, Director and Chairman of</w:t>
            </w:r>
          </w:p>
        </w:tc>
        <w:tc>
          <w:tcPr>
            <w:tcW w:w="144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March 8, 2016</w:t>
            </w:r>
          </w:p>
        </w:tc>
      </w:tr>
      <w:tr>
        <w:trPr>
          <w:trHeight w:val="224"/>
        </w:trPr>
        <w:tc>
          <w:tcPr>
            <w:tcW w:w="460" w:type="dxa"/>
            <w:vAlign w:val="bottom"/>
          </w:tcPr>
          <w:p>
            <w:pPr>
              <w:spacing w:after="0"/>
              <w:rPr>
                <w:sz w:val="19"/>
                <w:szCs w:val="19"/>
                <w:color w:val="auto"/>
              </w:rPr>
            </w:pPr>
          </w:p>
        </w:tc>
        <w:tc>
          <w:tcPr>
            <w:tcW w:w="4220" w:type="dxa"/>
            <w:vAlign w:val="bottom"/>
            <w:gridSpan w:val="3"/>
          </w:tcPr>
          <w:p>
            <w:pPr>
              <w:jc w:val="center"/>
              <w:ind w:right="460"/>
              <w:spacing w:after="0"/>
              <w:rPr>
                <w:sz w:val="20"/>
                <w:szCs w:val="20"/>
                <w:color w:val="auto"/>
              </w:rPr>
            </w:pPr>
            <w:r>
              <w:rPr>
                <w:rFonts w:ascii="Arial" w:cs="Arial" w:eastAsia="Arial" w:hAnsi="Arial"/>
                <w:sz w:val="18"/>
                <w:szCs w:val="18"/>
                <w:color w:val="auto"/>
                <w:w w:val="87"/>
              </w:rPr>
              <w:t>Joshua Easterly</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the Board of Directors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3"/>
          </w:tcPr>
          <w:p>
            <w:pPr>
              <w:jc w:val="center"/>
              <w:ind w:left="17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 (Principal Financial Officer)</w:t>
            </w:r>
          </w:p>
        </w:tc>
        <w:tc>
          <w:tcPr>
            <w:tcW w:w="144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March 8, 2016</w:t>
            </w:r>
          </w:p>
        </w:tc>
      </w:tr>
      <w:tr>
        <w:trPr>
          <w:trHeight w:val="224"/>
        </w:trPr>
        <w:tc>
          <w:tcPr>
            <w:tcW w:w="460" w:type="dxa"/>
            <w:vAlign w:val="bottom"/>
          </w:tcPr>
          <w:p>
            <w:pPr>
              <w:spacing w:after="0"/>
              <w:rPr>
                <w:sz w:val="19"/>
                <w:szCs w:val="19"/>
                <w:color w:val="auto"/>
              </w:rPr>
            </w:pPr>
          </w:p>
        </w:tc>
        <w:tc>
          <w:tcPr>
            <w:tcW w:w="42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Ian Simmonds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3"/>
          </w:tcPr>
          <w:p>
            <w:pPr>
              <w:jc w:val="center"/>
              <w:ind w:left="17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Vice President and Principal Accounting Officer (Principal</w:t>
            </w:r>
          </w:p>
        </w:tc>
        <w:tc>
          <w:tcPr>
            <w:tcW w:w="144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March 8, 2016</w:t>
            </w:r>
          </w:p>
        </w:tc>
      </w:tr>
      <w:tr>
        <w:trPr>
          <w:trHeight w:val="224"/>
        </w:trPr>
        <w:tc>
          <w:tcPr>
            <w:tcW w:w="460" w:type="dxa"/>
            <w:vAlign w:val="bottom"/>
          </w:tcPr>
          <w:p>
            <w:pPr>
              <w:spacing w:after="0"/>
              <w:rPr>
                <w:sz w:val="19"/>
                <w:szCs w:val="19"/>
                <w:color w:val="auto"/>
              </w:rPr>
            </w:pPr>
          </w:p>
        </w:tc>
        <w:tc>
          <w:tcPr>
            <w:tcW w:w="4220" w:type="dxa"/>
            <w:vAlign w:val="bottom"/>
            <w:gridSpan w:val="3"/>
          </w:tcPr>
          <w:p>
            <w:pPr>
              <w:jc w:val="center"/>
              <w:ind w:right="460"/>
              <w:spacing w:after="0"/>
              <w:rPr>
                <w:sz w:val="20"/>
                <w:szCs w:val="20"/>
                <w:color w:val="auto"/>
              </w:rPr>
            </w:pPr>
            <w:r>
              <w:rPr>
                <w:rFonts w:ascii="Arial" w:cs="Arial" w:eastAsia="Arial" w:hAnsi="Arial"/>
                <w:sz w:val="18"/>
                <w:szCs w:val="18"/>
                <w:color w:val="auto"/>
                <w:w w:val="94"/>
              </w:rPr>
              <w:t>Michael Graf</w:t>
            </w: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Accounting Officer)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3"/>
          </w:tcPr>
          <w:p>
            <w:pPr>
              <w:jc w:val="center"/>
              <w:ind w:left="17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 and Chairman of the Audit Committee</w:t>
            </w:r>
          </w:p>
        </w:tc>
        <w:tc>
          <w:tcPr>
            <w:tcW w:w="144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March 8, 2016</w:t>
            </w:r>
          </w:p>
        </w:tc>
      </w:tr>
      <w:tr>
        <w:trPr>
          <w:trHeight w:val="224"/>
        </w:trPr>
        <w:tc>
          <w:tcPr>
            <w:tcW w:w="460" w:type="dxa"/>
            <w:vAlign w:val="bottom"/>
          </w:tcPr>
          <w:p>
            <w:pPr>
              <w:spacing w:after="0"/>
              <w:rPr>
                <w:sz w:val="19"/>
                <w:szCs w:val="19"/>
                <w:color w:val="auto"/>
              </w:rPr>
            </w:pPr>
          </w:p>
        </w:tc>
        <w:tc>
          <w:tcPr>
            <w:tcW w:w="422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John A. Ross</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3"/>
          </w:tcPr>
          <w:p>
            <w:pPr>
              <w:jc w:val="center"/>
              <w:ind w:left="17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March 8, 2016</w:t>
            </w:r>
          </w:p>
        </w:tc>
      </w:tr>
      <w:tr>
        <w:trPr>
          <w:trHeight w:val="224"/>
        </w:trPr>
        <w:tc>
          <w:tcPr>
            <w:tcW w:w="460" w:type="dxa"/>
            <w:vAlign w:val="bottom"/>
          </w:tcPr>
          <w:p>
            <w:pPr>
              <w:spacing w:after="0"/>
              <w:rPr>
                <w:sz w:val="19"/>
                <w:szCs w:val="19"/>
                <w:color w:val="auto"/>
              </w:rPr>
            </w:pPr>
          </w:p>
        </w:tc>
        <w:tc>
          <w:tcPr>
            <w:tcW w:w="422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Richard A. Higginbotham</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2880" w:type="dxa"/>
            <w:vAlign w:val="bottom"/>
            <w:tcBorders>
              <w:bottom w:val="single" w:sz="8" w:color="auto"/>
            </w:tcBorders>
            <w:gridSpan w:val="3"/>
          </w:tcPr>
          <w:p>
            <w:pPr>
              <w:jc w:val="center"/>
              <w:ind w:left="17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290"/>
              <w:spacing w:after="0"/>
              <w:rPr>
                <w:sz w:val="20"/>
                <w:szCs w:val="20"/>
                <w:color w:val="auto"/>
              </w:rPr>
            </w:pPr>
            <w:r>
              <w:rPr>
                <w:rFonts w:ascii="Arial" w:cs="Arial" w:eastAsia="Arial" w:hAnsi="Arial"/>
                <w:sz w:val="18"/>
                <w:szCs w:val="18"/>
                <w:color w:val="auto"/>
                <w:w w:val="92"/>
              </w:rPr>
              <w:t>March 8, 2016</w:t>
            </w:r>
          </w:p>
        </w:tc>
      </w:tr>
      <w:tr>
        <w:trPr>
          <w:trHeight w:val="224"/>
        </w:trPr>
        <w:tc>
          <w:tcPr>
            <w:tcW w:w="460" w:type="dxa"/>
            <w:vAlign w:val="bottom"/>
          </w:tcPr>
          <w:p>
            <w:pPr>
              <w:spacing w:after="0"/>
              <w:rPr>
                <w:sz w:val="19"/>
                <w:szCs w:val="19"/>
                <w:color w:val="auto"/>
              </w:rPr>
            </w:pPr>
          </w:p>
        </w:tc>
        <w:tc>
          <w:tcPr>
            <w:tcW w:w="422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Ronald K. Tanemura</w:t>
            </w:r>
          </w:p>
        </w:tc>
        <w:tc>
          <w:tcPr>
            <w:tcW w:w="2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680" w:type="dxa"/>
            <w:vAlign w:val="bottom"/>
            <w:gridSpan w:val="4"/>
          </w:tcPr>
          <w:p>
            <w:pPr>
              <w:spacing w:after="0"/>
              <w:rPr>
                <w:sz w:val="20"/>
                <w:szCs w:val="20"/>
                <w:color w:val="auto"/>
              </w:rPr>
            </w:pPr>
            <w:r>
              <w:rPr>
                <w:rFonts w:ascii="Arial" w:cs="Arial" w:eastAsia="Arial" w:hAnsi="Arial"/>
                <w:sz w:val="18"/>
                <w:szCs w:val="18"/>
                <w:color w:val="auto"/>
              </w:rPr>
              <w:t>*By: /s/ Michael Fishman</w:t>
            </w: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9"/>
        </w:trPr>
        <w:tc>
          <w:tcPr>
            <w:tcW w:w="460" w:type="dxa"/>
            <w:vAlign w:val="bottom"/>
          </w:tcPr>
          <w:p>
            <w:pPr>
              <w:spacing w:after="0"/>
              <w:rPr>
                <w:sz w:val="18"/>
                <w:szCs w:val="18"/>
                <w:color w:val="auto"/>
              </w:rPr>
            </w:pPr>
          </w:p>
        </w:tc>
        <w:tc>
          <w:tcPr>
            <w:tcW w:w="4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Michael Fishman</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ectPr>
          <w:pgSz w:w="11900" w:h="16838" w:orient="portrait"/>
          <w:cols w:equalWidth="0" w:num="1">
            <w:col w:w="11260"/>
          </w:cols>
          <w:pgMar w:left="240" w:top="270" w:right="39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(h)(3)</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3,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375 Park Ave.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TPG Specialty Lending, Inc., a Delaware corporation (the “Company”) proposes, subject to the terms and conditions stated herein, to issue and to sell to the several Underwriters listed in Schedule 1 hereto (the “Underwriters”), for whom you are acting as representatives (the “Representatives”), an aggregate of 5,000,000 shares of common stock, par value $0.01 per share, of the Company (the “Underwritten Shares”) and, at the option of the Underwriters, up to an additional 750,000 shares of common stock, par value $0.01 per share of the Company (the “Option Shares”). The Underwritten Shares and the Option Shares are herein referred to as the “Shares.” The shares of common stock, par value $0.01 per share, of the Company to be outstanding after giving effect to the sale of the Shares are referred to herein as the “Stock.”</w:t>
      </w:r>
    </w:p>
    <w:p>
      <w:pPr>
        <w:sectPr>
          <w:pgSz w:w="11900" w:h="16838" w:orient="portrait"/>
          <w:cols w:equalWidth="0" w:num="1">
            <w:col w:w="11420"/>
          </w:cols>
          <w:pgMar w:left="240" w:top="121"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confirms its agreement with the several Underwriters concerning the purchase and sale of the Shares, as follows:</w:t>
      </w:r>
    </w:p>
    <w:p>
      <w:pPr>
        <w:spacing w:after="0" w:line="225" w:lineRule="exact"/>
        <w:rPr>
          <w:sz w:val="20"/>
          <w:szCs w:val="20"/>
          <w:color w:val="auto"/>
        </w:rPr>
      </w:pPr>
    </w:p>
    <w:p>
      <w:pPr>
        <w:ind w:firstLine="464"/>
        <w:spacing w:after="0" w:line="268"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 Form N-2 (File No. 333-203450), relating to the Shares, which registration statement was declared effective on July 9, 2015 by the Commission. The Company has also filed with the Commission a preliminary prospectus supplement, dated March 2, 2016, as such prospectus may be amended, which contains a base prospectus, dated July 9, 2015 (the “Base Prospectus” and, collectively, the “Preliminary Prospectus”). Promptly after execution and delivery of this 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Shares,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color w:val="auto"/>
        </w:rPr>
        <w:t>The Company has also entered into an Administration Agreement, dated as of March 15, 2011 (the “Administration Agreement”) with the Adviser. 2</w:t>
      </w:r>
    </w:p>
    <w:p>
      <w:pPr>
        <w:sectPr>
          <w:pgSz w:w="11900" w:h="16838" w:orient="portrait"/>
          <w:cols w:equalWidth="0" w:num="1">
            <w:col w:w="11420"/>
          </w:cols>
          <w:pgMar w:left="240" w:top="274" w:right="239" w:bottom="1440" w:gutter="0" w:footer="0" w:header="0"/>
        </w:sectPr>
      </w:pPr>
    </w:p>
    <w:bookmarkStart w:id="15" w:name="page16"/>
    <w:bookmarkEnd w:id="15"/>
    <w:p>
      <w:pPr>
        <w:ind w:right="6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or prior to the Applicable Time (as defined below), the Company had prepared the Preliminary Prospectus, which together with the pricing information set forth on Annex A, comprises the “Pricing Disclosure Package.”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8:30 A.M., New York City time, on March 3, 2016.</w:t>
      </w:r>
    </w:p>
    <w:p>
      <w:pPr>
        <w:spacing w:after="0" w:line="225"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Purchase of the Shares by the Underwriters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59"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Shares set forth opposite such Underwriter’s name in Schedule 1 hereto at a price per share (the “Purchase Price”) of $15.92.</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7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11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78" w:lineRule="exact"/>
        <w:rPr>
          <w:sz w:val="20"/>
          <w:szCs w:val="20"/>
          <w:color w:val="auto"/>
        </w:rPr>
      </w:pPr>
    </w:p>
    <w:p>
      <w:pPr>
        <w:jc w:val="both"/>
        <w:ind w:right="40" w:firstLine="464"/>
        <w:spacing w:after="0" w:line="264"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Prospectus. The Company acknowledges and agrees that the Underwriters may offer and sell Shares to or through any affiliate of an Underwriter.</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16" w:name="page17"/>
    <w:bookmarkEnd w:id="16"/>
    <w:p>
      <w:pPr>
        <w:ind w:firstLine="464"/>
        <w:spacing w:after="0" w:line="255" w:lineRule="auto"/>
        <w:tabs>
          <w:tab w:leader="none" w:pos="701"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for the Shares shall be made by wire transfer in immediately available funds to the account specified by the Company to the Representatives, at the offices of Freshfields Bruckhaus Deringer US LLP, 601 Lexington Avenue, Floor 31, New York, NY 10022, at 10:00 A.M., New York City time, on March 8, 2016,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187" w:lineRule="exact"/>
        <w:rPr>
          <w:sz w:val="20"/>
          <w:szCs w:val="20"/>
          <w:color w:val="auto"/>
        </w:rPr>
      </w:pPr>
    </w:p>
    <w:p>
      <w:pPr>
        <w:ind w:right="40" w:firstLine="464"/>
        <w:spacing w:after="0" w:line="271" w:lineRule="auto"/>
        <w:tabs>
          <w:tab w:leader="none" w:pos="7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225" w:lineRule="exact"/>
        <w:rPr>
          <w:sz w:val="20"/>
          <w:szCs w:val="20"/>
          <w:color w:val="auto"/>
        </w:rPr>
      </w:pPr>
    </w:p>
    <w:p>
      <w:pPr>
        <w:ind w:right="20" w:firstLine="464"/>
        <w:spacing w:after="0" w:line="291" w:lineRule="auto"/>
        <w:tabs>
          <w:tab w:leader="none" w:pos="701"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the Preliminary Prospectus has been issued by the Commission,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7" w:name="page18"/>
    <w:bookmarkEnd w:id="17"/>
    <w:p>
      <w:pPr>
        <w:ind w:left="-20" w:right="120" w:firstLine="464"/>
        <w:spacing w:after="0" w:line="272" w:lineRule="auto"/>
        <w:tabs>
          <w:tab w:leader="none" w:pos="691"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Pricing Disclosure Package</w:t>
      </w:r>
      <w:r>
        <w:rPr>
          <w:rFonts w:ascii="Arial" w:cs="Arial" w:eastAsia="Arial" w:hAnsi="Arial"/>
          <w:sz w:val="17"/>
          <w:szCs w:val="17"/>
          <w:color w:val="auto"/>
        </w:rPr>
        <w:t>. The Pricing Disclosure Package as of the Applicable Time did not, and the Pricing Disclosure Package (together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177" w:lineRule="exact"/>
        <w:rPr>
          <w:rFonts w:ascii="Arial" w:cs="Arial" w:eastAsia="Arial" w:hAnsi="Arial"/>
          <w:sz w:val="17"/>
          <w:szCs w:val="17"/>
          <w:color w:val="auto"/>
        </w:rPr>
      </w:pPr>
    </w:p>
    <w:p>
      <w:pPr>
        <w:ind w:left="-20" w:firstLine="464"/>
        <w:spacing w:after="0" w:line="286" w:lineRule="auto"/>
        <w:tabs>
          <w:tab w:leader="none" w:pos="681"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Company is eligible to use Form N-2. The Registration Statement has been declared effective by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74" w:lineRule="exact"/>
        <w:rPr>
          <w:rFonts w:ascii="Arial" w:cs="Arial" w:eastAsia="Arial" w:hAnsi="Arial"/>
          <w:sz w:val="16"/>
          <w:szCs w:val="16"/>
          <w:color w:val="auto"/>
        </w:rPr>
      </w:pPr>
    </w:p>
    <w:p>
      <w:pPr>
        <w:ind w:left="-20" w:right="20" w:firstLine="464"/>
        <w:spacing w:after="0" w:line="290" w:lineRule="auto"/>
        <w:tabs>
          <w:tab w:leader="none" w:pos="691"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(including the related notes thereto) of the Company and its consolidated subsidiaries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4" w:right="239" w:bottom="1440" w:gutter="0" w:footer="0" w:header="0"/>
        </w:sectPr>
      </w:pPr>
    </w:p>
    <w:bookmarkStart w:id="18" w:name="page19"/>
    <w:bookmarkEnd w:id="18"/>
    <w:p>
      <w:pPr>
        <w:ind w:left="-20" w:right="60" w:firstLine="464"/>
        <w:spacing w:after="0" w:line="287" w:lineRule="auto"/>
        <w:tabs>
          <w:tab w:leader="none" w:pos="68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Material Adverse Change. </w:t>
      </w:r>
      <w:r>
        <w:rPr>
          <w:rFonts w:ascii="Arial" w:cs="Arial" w:eastAsia="Arial" w:hAnsi="Arial"/>
          <w:sz w:val="16"/>
          <w:szCs w:val="16"/>
          <w:color w:val="auto"/>
        </w:rPr>
        <w:t>Except as disclosed in the Registration Statement, the Pricing Disclosure Package and the Prospectus, since the date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most recent financial statements of the Company included in the Registration Statement, the Pricing Disclosure Package and the Prospectus, (i) 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(other than with respect to 147,809 shares of common stock of the Company issued on February 1, 2016, pursuant to the Company’s dividend reinvestment plan),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68" w:lineRule="exact"/>
        <w:rPr>
          <w:rFonts w:ascii="Arial" w:cs="Arial" w:eastAsia="Arial" w:hAnsi="Arial"/>
          <w:sz w:val="16"/>
          <w:szCs w:val="16"/>
          <w:color w:val="auto"/>
        </w:rPr>
      </w:pPr>
    </w:p>
    <w:p>
      <w:pPr>
        <w:ind w:left="-20" w:firstLine="464"/>
        <w:spacing w:after="0" w:line="290" w:lineRule="auto"/>
        <w:tabs>
          <w:tab w:leader="none" w:pos="66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Organization and Good Standing. </w:t>
      </w:r>
      <w:r>
        <w:rPr>
          <w:rFonts w:ascii="Arial" w:cs="Arial" w:eastAsia="Arial" w:hAnsi="Arial"/>
          <w:sz w:val="16"/>
          <w:szCs w:val="16"/>
          <w:color w:val="auto"/>
        </w:rPr>
        <w:t>The Company and each of its subsidiaries have been duly organized and are validly existing and in good 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Investment Management Agreement and the Administration Agreement (a “Material Adverse Effect”). The subsidiaries listed in Schedule 2 to this Agreement are the only subsidiaries of the Company.</w:t>
      </w:r>
    </w:p>
    <w:p>
      <w:pPr>
        <w:spacing w:after="0" w:line="166" w:lineRule="exact"/>
        <w:rPr>
          <w:rFonts w:ascii="Arial" w:cs="Arial" w:eastAsia="Arial" w:hAnsi="Arial"/>
          <w:sz w:val="16"/>
          <w:szCs w:val="16"/>
          <w:color w:val="auto"/>
        </w:rPr>
      </w:pPr>
    </w:p>
    <w:p>
      <w:pPr>
        <w:ind w:left="-20" w:right="160" w:firstLine="464"/>
        <w:spacing w:after="0" w:line="273" w:lineRule="auto"/>
        <w:tabs>
          <w:tab w:leader="none" w:pos="691"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As of December 31, 2015, the Company had the authorized capitalization as set forth in the Registration Statement, the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in “Capitalization” under the heading “Actual,” would have had the pro forma capitalization as set forth in the Registration Statement, the Pricing Disclosure Package and the Prospectus in “Capitalization” under the heading “As Adjusted” after giving effect to certain transactions subsequent to December 31, 2015 as described therein and after giving effect to the offering pursuant to this Agreement and the use of proceeds thereof would have had the authorized capitalization as set forth in “Capitalization” under the heading “As Further Adjusted;” all the outstanding shares of capital stock of the Company have been duly authorized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4" w:right="239" w:bottom="1440" w:gutter="0" w:footer="0" w:header="0"/>
        </w:sectPr>
      </w:pPr>
    </w:p>
    <w:bookmarkStart w:id="19" w:name="page20"/>
    <w:bookmarkEnd w:id="1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169" w:lineRule="exact"/>
        <w:rPr>
          <w:sz w:val="20"/>
          <w:szCs w:val="20"/>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225" w:lineRule="exact"/>
        <w:rPr>
          <w:rFonts w:ascii="Arial" w:cs="Arial" w:eastAsia="Arial" w:hAnsi="Arial"/>
          <w:sz w:val="18"/>
          <w:szCs w:val="18"/>
          <w:color w:val="auto"/>
        </w:rPr>
      </w:pPr>
    </w:p>
    <w:p>
      <w:pPr>
        <w:ind w:right="60" w:firstLine="464"/>
        <w:spacing w:after="0" w:line="257" w:lineRule="auto"/>
        <w:tabs>
          <w:tab w:leader="none" w:pos="67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corporate power and authority to execute and deliver this Agreement and at the applicable time had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and each of the Investment Management Agreement and the Administration Agreement and the consummation by it of the transactions contemplated hereby and thereby has been duly and validly taken.</w:t>
      </w:r>
    </w:p>
    <w:p>
      <w:pPr>
        <w:spacing w:after="0" w:line="188" w:lineRule="exact"/>
        <w:rPr>
          <w:rFonts w:ascii="Arial" w:cs="Arial" w:eastAsia="Arial" w:hAnsi="Arial"/>
          <w:sz w:val="18"/>
          <w:szCs w:val="18"/>
          <w:color w:val="auto"/>
        </w:rPr>
      </w:pPr>
    </w:p>
    <w:p>
      <w:pPr>
        <w:ind w:left="680" w:hanging="21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240" w:firstLine="464"/>
        <w:spacing w:after="0" w:line="259" w:lineRule="auto"/>
        <w:tabs>
          <w:tab w:leader="none" w:pos="71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Administration Agreement. </w:t>
      </w:r>
      <w:r>
        <w:rPr>
          <w:rFonts w:ascii="Arial" w:cs="Arial" w:eastAsia="Arial" w:hAnsi="Arial"/>
          <w:sz w:val="18"/>
          <w:szCs w:val="18"/>
          <w:color w:val="auto"/>
        </w:rPr>
        <w:t>The Investment Management Agreement and the Administration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86" w:lineRule="exact"/>
        <w:rPr>
          <w:rFonts w:ascii="Arial" w:cs="Arial" w:eastAsia="Arial" w:hAnsi="Arial"/>
          <w:sz w:val="18"/>
          <w:szCs w:val="18"/>
          <w:color w:val="auto"/>
        </w:rPr>
      </w:pPr>
    </w:p>
    <w:p>
      <w:pPr>
        <w:ind w:right="140" w:firstLine="464"/>
        <w:spacing w:after="0" w:line="259" w:lineRule="auto"/>
        <w:tabs>
          <w:tab w:leader="none" w:pos="671"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and, when issued and delivered and paid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0" w:name="page21"/>
    <w:bookmarkEnd w:id="20"/>
    <w:p>
      <w:pPr>
        <w:ind w:left="-20" w:right="20" w:firstLine="464"/>
        <w:spacing w:after="0" w:line="264" w:lineRule="auto"/>
        <w:tabs>
          <w:tab w:leader="none" w:pos="74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181" w:lineRule="exact"/>
        <w:rPr>
          <w:rFonts w:ascii="Arial" w:cs="Arial" w:eastAsia="Arial" w:hAnsi="Arial"/>
          <w:sz w:val="18"/>
          <w:szCs w:val="18"/>
          <w:color w:val="auto"/>
        </w:rPr>
      </w:pPr>
    </w:p>
    <w:p>
      <w:pPr>
        <w:ind w:left="-20" w:right="80" w:firstLine="464"/>
        <w:spacing w:after="0" w:line="254" w:lineRule="auto"/>
        <w:tabs>
          <w:tab w:leader="none" w:pos="69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92" w:lineRule="exact"/>
        <w:rPr>
          <w:rFonts w:ascii="Arial" w:cs="Arial" w:eastAsia="Arial" w:hAnsi="Arial"/>
          <w:sz w:val="18"/>
          <w:szCs w:val="18"/>
          <w:color w:val="auto"/>
        </w:rPr>
      </w:pPr>
    </w:p>
    <w:p>
      <w:pPr>
        <w:ind w:left="-20" w:firstLine="464"/>
        <w:spacing w:after="0" w:line="269" w:lineRule="auto"/>
        <w:tabs>
          <w:tab w:leader="none" w:pos="691"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Company of this Agreement, the issuance and sale of the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the transactions contemplated by this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82" w:lineRule="exact"/>
        <w:rPr>
          <w:rFonts w:ascii="Arial" w:cs="Arial" w:eastAsia="Arial" w:hAnsi="Arial"/>
          <w:sz w:val="17"/>
          <w:szCs w:val="17"/>
          <w:color w:val="auto"/>
        </w:rPr>
      </w:pPr>
    </w:p>
    <w:p>
      <w:pPr>
        <w:ind w:left="-20" w:right="20" w:firstLine="464"/>
        <w:spacing w:after="0" w:line="272" w:lineRule="auto"/>
        <w:tabs>
          <w:tab w:leader="none" w:pos="691"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license,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the issuance and sale of the Shares and the consummation of the transactions contemplated by this Agreement or the performance by the Company of the Investment Management Agreement and the Administration Agreement, except for (i) the registration of the Shares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the New York Stock Exchange or under applicable state securities laws in connection with the purchase and distribution of the Shares by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274" w:right="239" w:bottom="1440" w:gutter="0" w:footer="0" w:header="0"/>
        </w:sectPr>
      </w:pPr>
    </w:p>
    <w:bookmarkStart w:id="21" w:name="page22"/>
    <w:bookmarkEnd w:id="21"/>
    <w:p>
      <w:pPr>
        <w:ind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Underwriters and (iv) where the failure to obtain any such consent, approval, authorization, order, license, registration or qualification would not reasonably be expected, individually or in the aggregate, to have a Material Adverse Effect.</w:t>
      </w:r>
    </w:p>
    <w:p>
      <w:pPr>
        <w:spacing w:after="0" w:line="170" w:lineRule="exact"/>
        <w:rPr>
          <w:sz w:val="20"/>
          <w:szCs w:val="20"/>
          <w:color w:val="auto"/>
        </w:rPr>
      </w:pPr>
    </w:p>
    <w:p>
      <w:pPr>
        <w:ind w:firstLine="464"/>
        <w:spacing w:after="0" w:line="288" w:lineRule="auto"/>
        <w:tabs>
          <w:tab w:leader="none" w:pos="711"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169" w:lineRule="exact"/>
        <w:rPr>
          <w:rFonts w:ascii="Arial" w:cs="Arial" w:eastAsia="Arial" w:hAnsi="Arial"/>
          <w:sz w:val="16"/>
          <w:szCs w:val="16"/>
          <w:color w:val="auto"/>
        </w:rPr>
      </w:pPr>
    </w:p>
    <w:p>
      <w:pPr>
        <w:ind w:right="160" w:firstLine="464"/>
        <w:spacing w:after="0" w:line="259" w:lineRule="auto"/>
        <w:tabs>
          <w:tab w:leader="none" w:pos="68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86" w:lineRule="exact"/>
        <w:rPr>
          <w:rFonts w:ascii="Arial" w:cs="Arial" w:eastAsia="Arial" w:hAnsi="Arial"/>
          <w:sz w:val="18"/>
          <w:szCs w:val="18"/>
          <w:color w:val="auto"/>
        </w:rPr>
      </w:pPr>
    </w:p>
    <w:p>
      <w:pPr>
        <w:ind w:right="40" w:firstLine="464"/>
        <w:spacing w:after="0" w:line="271" w:lineRule="auto"/>
        <w:tabs>
          <w:tab w:leader="none" w:pos="691"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Shares, as of the Closing Date and as of any Additional Closing Date, the operations of the Company are in compliance in all material respects with the provisions of the Investment Company Act applicable to business development companies.</w:t>
      </w:r>
    </w:p>
    <w:p>
      <w:pPr>
        <w:spacing w:after="0" w:line="178" w:lineRule="exact"/>
        <w:rPr>
          <w:rFonts w:ascii="Arial" w:cs="Arial" w:eastAsia="Arial" w:hAnsi="Arial"/>
          <w:sz w:val="17"/>
          <w:szCs w:val="17"/>
          <w:color w:val="auto"/>
        </w:rPr>
      </w:pPr>
    </w:p>
    <w:p>
      <w:pPr>
        <w:ind w:firstLine="464"/>
        <w:spacing w:after="0" w:line="264" w:lineRule="auto"/>
        <w:tabs>
          <w:tab w:leader="none" w:pos="671"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Independent Accountants</w:t>
      </w:r>
      <w:r>
        <w:rPr>
          <w:rFonts w:ascii="Arial" w:cs="Arial" w:eastAsia="Arial" w:hAnsi="Arial"/>
          <w:sz w:val="18"/>
          <w:szCs w:val="18"/>
          <w:color w:val="auto"/>
        </w:rPr>
        <w:t>. KPMG LLP, who have certified certain financial statements of the Company and its subsidiaries, is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2" w:name="page23"/>
    <w:bookmarkEnd w:id="22"/>
    <w:p>
      <w:pPr>
        <w:ind w:left="-8" w:right="60" w:firstLine="464"/>
        <w:spacing w:after="0" w:line="286" w:lineRule="auto"/>
        <w:tabs>
          <w:tab w:leader="none" w:pos="703"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3(v)) that are material to the business of the Company and its subsidiaries, in each case free and clear of all liens, encumbrances, claims and defects and imperfections of title except</w:t>
      </w:r>
    </w:p>
    <w:p>
      <w:pPr>
        <w:spacing w:after="0" w:line="1" w:lineRule="exact"/>
        <w:rPr>
          <w:rFonts w:ascii="Arial" w:cs="Arial" w:eastAsia="Arial" w:hAnsi="Arial"/>
          <w:sz w:val="16"/>
          <w:szCs w:val="16"/>
          <w:color w:val="auto"/>
        </w:rPr>
      </w:pPr>
    </w:p>
    <w:p>
      <w:pPr>
        <w:ind w:left="-8" w:right="180" w:firstLine="8"/>
        <w:spacing w:after="0" w:line="261" w:lineRule="auto"/>
        <w:tabs>
          <w:tab w:leader="none" w:pos="2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183" w:lineRule="exact"/>
        <w:rPr>
          <w:rFonts w:ascii="Arial" w:cs="Arial" w:eastAsia="Arial" w:hAnsi="Arial"/>
          <w:sz w:val="18"/>
          <w:szCs w:val="18"/>
          <w:color w:val="auto"/>
        </w:rPr>
      </w:pPr>
    </w:p>
    <w:p>
      <w:pPr>
        <w:ind w:left="712" w:hanging="256"/>
        <w:spacing w:after="0"/>
        <w:tabs>
          <w:tab w:leader="none" w:pos="712"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Title to Intellectual Property</w:t>
      </w:r>
      <w:r>
        <w:rPr>
          <w:rFonts w:ascii="Arial" w:cs="Arial" w:eastAsia="Arial" w:hAnsi="Arial"/>
          <w:sz w:val="17"/>
          <w:szCs w:val="17"/>
          <w:color w:val="auto"/>
        </w:rPr>
        <w:t>. Except as would not reasonably be expected, individually or in the aggregate, to have a Material Adverse Effect,</w:t>
      </w:r>
    </w:p>
    <w:p>
      <w:pPr>
        <w:spacing w:after="0" w:line="35" w:lineRule="exact"/>
        <w:rPr>
          <w:sz w:val="20"/>
          <w:szCs w:val="20"/>
          <w:color w:val="auto"/>
        </w:rPr>
      </w:pPr>
    </w:p>
    <w:p>
      <w:pPr>
        <w:ind w:left="-8" w:firstLine="8"/>
        <w:spacing w:after="0" w:line="290" w:lineRule="auto"/>
        <w:tabs>
          <w:tab w:leader="none" w:pos="20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64" w:lineRule="exact"/>
        <w:rPr>
          <w:rFonts w:ascii="Arial" w:cs="Arial" w:eastAsia="Arial" w:hAnsi="Arial"/>
          <w:sz w:val="16"/>
          <w:szCs w:val="16"/>
          <w:color w:val="auto"/>
        </w:rPr>
      </w:pPr>
    </w:p>
    <w:p>
      <w:pPr>
        <w:jc w:val="both"/>
        <w:ind w:left="-8" w:firstLine="464"/>
        <w:spacing w:after="0" w:line="312" w:lineRule="auto"/>
        <w:tabs>
          <w:tab w:leader="none" w:pos="743"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No Undisclosed Relationships</w:t>
      </w:r>
      <w:r>
        <w:rPr>
          <w:rFonts w:ascii="Arial" w:cs="Arial" w:eastAsia="Arial" w:hAnsi="Arial"/>
          <w:sz w:val="16"/>
          <w:szCs w:val="16"/>
          <w:color w:val="auto"/>
        </w:rPr>
        <w:t>. No relationship, direct or indirect, exists between or among the Company or any of its subsidiaries, on the one hand,</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146" w:lineRule="exact"/>
        <w:rPr>
          <w:rFonts w:ascii="Arial" w:cs="Arial" w:eastAsia="Arial" w:hAnsi="Arial"/>
          <w:sz w:val="16"/>
          <w:szCs w:val="16"/>
          <w:color w:val="auto"/>
        </w:rPr>
      </w:pPr>
    </w:p>
    <w:p>
      <w:pPr>
        <w:ind w:left="-8" w:firstLine="464"/>
        <w:spacing w:after="0" w:line="276" w:lineRule="auto"/>
        <w:tabs>
          <w:tab w:leader="none" w:pos="703"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its subsidiaries are not, and, after giving effect to the offering and sale of the Shares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72" w:lineRule="exact"/>
        <w:rPr>
          <w:rFonts w:ascii="Arial" w:cs="Arial" w:eastAsia="Arial" w:hAnsi="Arial"/>
          <w:sz w:val="17"/>
          <w:szCs w:val="17"/>
          <w:color w:val="auto"/>
        </w:rPr>
      </w:pPr>
    </w:p>
    <w:p>
      <w:pPr>
        <w:ind w:left="-8" w:right="40" w:firstLine="464"/>
        <w:spacing w:after="0" w:line="312" w:lineRule="auto"/>
        <w:tabs>
          <w:tab w:leader="none" w:pos="703"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 paid, and</w:t>
      </w:r>
      <w:r>
        <w:rPr>
          <w:rFonts w:ascii="Arial" w:cs="Arial" w:eastAsia="Arial" w:hAnsi="Arial"/>
          <w:sz w:val="16"/>
          <w:szCs w:val="16"/>
          <w:i w:val="1"/>
          <w:iCs w:val="1"/>
          <w:color w:val="auto"/>
        </w:rPr>
        <w:t xml:space="preserve"> </w:t>
      </w:r>
      <w:r>
        <w:rPr>
          <w:rFonts w:ascii="Arial" w:cs="Arial" w:eastAsia="Arial" w:hAnsi="Arial"/>
          <w:sz w:val="16"/>
          <w:szCs w:val="16"/>
          <w:color w:val="auto"/>
        </w:rPr>
        <w:t>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3" w:name="page24"/>
    <w:bookmarkEnd w:id="2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166" w:lineRule="exact"/>
        <w:rPr>
          <w:sz w:val="20"/>
          <w:szCs w:val="20"/>
          <w:color w:val="auto"/>
        </w:rPr>
      </w:pPr>
    </w:p>
    <w:p>
      <w:pPr>
        <w:ind w:right="20" w:firstLine="464"/>
        <w:spacing w:after="0" w:line="253" w:lineRule="auto"/>
        <w:tabs>
          <w:tab w:leader="none" w:pos="701"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Licenses and Permits. </w:t>
      </w:r>
      <w:r>
        <w:rPr>
          <w:rFonts w:ascii="Arial" w:cs="Arial" w:eastAsia="Arial" w:hAnsi="Arial"/>
          <w:sz w:val="18"/>
          <w:szCs w:val="18"/>
          <w:color w:val="auto"/>
        </w:rPr>
        <w:t>The Company and its subsidiaries possess all licenses, certificates, permits and other authorizations issued by, and have made</w:t>
      </w:r>
      <w:r>
        <w:rPr>
          <w:rFonts w:ascii="Arial" w:cs="Arial" w:eastAsia="Arial" w:hAnsi="Arial"/>
          <w:sz w:val="18"/>
          <w:szCs w:val="18"/>
          <w:i w:val="1"/>
          <w:iCs w:val="1"/>
          <w:color w:val="auto"/>
        </w:rPr>
        <w:t xml:space="preserve"> </w:t>
      </w:r>
      <w:r>
        <w:rPr>
          <w:rFonts w:ascii="Arial" w:cs="Arial" w:eastAsia="Arial" w:hAnsi="Arial"/>
          <w:sz w:val="18"/>
          <w:szCs w:val="18"/>
          <w:color w:val="auto"/>
        </w:rPr>
        <w:t>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97" w:lineRule="exact"/>
        <w:rPr>
          <w:sz w:val="20"/>
          <w:szCs w:val="20"/>
          <w:color w:val="auto"/>
        </w:rPr>
      </w:pPr>
    </w:p>
    <w:p>
      <w:pPr>
        <w:ind w:firstLine="464"/>
        <w:spacing w:after="0" w:line="293" w:lineRule="auto"/>
        <w:tabs>
          <w:tab w:leader="none" w:pos="781"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Disclosure Controls</w:t>
      </w:r>
      <w:r>
        <w:rPr>
          <w:rFonts w:ascii="Arial" w:cs="Arial" w:eastAsia="Arial" w:hAnsi="Arial"/>
          <w:sz w:val="16"/>
          <w:szCs w:val="16"/>
          <w:color w:val="auto"/>
        </w:rPr>
        <w:t>. The Company maintains an effective system of “disclosure controls and procedures” (as defined in Rule 13a-15(e)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Act of 1934, as amended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64" w:lineRule="exact"/>
        <w:rPr>
          <w:rFonts w:ascii="Arial" w:cs="Arial" w:eastAsia="Arial" w:hAnsi="Arial"/>
          <w:sz w:val="16"/>
          <w:szCs w:val="16"/>
          <w:color w:val="auto"/>
        </w:rPr>
      </w:pPr>
    </w:p>
    <w:p>
      <w:pPr>
        <w:ind w:firstLine="464"/>
        <w:spacing w:after="0" w:line="253" w:lineRule="auto"/>
        <w:tabs>
          <w:tab w:leader="none" w:pos="801"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Accounting Controls. </w:t>
      </w:r>
      <w:r>
        <w:rPr>
          <w:rFonts w:ascii="Arial" w:cs="Arial" w:eastAsia="Arial" w:hAnsi="Arial"/>
          <w:sz w:val="18"/>
          <w:szCs w:val="18"/>
          <w:color w:val="auto"/>
        </w:rPr>
        <w:t>The Company maintains a system of “internal control over financial reporting” (as defined in Rule 13a-15(f)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4" w:name="page25"/>
    <w:bookmarkEnd w:id="2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78" w:lineRule="exact"/>
        <w:rPr>
          <w:sz w:val="20"/>
          <w:szCs w:val="20"/>
          <w:color w:val="auto"/>
        </w:rPr>
      </w:pPr>
    </w:p>
    <w:p>
      <w:pPr>
        <w:jc w:val="both"/>
        <w:ind w:right="40" w:firstLine="464"/>
        <w:spacing w:after="0" w:line="286" w:lineRule="auto"/>
        <w:tabs>
          <w:tab w:leader="none" w:pos="781"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capital improvements or other expenditures are required or necessary to be made in order to continue such insurance or</w:t>
      </w:r>
    </w:p>
    <w:p>
      <w:pPr>
        <w:spacing w:after="0" w:line="1" w:lineRule="exact"/>
        <w:rPr>
          <w:rFonts w:ascii="Arial" w:cs="Arial" w:eastAsia="Arial" w:hAnsi="Arial"/>
          <w:sz w:val="16"/>
          <w:szCs w:val="16"/>
          <w:color w:val="auto"/>
        </w:rPr>
      </w:pPr>
    </w:p>
    <w:p>
      <w:pPr>
        <w:ind w:right="60" w:firstLine="8"/>
        <w:spacing w:after="0" w:line="255"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90" w:lineRule="exact"/>
        <w:rPr>
          <w:rFonts w:ascii="Arial" w:cs="Arial" w:eastAsia="Arial" w:hAnsi="Arial"/>
          <w:sz w:val="18"/>
          <w:szCs w:val="18"/>
          <w:color w:val="auto"/>
        </w:rPr>
      </w:pPr>
    </w:p>
    <w:p>
      <w:pPr>
        <w:ind w:right="20" w:firstLine="464"/>
        <w:spacing w:after="0" w:line="269" w:lineRule="auto"/>
        <w:tabs>
          <w:tab w:leader="none" w:pos="801"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any director, officer, or employee of the Company or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179" w:lineRule="exact"/>
        <w:rPr>
          <w:rFonts w:ascii="Arial" w:cs="Arial" w:eastAsia="Arial" w:hAnsi="Arial"/>
          <w:sz w:val="17"/>
          <w:szCs w:val="17"/>
          <w:color w:val="auto"/>
        </w:rPr>
      </w:pPr>
    </w:p>
    <w:p>
      <w:pPr>
        <w:ind w:right="600" w:firstLine="464"/>
        <w:spacing w:after="0" w:line="308" w:lineRule="auto"/>
        <w:tabs>
          <w:tab w:leader="none" w:pos="781"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Company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5" w:name="page26"/>
    <w:bookmarkEnd w:id="25"/>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93" w:lineRule="exact"/>
        <w:rPr>
          <w:sz w:val="20"/>
          <w:szCs w:val="20"/>
          <w:color w:val="auto"/>
        </w:rPr>
      </w:pPr>
    </w:p>
    <w:p>
      <w:pPr>
        <w:ind w:firstLine="464"/>
        <w:spacing w:after="0" w:line="268" w:lineRule="auto"/>
        <w:tabs>
          <w:tab w:leader="none" w:pos="738"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Company nor any of its subsidiaries, directors, officers or employees, nor,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Shares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85" w:lineRule="exact"/>
        <w:rPr>
          <w:rFonts w:ascii="Arial" w:cs="Arial" w:eastAsia="Arial" w:hAnsi="Arial"/>
          <w:sz w:val="17"/>
          <w:szCs w:val="17"/>
          <w:color w:val="auto"/>
        </w:rPr>
      </w:pPr>
    </w:p>
    <w:p>
      <w:pPr>
        <w:ind w:right="100" w:firstLine="464"/>
        <w:spacing w:after="0" w:line="257" w:lineRule="auto"/>
        <w:tabs>
          <w:tab w:leader="none" w:pos="8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188" w:lineRule="exact"/>
        <w:rPr>
          <w:rFonts w:ascii="Arial" w:cs="Arial" w:eastAsia="Arial" w:hAnsi="Arial"/>
          <w:sz w:val="18"/>
          <w:szCs w:val="18"/>
          <w:color w:val="auto"/>
        </w:rPr>
      </w:pPr>
    </w:p>
    <w:p>
      <w:pPr>
        <w:ind w:right="220" w:firstLine="464"/>
        <w:spacing w:after="0" w:line="264" w:lineRule="auto"/>
        <w:tabs>
          <w:tab w:leader="none" w:pos="8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this Agreement) that would give rise to a valid claim against the Company or any of its subsidiaries or any Underwriter for a brokerage commission, finder’s fee or like payment in connection with the offering and sale of the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6" w:name="page27"/>
    <w:bookmarkEnd w:id="26"/>
    <w:p>
      <w:pPr>
        <w:ind w:left="-20" w:right="620" w:firstLine="464"/>
        <w:spacing w:after="0" w:line="308" w:lineRule="auto"/>
        <w:tabs>
          <w:tab w:leader="none" w:pos="701"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Shares.</w:t>
      </w:r>
    </w:p>
    <w:p>
      <w:pPr>
        <w:spacing w:after="0" w:line="146" w:lineRule="exact"/>
        <w:rPr>
          <w:rFonts w:ascii="Arial" w:cs="Arial" w:eastAsia="Arial" w:hAnsi="Arial"/>
          <w:sz w:val="17"/>
          <w:szCs w:val="17"/>
          <w:color w:val="auto"/>
        </w:rPr>
      </w:pPr>
    </w:p>
    <w:p>
      <w:pPr>
        <w:jc w:val="both"/>
        <w:ind w:left="-20" w:right="40" w:firstLine="464"/>
        <w:spacing w:after="0" w:line="286" w:lineRule="auto"/>
        <w:tabs>
          <w:tab w:leader="none" w:pos="701"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Except permitted activity pursuant to Regulation M and Rule 10b-18 under the Exchange Act, and as set forth in Section 4(q)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Adviser, the Company has not taken, directly or indirectly, without giving effect to any activities by the Underwriters, any action designed to or that would reasonably be expected to cause or result in any stabilization or manipulation of the price of the Shares.</w:t>
      </w:r>
    </w:p>
    <w:p>
      <w:pPr>
        <w:spacing w:after="0" w:line="165" w:lineRule="exact"/>
        <w:rPr>
          <w:rFonts w:ascii="Arial" w:cs="Arial" w:eastAsia="Arial" w:hAnsi="Arial"/>
          <w:sz w:val="17"/>
          <w:szCs w:val="17"/>
          <w:color w:val="auto"/>
        </w:rPr>
      </w:pPr>
    </w:p>
    <w:p>
      <w:pPr>
        <w:ind w:left="-20" w:right="200" w:firstLine="464"/>
        <w:spacing w:after="0" w:line="264" w:lineRule="auto"/>
        <w:tabs>
          <w:tab w:leader="none" w:pos="78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contained in the Registration Statement, the Pricing Disclosure Package or the Prospectus has been made or reaffirmed without a reasonable basis or has been disclosed other than in good faith.</w:t>
      </w:r>
    </w:p>
    <w:p>
      <w:pPr>
        <w:spacing w:after="0" w:line="181" w:lineRule="exact"/>
        <w:rPr>
          <w:rFonts w:ascii="Arial" w:cs="Arial" w:eastAsia="Arial" w:hAnsi="Arial"/>
          <w:sz w:val="18"/>
          <w:szCs w:val="18"/>
          <w:color w:val="auto"/>
        </w:rPr>
      </w:pPr>
    </w:p>
    <w:p>
      <w:pPr>
        <w:ind w:left="-20" w:right="20" w:firstLine="464"/>
        <w:spacing w:after="0" w:line="264" w:lineRule="auto"/>
        <w:tabs>
          <w:tab w:leader="none" w:pos="70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Statistical and Market Data</w:t>
      </w:r>
      <w:r>
        <w:rPr>
          <w:rFonts w:ascii="Arial" w:cs="Arial" w:eastAsia="Arial" w:hAnsi="Arial"/>
          <w:sz w:val="18"/>
          <w:szCs w:val="18"/>
          <w:color w:val="auto"/>
        </w:rPr>
        <w:t>. 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reasonably reliable and accurate in all material respects.</w:t>
      </w:r>
    </w:p>
    <w:p>
      <w:pPr>
        <w:spacing w:after="0" w:line="181" w:lineRule="exact"/>
        <w:rPr>
          <w:rFonts w:ascii="Arial" w:cs="Arial" w:eastAsia="Arial" w:hAnsi="Arial"/>
          <w:sz w:val="18"/>
          <w:szCs w:val="18"/>
          <w:color w:val="auto"/>
        </w:rPr>
      </w:pPr>
    </w:p>
    <w:p>
      <w:pPr>
        <w:ind w:left="-20" w:right="40" w:firstLine="464"/>
        <w:spacing w:after="0" w:line="259" w:lineRule="auto"/>
        <w:tabs>
          <w:tab w:leader="none" w:pos="88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86" w:lineRule="exact"/>
        <w:rPr>
          <w:rFonts w:ascii="Arial" w:cs="Arial" w:eastAsia="Arial" w:hAnsi="Arial"/>
          <w:sz w:val="18"/>
          <w:szCs w:val="18"/>
          <w:color w:val="auto"/>
        </w:rPr>
      </w:pPr>
    </w:p>
    <w:p>
      <w:pPr>
        <w:ind w:left="-20" w:right="140" w:firstLine="464"/>
        <w:spacing w:after="0" w:line="286" w:lineRule="auto"/>
        <w:tabs>
          <w:tab w:leader="none" w:pos="781"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 violation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65" w:lineRule="exact"/>
        <w:rPr>
          <w:rFonts w:ascii="Arial" w:cs="Arial" w:eastAsia="Arial" w:hAnsi="Arial"/>
          <w:sz w:val="17"/>
          <w:szCs w:val="17"/>
          <w:color w:val="auto"/>
        </w:rPr>
      </w:pPr>
    </w:p>
    <w:p>
      <w:pPr>
        <w:ind w:left="-20" w:firstLine="464"/>
        <w:spacing w:after="0" w:line="312" w:lineRule="auto"/>
        <w:tabs>
          <w:tab w:leader="none" w:pos="781"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Regulated Investment Company</w:t>
      </w:r>
      <w:r>
        <w:rPr>
          <w:rFonts w:ascii="Arial" w:cs="Arial" w:eastAsia="Arial" w:hAnsi="Arial"/>
          <w:sz w:val="16"/>
          <w:szCs w:val="16"/>
          <w:color w:val="auto"/>
        </w:rPr>
        <w:t>. The Company has elected to be treated, and has operated, and intends to continue to operate, its business in such a</w:t>
      </w:r>
      <w:r>
        <w:rPr>
          <w:rFonts w:ascii="Arial" w:cs="Arial" w:eastAsia="Arial" w:hAnsi="Arial"/>
          <w:sz w:val="16"/>
          <w:szCs w:val="16"/>
          <w:i w:val="1"/>
          <w:iCs w:val="1"/>
          <w:color w:val="auto"/>
        </w:rPr>
        <w:t xml:space="preserve"> </w:t>
      </w:r>
      <w:r>
        <w:rPr>
          <w:rFonts w:ascii="Arial" w:cs="Arial" w:eastAsia="Arial" w:hAnsi="Arial"/>
          <w:sz w:val="16"/>
          <w:szCs w:val="16"/>
          <w:color w:val="auto"/>
        </w:rPr>
        <w:t>manner so as to enable the Company to continue to qualify as a regulated investment company under Subchapter M of the Code. The Company intends to direct the investment of the proceeds of the offering of the Shares in such a manner as to comply with the requirements of Subchapter M of the Code.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225" w:lineRule="exact"/>
        <w:rPr>
          <w:sz w:val="20"/>
          <w:szCs w:val="20"/>
          <w:color w:val="auto"/>
        </w:rPr>
      </w:pPr>
    </w:p>
    <w:p>
      <w:pPr>
        <w:ind w:left="-20" w:right="160" w:firstLine="464"/>
        <w:spacing w:after="0" w:line="277" w:lineRule="auto"/>
        <w:tabs>
          <w:tab w:leader="none" w:pos="68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Except as disclosed in the Registration Statement, the Pricing Disclosure Package and the Prospectus, since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most recent financial statements of the Company included in the Registration Statement, the Pricing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27" w:name="page28"/>
    <w:bookmarkEnd w:id="27"/>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Package and the Prospectus, (i)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58" w:lineRule="exact"/>
        <w:rPr>
          <w:sz w:val="20"/>
          <w:szCs w:val="20"/>
          <w:color w:val="auto"/>
        </w:rPr>
      </w:pPr>
    </w:p>
    <w:p>
      <w:pPr>
        <w:ind w:firstLine="464"/>
        <w:spacing w:after="0" w:line="271" w:lineRule="auto"/>
        <w:tabs>
          <w:tab w:leader="none" w:pos="71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 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178" w:lineRule="exact"/>
        <w:rPr>
          <w:rFonts w:ascii="Arial" w:cs="Arial" w:eastAsia="Arial" w:hAnsi="Arial"/>
          <w:sz w:val="17"/>
          <w:szCs w:val="17"/>
          <w:color w:val="auto"/>
        </w:rPr>
      </w:pPr>
    </w:p>
    <w:p>
      <w:pPr>
        <w:ind w:right="40" w:firstLine="464"/>
        <w:spacing w:after="0" w:line="276" w:lineRule="auto"/>
        <w:tabs>
          <w:tab w:leader="none" w:pos="70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72" w:lineRule="exact"/>
        <w:rPr>
          <w:rFonts w:ascii="Arial" w:cs="Arial" w:eastAsia="Arial" w:hAnsi="Arial"/>
          <w:sz w:val="17"/>
          <w:szCs w:val="17"/>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225" w:lineRule="exact"/>
        <w:rPr>
          <w:rFonts w:ascii="Arial" w:cs="Arial" w:eastAsia="Arial" w:hAnsi="Arial"/>
          <w:sz w:val="18"/>
          <w:szCs w:val="18"/>
          <w:color w:val="auto"/>
        </w:rPr>
      </w:pPr>
    </w:p>
    <w:p>
      <w:pPr>
        <w:ind w:right="20" w:firstLine="464"/>
        <w:spacing w:after="0" w:line="259" w:lineRule="auto"/>
        <w:tabs>
          <w:tab w:leader="none" w:pos="70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the Administration Agreement. </w:t>
      </w:r>
      <w:r>
        <w:rPr>
          <w:rFonts w:ascii="Arial" w:cs="Arial" w:eastAsia="Arial" w:hAnsi="Arial"/>
          <w:sz w:val="18"/>
          <w:szCs w:val="18"/>
          <w:color w:val="auto"/>
        </w:rPr>
        <w:t>The Investment Management Agreement and the Administration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86" w:lineRule="exact"/>
        <w:rPr>
          <w:rFonts w:ascii="Arial" w:cs="Arial" w:eastAsia="Arial" w:hAnsi="Arial"/>
          <w:sz w:val="18"/>
          <w:szCs w:val="18"/>
          <w:color w:val="auto"/>
        </w:rPr>
      </w:pPr>
    </w:p>
    <w:p>
      <w:pPr>
        <w:ind w:right="400" w:firstLine="464"/>
        <w:spacing w:after="0" w:line="264" w:lineRule="auto"/>
        <w:tabs>
          <w:tab w:leader="none" w:pos="68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Adviser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8" w:name="page29"/>
    <w:bookmarkEnd w:id="28"/>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73" w:lineRule="exact"/>
        <w:rPr>
          <w:sz w:val="20"/>
          <w:szCs w:val="20"/>
          <w:color w:val="auto"/>
        </w:rPr>
      </w:pPr>
    </w:p>
    <w:p>
      <w:pPr>
        <w:ind w:right="80" w:firstLine="464"/>
        <w:spacing w:after="0" w:line="284" w:lineRule="auto"/>
        <w:tabs>
          <w:tab w:leader="none" w:pos="711"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Adviser of this Agreement and the performance by the Adviser of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w:t>
      </w:r>
    </w:p>
    <w:p>
      <w:pPr>
        <w:spacing w:after="0" w:line="1" w:lineRule="exact"/>
        <w:rPr>
          <w:rFonts w:ascii="Arial" w:cs="Arial" w:eastAsia="Arial" w:hAnsi="Arial"/>
          <w:sz w:val="16"/>
          <w:szCs w:val="16"/>
          <w:color w:val="auto"/>
        </w:rPr>
      </w:pPr>
    </w:p>
    <w:p>
      <w:pPr>
        <w:ind w:right="140" w:firstLine="8"/>
        <w:spacing w:after="0" w:line="261"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and (iii) above, for any such conflict, breach, violation, default, lien, charge or encumbrance that would not reasonably be expected, individually or in the aggregate, to have an Adviser Material Adverse Effect.</w:t>
      </w:r>
    </w:p>
    <w:p>
      <w:pPr>
        <w:spacing w:after="0" w:line="183" w:lineRule="exact"/>
        <w:rPr>
          <w:rFonts w:ascii="Arial" w:cs="Arial" w:eastAsia="Arial" w:hAnsi="Arial"/>
          <w:sz w:val="18"/>
          <w:szCs w:val="18"/>
          <w:color w:val="auto"/>
        </w:rPr>
      </w:pPr>
    </w:p>
    <w:p>
      <w:pPr>
        <w:ind w:right="380" w:firstLine="464"/>
        <w:spacing w:after="0" w:line="255" w:lineRule="auto"/>
        <w:tabs>
          <w:tab w:leader="none" w:pos="711"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93" w:lineRule="exact"/>
        <w:rPr>
          <w:rFonts w:ascii="Arial" w:cs="Arial" w:eastAsia="Arial" w:hAnsi="Arial"/>
          <w:sz w:val="18"/>
          <w:szCs w:val="18"/>
          <w:color w:val="auto"/>
        </w:rPr>
      </w:pPr>
    </w:p>
    <w:p>
      <w:pPr>
        <w:ind w:firstLine="464"/>
        <w:spacing w:after="0" w:line="272" w:lineRule="auto"/>
        <w:tabs>
          <w:tab w:leader="none" w:pos="671"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9" w:name="page30"/>
    <w:bookmarkEnd w:id="29"/>
    <w:p>
      <w:pPr>
        <w:jc w:val="both"/>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181" w:lineRule="exact"/>
        <w:rPr>
          <w:sz w:val="20"/>
          <w:szCs w:val="20"/>
          <w:color w:val="auto"/>
        </w:rPr>
      </w:pPr>
    </w:p>
    <w:p>
      <w:pPr>
        <w:ind w:right="20" w:firstLine="464"/>
        <w:spacing w:after="0" w:line="270" w:lineRule="auto"/>
        <w:tabs>
          <w:tab w:leader="none" w:pos="67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Adviser and its subsidiaries possess all licenses, certificates, permits and other authorizations issued by, and have made</w:t>
      </w:r>
      <w:r>
        <w:rPr>
          <w:rFonts w:ascii="Arial" w:cs="Arial" w:eastAsia="Arial" w:hAnsi="Arial"/>
          <w:sz w:val="17"/>
          <w:szCs w:val="17"/>
          <w:i w:val="1"/>
          <w:iCs w:val="1"/>
          <w:color w:val="auto"/>
        </w:rPr>
        <w:t xml:space="preserve"> </w:t>
      </w:r>
      <w:r>
        <w:rPr>
          <w:rFonts w:ascii="Arial" w:cs="Arial" w:eastAsia="Arial" w:hAnsi="Arial"/>
          <w:sz w:val="17"/>
          <w:szCs w:val="17"/>
          <w:color w:val="auto"/>
        </w:rPr>
        <w:t>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1" w:lineRule="exact"/>
        <w:rPr>
          <w:rFonts w:ascii="Arial" w:cs="Arial" w:eastAsia="Arial" w:hAnsi="Arial"/>
          <w:sz w:val="17"/>
          <w:szCs w:val="17"/>
          <w:color w:val="auto"/>
        </w:rPr>
      </w:pPr>
    </w:p>
    <w:p>
      <w:pPr>
        <w:ind w:right="160" w:firstLine="464"/>
        <w:spacing w:after="0" w:line="286" w:lineRule="auto"/>
        <w:tabs>
          <w:tab w:leader="none" w:pos="711"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Description of the Adviser</w:t>
      </w:r>
      <w:r>
        <w:rPr>
          <w:rFonts w:ascii="Arial" w:cs="Arial" w:eastAsia="Arial" w:hAnsi="Arial"/>
          <w:sz w:val="17"/>
          <w:szCs w:val="17"/>
          <w:color w:val="auto"/>
        </w:rPr>
        <w:t>. The description of the Adviser and its respective principals and business in the Registration Statement,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ind w:right="160" w:firstLine="464"/>
        <w:spacing w:after="0" w:line="264" w:lineRule="auto"/>
        <w:tabs>
          <w:tab w:leader="none" w:pos="67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181" w:lineRule="exact"/>
        <w:rPr>
          <w:rFonts w:ascii="Arial" w:cs="Arial" w:eastAsia="Arial" w:hAnsi="Arial"/>
          <w:sz w:val="18"/>
          <w:szCs w:val="18"/>
          <w:color w:val="auto"/>
        </w:rPr>
      </w:pPr>
    </w:p>
    <w:p>
      <w:pPr>
        <w:ind w:right="20" w:firstLine="464"/>
        <w:spacing w:after="0" w:line="291" w:lineRule="auto"/>
        <w:tabs>
          <w:tab w:leader="none" w:pos="761"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Internal Controls</w:t>
      </w:r>
      <w:r>
        <w:rPr>
          <w:rFonts w:ascii="Arial" w:cs="Arial" w:eastAsia="Arial" w:hAnsi="Arial"/>
          <w:sz w:val="16"/>
          <w:szCs w:val="16"/>
          <w:color w:val="auto"/>
        </w:rPr>
        <w:t>. The Adviser maintains a system of internal accounting controls sufficient to provide reasonable assurance that (i)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167" w:lineRule="exact"/>
        <w:rPr>
          <w:rFonts w:ascii="Arial" w:cs="Arial" w:eastAsia="Arial" w:hAnsi="Arial"/>
          <w:sz w:val="16"/>
          <w:szCs w:val="16"/>
          <w:color w:val="auto"/>
        </w:rPr>
      </w:pPr>
    </w:p>
    <w:p>
      <w:pPr>
        <w:ind w:firstLine="464"/>
        <w:spacing w:after="0" w:line="277" w:lineRule="auto"/>
        <w:tabs>
          <w:tab w:leader="none" w:pos="71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No Unlawful Payments. </w:t>
      </w:r>
      <w:r>
        <w:rPr>
          <w:rFonts w:ascii="Arial" w:cs="Arial" w:eastAsia="Arial" w:hAnsi="Arial"/>
          <w:sz w:val="18"/>
          <w:szCs w:val="18"/>
          <w:color w:val="auto"/>
        </w:rPr>
        <w:t>Neither the Adviser nor any of its subsidiaries nor any director, officer, or employee of the Adviser or any of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nor, to the knowledge of the Adviser, any agent, affiliate or other person associated with or acting on behalf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0" w:name="page31"/>
    <w:bookmarkEnd w:id="3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sz w:val="20"/>
          <w:szCs w:val="20"/>
          <w:color w:val="auto"/>
        </w:rPr>
      </w:pPr>
    </w:p>
    <w:p>
      <w:pPr>
        <w:ind w:right="100" w:firstLine="8"/>
        <w:spacing w:after="0" w:line="254"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89" w:lineRule="exact"/>
        <w:rPr>
          <w:rFonts w:ascii="Arial" w:cs="Arial" w:eastAsia="Arial" w:hAnsi="Arial"/>
          <w:sz w:val="18"/>
          <w:szCs w:val="18"/>
          <w:color w:val="auto"/>
        </w:rPr>
      </w:pPr>
    </w:p>
    <w:p>
      <w:pPr>
        <w:ind w:firstLine="464"/>
        <w:spacing w:after="0" w:line="276" w:lineRule="auto"/>
        <w:tabs>
          <w:tab w:leader="none" w:pos="711"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72" w:lineRule="exact"/>
        <w:rPr>
          <w:rFonts w:ascii="Arial" w:cs="Arial" w:eastAsia="Arial" w:hAnsi="Arial"/>
          <w:sz w:val="17"/>
          <w:szCs w:val="17"/>
          <w:color w:val="auto"/>
        </w:rPr>
      </w:pPr>
    </w:p>
    <w:p>
      <w:pPr>
        <w:ind w:right="40" w:firstLine="464"/>
        <w:spacing w:after="0" w:line="276" w:lineRule="auto"/>
        <w:tabs>
          <w:tab w:leader="none" w:pos="711"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172" w:lineRule="exact"/>
        <w:rPr>
          <w:rFonts w:ascii="Arial" w:cs="Arial" w:eastAsia="Arial" w:hAnsi="Arial"/>
          <w:sz w:val="17"/>
          <w:szCs w:val="17"/>
          <w:color w:val="auto"/>
        </w:rPr>
      </w:pPr>
    </w:p>
    <w:p>
      <w:pPr>
        <w:jc w:val="both"/>
        <w:ind w:firstLine="464"/>
        <w:spacing w:after="0" w:line="264"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Underwriters, any action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or that would reasonably be expected to cause or result in any stabilization or manipulation of the price of the Shares, other than permitted activity pursuant to Regulation M and Rule 10b-18 under the Exchange Act.</w:t>
      </w:r>
    </w:p>
    <w:p>
      <w:pPr>
        <w:spacing w:after="0" w:line="181" w:lineRule="exact"/>
        <w:rPr>
          <w:rFonts w:ascii="Arial" w:cs="Arial" w:eastAsia="Arial" w:hAnsi="Arial"/>
          <w:sz w:val="18"/>
          <w:szCs w:val="18"/>
          <w:color w:val="auto"/>
        </w:rPr>
      </w:pPr>
    </w:p>
    <w:p>
      <w:pPr>
        <w:jc w:val="both"/>
        <w:ind w:right="420" w:firstLine="464"/>
        <w:spacing w:after="0" w:line="279" w:lineRule="auto"/>
        <w:tabs>
          <w:tab w:leader="none" w:pos="681" w:val="left"/>
        </w:tabs>
        <w:numPr>
          <w:ilvl w:val="1"/>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1" w:lineRule="exact"/>
        <w:rPr>
          <w:rFonts w:ascii="Arial" w:cs="Arial" w:eastAsia="Arial" w:hAnsi="Arial"/>
          <w:sz w:val="17"/>
          <w:szCs w:val="17"/>
          <w:color w:val="auto"/>
        </w:rPr>
      </w:pPr>
    </w:p>
    <w:p>
      <w:pPr>
        <w:ind w:right="260" w:firstLine="464"/>
        <w:spacing w:after="0" w:line="277" w:lineRule="auto"/>
        <w:tabs>
          <w:tab w:leader="none" w:pos="691"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Adviser, is contemplated or threatened, and the Adviser is not aware of any existing or imminent labor disturbance by,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31" w:name="page32"/>
    <w:bookmarkEnd w:id="31"/>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dispute with, the employees or any of its or its subsidiaries’ principal suppliers, contractors or customers, except in each case as would not reasonably be expected to have an Adviser Material Adverse Effect.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225" w:lineRule="exact"/>
        <w:rPr>
          <w:sz w:val="20"/>
          <w:szCs w:val="20"/>
          <w:color w:val="auto"/>
        </w:rPr>
      </w:pPr>
    </w:p>
    <w:p>
      <w:pPr>
        <w:ind w:right="160" w:firstLine="464"/>
        <w:spacing w:after="0" w:line="272" w:lineRule="auto"/>
        <w:tabs>
          <w:tab w:leader="none" w:pos="70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 430C</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177" w:lineRule="exact"/>
        <w:rPr>
          <w:rFonts w:ascii="Arial" w:cs="Arial" w:eastAsia="Arial" w:hAnsi="Arial"/>
          <w:sz w:val="17"/>
          <w:szCs w:val="17"/>
          <w:color w:val="auto"/>
        </w:rPr>
      </w:pPr>
    </w:p>
    <w:p>
      <w:pPr>
        <w:ind w:right="80" w:firstLine="464"/>
        <w:spacing w:after="0" w:line="273" w:lineRule="auto"/>
        <w:tabs>
          <w:tab w:leader="none" w:pos="711"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Delivery of Copies. </w:t>
      </w:r>
      <w:r>
        <w:rPr>
          <w:rFonts w:ascii="Arial" w:cs="Arial" w:eastAsia="Arial" w:hAnsi="Arial"/>
          <w:sz w:val="17"/>
          <w:szCs w:val="17"/>
          <w:color w:val="auto"/>
        </w:rPr>
        <w:t>The Company will deliver, without charge, (i) to the Representatives, electronic signed copies of the Registration Statement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in connection with sales of the Shares by any Underwriter or dealer.</w:t>
      </w:r>
    </w:p>
    <w:p>
      <w:pPr>
        <w:spacing w:after="0" w:line="178" w:lineRule="exact"/>
        <w:rPr>
          <w:rFonts w:ascii="Arial" w:cs="Arial" w:eastAsia="Arial" w:hAnsi="Arial"/>
          <w:sz w:val="17"/>
          <w:szCs w:val="17"/>
          <w:color w:val="auto"/>
        </w:rPr>
      </w:pPr>
    </w:p>
    <w:p>
      <w:pPr>
        <w:jc w:val="both"/>
        <w:ind w:right="600" w:firstLine="464"/>
        <w:spacing w:after="0" w:line="259" w:lineRule="auto"/>
        <w:tabs>
          <w:tab w:leader="none" w:pos="701"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186" w:lineRule="exact"/>
        <w:rPr>
          <w:rFonts w:ascii="Arial" w:cs="Arial" w:eastAsia="Arial" w:hAnsi="Arial"/>
          <w:sz w:val="18"/>
          <w:szCs w:val="18"/>
          <w:color w:val="auto"/>
        </w:rPr>
      </w:pPr>
    </w:p>
    <w:p>
      <w:pPr>
        <w:ind w:firstLine="464"/>
        <w:spacing w:after="0" w:line="293" w:lineRule="auto"/>
        <w:tabs>
          <w:tab w:leader="none" w:pos="711"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any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2" w:name="page33"/>
    <w:bookmarkEnd w:id="3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Shares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commercially reasonable efforts to obtain as soon as possible the withdrawal thereof.</w:t>
      </w:r>
    </w:p>
    <w:p>
      <w:pPr>
        <w:spacing w:after="0" w:line="166" w:lineRule="exact"/>
        <w:rPr>
          <w:sz w:val="20"/>
          <w:szCs w:val="20"/>
          <w:color w:val="auto"/>
        </w:rPr>
      </w:pPr>
    </w:p>
    <w:p>
      <w:pPr>
        <w:ind w:firstLine="464"/>
        <w:spacing w:after="0" w:line="286" w:lineRule="auto"/>
        <w:tabs>
          <w:tab w:leader="none" w:pos="70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68" w:lineRule="exact"/>
        <w:rPr>
          <w:rFonts w:ascii="Arial" w:cs="Arial" w:eastAsia="Arial" w:hAnsi="Arial"/>
          <w:sz w:val="16"/>
          <w:szCs w:val="16"/>
          <w:color w:val="auto"/>
        </w:rPr>
      </w:pPr>
    </w:p>
    <w:p>
      <w:pPr>
        <w:ind w:right="80" w:firstLine="464"/>
        <w:spacing w:after="0" w:line="276" w:lineRule="auto"/>
        <w:tabs>
          <w:tab w:leader="none" w:pos="681"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Blue Sky Compliance. </w:t>
      </w:r>
      <w:r>
        <w:rPr>
          <w:rFonts w:ascii="Arial" w:cs="Arial" w:eastAsia="Arial" w:hAnsi="Arial"/>
          <w:sz w:val="17"/>
          <w:szCs w:val="17"/>
          <w:color w:val="auto"/>
        </w:rPr>
        <w:t>The Company will use commercially reasonable efforts, in cooperation with the Representatives, to qualify the Shares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 and sale under the securities or Blue Sky laws of such jurisdictions as the Representatives shall reasonably request and will continue such qualifications in effect so long as required for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3" w:name="page34"/>
    <w:bookmarkEnd w:id="33"/>
    <w:p>
      <w:pPr>
        <w:ind w:left="-8" w:right="20" w:firstLine="464"/>
        <w:spacing w:after="0" w:line="257" w:lineRule="auto"/>
        <w:tabs>
          <w:tab w:leader="none" w:pos="703"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Earning Statement. </w:t>
      </w:r>
      <w:r>
        <w:rPr>
          <w:rFonts w:ascii="Arial" w:cs="Arial" w:eastAsia="Arial" w:hAnsi="Arial"/>
          <w:sz w:val="18"/>
          <w:szCs w:val="18"/>
          <w:color w:val="auto"/>
        </w:rPr>
        <w:t>The Company will make generally available to its security holders and the Representatives as soon as practicable an earning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188" w:lineRule="exact"/>
        <w:rPr>
          <w:rFonts w:ascii="Arial" w:cs="Arial" w:eastAsia="Arial" w:hAnsi="Arial"/>
          <w:sz w:val="18"/>
          <w:szCs w:val="18"/>
          <w:color w:val="auto"/>
        </w:rPr>
      </w:pPr>
    </w:p>
    <w:p>
      <w:pPr>
        <w:ind w:left="-8" w:firstLine="464"/>
        <w:spacing w:after="0" w:line="284" w:lineRule="auto"/>
        <w:tabs>
          <w:tab w:leader="none" w:pos="703" w:val="left"/>
        </w:tabs>
        <w:numPr>
          <w:ilvl w:val="1"/>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45 days after the date of the Prospectus, the Company will not (i) offer, pledge, sell, contract to sell, sell any option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 into or exercisable or exchangeable for Stock, or publicly disclose the intention to make any such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Merrill Lynch, Pierce, Fenner &amp; Smith Incorporated on behalf of the Underwriters, other than the (A) Shares to be sold hereunder, and</w:t>
      </w:r>
    </w:p>
    <w:p>
      <w:pPr>
        <w:spacing w:after="0" w:line="2" w:lineRule="exact"/>
        <w:rPr>
          <w:rFonts w:ascii="Arial" w:cs="Arial" w:eastAsia="Arial" w:hAnsi="Arial"/>
          <w:sz w:val="16"/>
          <w:szCs w:val="16"/>
          <w:color w:val="auto"/>
        </w:rPr>
      </w:pPr>
    </w:p>
    <w:p>
      <w:pPr>
        <w:ind w:left="292" w:hanging="292"/>
        <w:spacing w:after="0"/>
        <w:tabs>
          <w:tab w:leader="none" w:pos="2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shares of Stock issued or delivered in connection with the Company’s dividend reinvestment plan.</w:t>
      </w:r>
    </w:p>
    <w:p>
      <w:pPr>
        <w:spacing w:after="0" w:line="210" w:lineRule="exact"/>
        <w:rPr>
          <w:rFonts w:ascii="Arial" w:cs="Arial" w:eastAsia="Arial" w:hAnsi="Arial"/>
          <w:sz w:val="18"/>
          <w:szCs w:val="18"/>
          <w:color w:val="auto"/>
        </w:rPr>
      </w:pPr>
    </w:p>
    <w:p>
      <w:pPr>
        <w:ind w:left="-8" w:right="40" w:firstLine="464"/>
        <w:spacing w:after="0" w:line="277" w:lineRule="auto"/>
        <w:tabs>
          <w:tab w:leader="none" w:pos="663"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apply the net proceeds from the sale of the Shares in all material respects as described in the Pricing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Package and the Prospectus under the heading “Use of Proceeds”.</w:t>
      </w:r>
    </w:p>
    <w:p>
      <w:pPr>
        <w:spacing w:after="0" w:line="170" w:lineRule="exact"/>
        <w:rPr>
          <w:rFonts w:ascii="Arial" w:cs="Arial" w:eastAsia="Arial" w:hAnsi="Arial"/>
          <w:sz w:val="18"/>
          <w:szCs w:val="18"/>
          <w:color w:val="auto"/>
        </w:rPr>
      </w:pPr>
    </w:p>
    <w:p>
      <w:pPr>
        <w:ind w:left="-8" w:right="160" w:firstLine="464"/>
        <w:spacing w:after="0" w:line="342" w:lineRule="auto"/>
        <w:tabs>
          <w:tab w:leader="none" w:pos="663"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Except as described in 3(jj) herein, the Company will not take, directly or indirectly, without giving effect to any activities by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Underwriters, any action designed to or that would reasonably be expected to cause or result in any stabilization or manipulation of the price of the Stock.</w:t>
      </w:r>
    </w:p>
    <w:p>
      <w:pPr>
        <w:spacing w:after="0" w:line="123" w:lineRule="exact"/>
        <w:rPr>
          <w:rFonts w:ascii="Arial" w:cs="Arial" w:eastAsia="Arial" w:hAnsi="Arial"/>
          <w:sz w:val="16"/>
          <w:szCs w:val="16"/>
          <w:color w:val="auto"/>
        </w:rPr>
      </w:pPr>
    </w:p>
    <w:p>
      <w:pPr>
        <w:ind w:left="712" w:hanging="256"/>
        <w:spacing w:after="0"/>
        <w:tabs>
          <w:tab w:leader="none" w:pos="712"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its best efforts to effect and maintain the listing of the Shares on the New York Stock Exchange.</w:t>
      </w:r>
    </w:p>
    <w:p>
      <w:pPr>
        <w:spacing w:after="0" w:line="236" w:lineRule="exact"/>
        <w:rPr>
          <w:rFonts w:ascii="Arial" w:cs="Arial" w:eastAsia="Arial" w:hAnsi="Arial"/>
          <w:sz w:val="17"/>
          <w:szCs w:val="17"/>
          <w:color w:val="auto"/>
        </w:rPr>
      </w:pPr>
    </w:p>
    <w:p>
      <w:pPr>
        <w:ind w:left="-8" w:right="340" w:firstLine="464"/>
        <w:spacing w:after="0" w:line="257" w:lineRule="auto"/>
        <w:tabs>
          <w:tab w:leader="none" w:pos="663"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Shares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12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72"/>
          </w:cols>
          <w:pgMar w:left="248" w:top="274" w:right="279" w:bottom="1440" w:gutter="0" w:footer="0" w:header="0"/>
        </w:sectPr>
      </w:pPr>
    </w:p>
    <w:bookmarkStart w:id="34" w:name="page35"/>
    <w:bookmarkEnd w:id="34"/>
    <w:p>
      <w:pPr>
        <w:ind w:left="-40" w:firstLine="464"/>
        <w:spacing w:after="0" w:line="279" w:lineRule="auto"/>
        <w:tabs>
          <w:tab w:leader="none" w:pos="721"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Development Company</w:t>
      </w:r>
      <w:r>
        <w:rPr>
          <w:rFonts w:ascii="Arial" w:cs="Arial" w:eastAsia="Arial" w:hAnsi="Arial"/>
          <w:sz w:val="17"/>
          <w:szCs w:val="17"/>
          <w:color w:val="auto"/>
        </w:rPr>
        <w:t>. The Company, during a period of twelve months from the date of the Prospectus, will use commercially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reasonable efforts to maintain its status as a business development company under the Investment Company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1" w:lineRule="exact"/>
        <w:rPr>
          <w:rFonts w:ascii="Arial" w:cs="Arial" w:eastAsia="Arial" w:hAnsi="Arial"/>
          <w:sz w:val="17"/>
          <w:szCs w:val="17"/>
          <w:color w:val="auto"/>
        </w:rPr>
      </w:pPr>
    </w:p>
    <w:p>
      <w:pPr>
        <w:ind w:left="-40" w:right="160" w:firstLine="464"/>
        <w:spacing w:after="0" w:line="264" w:lineRule="auto"/>
        <w:tabs>
          <w:tab w:leader="none" w:pos="671"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a regulated investment company under Subchapter M of the Code for each taxable year during which it is a business development company under the Investment Company Act.</w:t>
      </w:r>
    </w:p>
    <w:p>
      <w:pPr>
        <w:spacing w:after="0" w:line="181" w:lineRule="exact"/>
        <w:rPr>
          <w:rFonts w:ascii="Arial" w:cs="Arial" w:eastAsia="Arial" w:hAnsi="Arial"/>
          <w:sz w:val="18"/>
          <w:szCs w:val="18"/>
          <w:color w:val="auto"/>
        </w:rPr>
      </w:pPr>
    </w:p>
    <w:p>
      <w:pPr>
        <w:ind w:left="-40" w:right="100" w:firstLine="464"/>
        <w:spacing w:after="0" w:line="302" w:lineRule="auto"/>
        <w:tabs>
          <w:tab w:leader="none" w:pos="671"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Annual Compliance Reviews</w:t>
      </w:r>
      <w:r>
        <w:rPr>
          <w:rFonts w:ascii="Arial" w:cs="Arial" w:eastAsia="Arial" w:hAnsi="Arial"/>
          <w:sz w:val="16"/>
          <w:szCs w:val="16"/>
          <w:color w:val="auto"/>
        </w:rPr>
        <w:t>. The Company will retain qualified accountants and qualified tax experts (i) to test procedures and conduct annual</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54" w:lineRule="exact"/>
        <w:rPr>
          <w:rFonts w:ascii="Arial" w:cs="Arial" w:eastAsia="Arial" w:hAnsi="Arial"/>
          <w:sz w:val="16"/>
          <w:szCs w:val="16"/>
          <w:color w:val="auto"/>
        </w:rPr>
      </w:pPr>
    </w:p>
    <w:p>
      <w:pPr>
        <w:ind w:left="-40" w:right="140" w:firstLine="464"/>
        <w:spacing w:after="0" w:line="293" w:lineRule="auto"/>
        <w:tabs>
          <w:tab w:leader="none" w:pos="671"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w:t>
      </w:r>
      <w:r>
        <w:rPr>
          <w:rFonts w:ascii="Arial" w:cs="Arial" w:eastAsia="Arial" w:hAnsi="Arial"/>
          <w:sz w:val="16"/>
          <w:szCs w:val="16"/>
          <w:color w:val="auto"/>
        </w:rPr>
        <w:t>. The Company represents and agrees that, without the prior consent of the Representatives (i) it will not distribute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offering material other than the Registration Statement, the Pricing Disclosure Package or the Prospectus, and (ii) it has not made and will not make any offer relating to the Shares that would constitute a “free writing prospectus” as defined in Rule 405 under the Securities Act and which the parties agree, for the purposes of this Agreement, includes (x) any “advertisement” as defined in Rule 482 under the Securities Act; and (y) any sales literature, materials or information provided to investors by, or with the approval of, the Company in connection with the marketing of the offering of the Shares, including any in-person roadshow or investor presentations (including slides and scripts relating thereto) made to investors by or on behalf of the Company.</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225" w:lineRule="exact"/>
        <w:rPr>
          <w:sz w:val="20"/>
          <w:szCs w:val="20"/>
          <w:color w:val="auto"/>
        </w:rPr>
      </w:pPr>
    </w:p>
    <w:p>
      <w:pPr>
        <w:ind w:left="-40" w:right="60" w:firstLine="464"/>
        <w:spacing w:after="0" w:line="259" w:lineRule="auto"/>
        <w:tabs>
          <w:tab w:leader="none" w:pos="6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Shares, other than materials contained in the Pricing Disclosure Package, the Prospectus or any other offering materials prepared by or with the prior written consent of the Company.</w:t>
      </w:r>
    </w:p>
    <w:p>
      <w:pPr>
        <w:spacing w:after="0" w:line="186" w:lineRule="exact"/>
        <w:rPr>
          <w:rFonts w:ascii="Arial" w:cs="Arial" w:eastAsia="Arial" w:hAnsi="Arial"/>
          <w:sz w:val="18"/>
          <w:szCs w:val="18"/>
          <w:color w:val="auto"/>
        </w:rPr>
      </w:pPr>
    </w:p>
    <w:p>
      <w:pPr>
        <w:ind w:left="-40" w:right="60" w:firstLine="464"/>
        <w:spacing w:after="0" w:line="277" w:lineRule="auto"/>
        <w:tabs>
          <w:tab w:leader="none" w:pos="6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274" w:right="259" w:bottom="1440" w:gutter="0" w:footer="0" w:header="0"/>
        </w:sectPr>
      </w:pPr>
    </w:p>
    <w:bookmarkStart w:id="35" w:name="page36"/>
    <w:bookmarkEnd w:id="35"/>
    <w:p>
      <w:pPr>
        <w:ind w:left="-8" w:firstLine="464"/>
        <w:spacing w:after="0" w:line="264" w:lineRule="auto"/>
        <w:tabs>
          <w:tab w:leader="none" w:pos="62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Underwriters’ Obligations</w:t>
      </w:r>
      <w:r>
        <w:rPr>
          <w:rFonts w:ascii="Arial" w:cs="Arial" w:eastAsia="Arial" w:hAnsi="Arial"/>
          <w:sz w:val="18"/>
          <w:szCs w:val="18"/>
          <w:color w:val="auto"/>
        </w:rPr>
        <w:t>. The obligation of each Underwriter to purchase the Underwritten Shares on the Closing Date or the Option Shares on the Closing Date or the Additional Closing Date, as the case may be, as provided herein is subject to the performance by the Company of its covenants and other obligations hereunder and to the following additional conditions:</w:t>
      </w:r>
    </w:p>
    <w:p>
      <w:pPr>
        <w:spacing w:after="0" w:line="181" w:lineRule="exact"/>
        <w:rPr>
          <w:sz w:val="20"/>
          <w:szCs w:val="20"/>
          <w:color w:val="auto"/>
        </w:rPr>
      </w:pPr>
    </w:p>
    <w:p>
      <w:pPr>
        <w:jc w:val="both"/>
        <w:ind w:left="-8" w:right="20" w:firstLine="464"/>
        <w:spacing w:after="0" w:line="259" w:lineRule="auto"/>
        <w:tabs>
          <w:tab w:leader="none" w:pos="693"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Compliance; No Stop Order. </w:t>
      </w:r>
      <w:r>
        <w:rPr>
          <w:rFonts w:ascii="Arial" w:cs="Arial" w:eastAsia="Arial" w:hAnsi="Arial"/>
          <w:sz w:val="18"/>
          <w:szCs w:val="18"/>
          <w:color w:val="auto"/>
        </w:rPr>
        <w:t>No order suspending the effectiveness of the Registration Statement shall be in effect, and no proceeding</w:t>
      </w:r>
      <w:r>
        <w:rPr>
          <w:rFonts w:ascii="Arial" w:cs="Arial" w:eastAsia="Arial" w:hAnsi="Arial"/>
          <w:sz w:val="18"/>
          <w:szCs w:val="18"/>
          <w:i w:val="1"/>
          <w:iCs w:val="1"/>
          <w:color w:val="auto"/>
        </w:rPr>
        <w:t xml:space="preserve"> </w:t>
      </w:r>
      <w:r>
        <w:rPr>
          <w:rFonts w:ascii="Arial" w:cs="Arial" w:eastAsia="Arial" w:hAnsi="Arial"/>
          <w:sz w:val="18"/>
          <w:szCs w:val="18"/>
          <w:color w:val="auto"/>
        </w:rPr>
        <w:t>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pacing w:after="0" w:line="186" w:lineRule="exact"/>
        <w:rPr>
          <w:rFonts w:ascii="Arial" w:cs="Arial" w:eastAsia="Arial" w:hAnsi="Arial"/>
          <w:sz w:val="18"/>
          <w:szCs w:val="18"/>
          <w:color w:val="auto"/>
        </w:rPr>
      </w:pPr>
    </w:p>
    <w:p>
      <w:pPr>
        <w:ind w:left="-8" w:right="100" w:firstLine="464"/>
        <w:spacing w:after="0" w:line="259" w:lineRule="auto"/>
        <w:tabs>
          <w:tab w:leader="none" w:pos="703"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 correct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186" w:lineRule="exact"/>
        <w:rPr>
          <w:rFonts w:ascii="Arial" w:cs="Arial" w:eastAsia="Arial" w:hAnsi="Arial"/>
          <w:sz w:val="18"/>
          <w:szCs w:val="18"/>
          <w:color w:val="auto"/>
        </w:rPr>
      </w:pPr>
    </w:p>
    <w:p>
      <w:pPr>
        <w:ind w:left="-8" w:right="20" w:firstLine="464"/>
        <w:spacing w:after="0" w:line="257" w:lineRule="auto"/>
        <w:tabs>
          <w:tab w:leader="none" w:pos="693"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3(e) and Section 4(a) hereof shall have occurred or shall exist,</w:t>
      </w:r>
      <w:r>
        <w:rPr>
          <w:rFonts w:ascii="Arial" w:cs="Arial" w:eastAsia="Arial" w:hAnsi="Arial"/>
          <w:sz w:val="18"/>
          <w:szCs w:val="18"/>
          <w:i w:val="1"/>
          <w:iCs w:val="1"/>
          <w:color w:val="auto"/>
        </w:rPr>
        <w:t xml:space="preserve"> </w:t>
      </w:r>
      <w:r>
        <w:rPr>
          <w:rFonts w:ascii="Arial" w:cs="Arial" w:eastAsia="Arial" w:hAnsi="Arial"/>
          <w:sz w:val="18"/>
          <w:szCs w:val="18"/>
          <w:color w:val="auto"/>
        </w:rPr>
        <w:t>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8" w:lineRule="exact"/>
        <w:rPr>
          <w:rFonts w:ascii="Arial" w:cs="Arial" w:eastAsia="Arial" w:hAnsi="Arial"/>
          <w:sz w:val="18"/>
          <w:szCs w:val="18"/>
          <w:color w:val="auto"/>
        </w:rPr>
      </w:pPr>
    </w:p>
    <w:p>
      <w:pPr>
        <w:ind w:left="-8" w:right="80" w:firstLine="464"/>
        <w:spacing w:after="0" w:line="288" w:lineRule="auto"/>
        <w:tabs>
          <w:tab w:leader="none" w:pos="703"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Representatives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Representatives</w:t>
      </w:r>
    </w:p>
    <w:p>
      <w:pPr>
        <w:ind w:left="-8" w:right="20" w:firstLine="8"/>
        <w:spacing w:after="0" w:line="252" w:lineRule="auto"/>
        <w:tabs>
          <w:tab w:leader="none" w:pos="2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confirming that such officers have carefully reviewed the Registration Statement, the Pricing Disclosure Package and the Prospectus,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w:t>
      </w:r>
    </w:p>
    <w:p>
      <w:pPr>
        <w:spacing w:after="0" w:line="194" w:lineRule="exact"/>
        <w:rPr>
          <w:rFonts w:ascii="Arial" w:cs="Arial" w:eastAsia="Arial" w:hAnsi="Arial"/>
          <w:sz w:val="18"/>
          <w:szCs w:val="18"/>
          <w:color w:val="auto"/>
        </w:rPr>
      </w:pPr>
    </w:p>
    <w:p>
      <w:pPr>
        <w:ind w:left="-8" w:right="220" w:firstLine="464"/>
        <w:spacing w:after="0" w:line="277" w:lineRule="auto"/>
        <w:tabs>
          <w:tab w:leader="none" w:pos="693"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Representatives shall have received on and as of the Closing Date or the Additional Closing Date, as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may be, a certificate, which</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52"/>
          </w:cols>
          <w:pgMar w:left="248" w:top="274" w:right="299" w:bottom="1440" w:gutter="0" w:footer="0" w:header="0"/>
        </w:sectPr>
      </w:pPr>
    </w:p>
    <w:bookmarkStart w:id="36" w:name="page37"/>
    <w:bookmarkEnd w:id="36"/>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154" w:lineRule="exact"/>
        <w:rPr>
          <w:sz w:val="20"/>
          <w:szCs w:val="20"/>
          <w:color w:val="auto"/>
        </w:rPr>
      </w:pPr>
    </w:p>
    <w:p>
      <w:pPr>
        <w:ind w:right="20" w:firstLine="464"/>
        <w:spacing w:after="0" w:line="293" w:lineRule="auto"/>
        <w:tabs>
          <w:tab w:leader="none" w:pos="681"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164" w:lineRule="exact"/>
        <w:rPr>
          <w:rFonts w:ascii="Arial" w:cs="Arial" w:eastAsia="Arial" w:hAnsi="Arial"/>
          <w:sz w:val="16"/>
          <w:szCs w:val="16"/>
          <w:color w:val="auto"/>
        </w:rPr>
      </w:pPr>
    </w:p>
    <w:p>
      <w:pPr>
        <w:ind w:firstLine="464"/>
        <w:spacing w:after="0" w:line="269" w:lineRule="auto"/>
        <w:tabs>
          <w:tab w:leader="none" w:pos="711"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Company and Adviser. </w:t>
      </w:r>
      <w:r>
        <w:rPr>
          <w:rFonts w:ascii="Arial" w:cs="Arial" w:eastAsia="Arial" w:hAnsi="Arial"/>
          <w:sz w:val="17"/>
          <w:szCs w:val="17"/>
          <w:color w:val="auto"/>
        </w:rPr>
        <w:t>Cleary Gottlieb Steen &amp; Hamilton LLP, counsel for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 Schulte Roth &amp; Zabel LLP, Investment Company Act counsel for the Company and Advisers Act counsel for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 Morris, Nichols, Arsht &amp; Tunnell LLP, Delaware counsel for the Company and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 In-house counsel to the Company and the Adviser, shall have furnished to the Representatives its written opinion, dated the Closing Date or the Additional Closing Date, as the case may be, and addressed to the Underwriters, in form and substance reasonably satisfactory to the Representatives.</w:t>
      </w:r>
    </w:p>
    <w:p>
      <w:pPr>
        <w:spacing w:after="0" w:line="182" w:lineRule="exact"/>
        <w:rPr>
          <w:rFonts w:ascii="Arial" w:cs="Arial" w:eastAsia="Arial" w:hAnsi="Arial"/>
          <w:sz w:val="17"/>
          <w:szCs w:val="17"/>
          <w:color w:val="auto"/>
        </w:rPr>
      </w:pPr>
    </w:p>
    <w:p>
      <w:pPr>
        <w:ind w:right="120" w:firstLine="464"/>
        <w:spacing w:after="0" w:line="259"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Underwriters. </w:t>
      </w:r>
      <w:r>
        <w:rPr>
          <w:rFonts w:ascii="Arial" w:cs="Arial" w:eastAsia="Arial" w:hAnsi="Arial"/>
          <w:sz w:val="18"/>
          <w:szCs w:val="18"/>
          <w:color w:val="auto"/>
        </w:rPr>
        <w:t>The Representatives shall have received on and as of the Closing Date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Closing Date, as the case may be, an opinion and 10b-5 statement of Freshfields Bruckhaus Deringer US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86" w:lineRule="exact"/>
        <w:rPr>
          <w:rFonts w:ascii="Arial" w:cs="Arial" w:eastAsia="Arial" w:hAnsi="Arial"/>
          <w:sz w:val="18"/>
          <w:szCs w:val="18"/>
          <w:color w:val="auto"/>
        </w:rPr>
      </w:pPr>
    </w:p>
    <w:p>
      <w:pPr>
        <w:ind w:right="460" w:firstLine="464"/>
        <w:spacing w:after="0" w:line="277" w:lineRule="auto"/>
        <w:tabs>
          <w:tab w:leader="none" w:pos="671"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w:t>
      </w:r>
      <w:r>
        <w:rPr>
          <w:rFonts w:ascii="Arial" w:cs="Arial" w:eastAsia="Arial" w:hAnsi="Arial"/>
          <w:sz w:val="18"/>
          <w:szCs w:val="18"/>
          <w:color w:val="auto"/>
        </w:rPr>
        <w:t>No action shall have been taken and no statute, rule, regulation or order shall have been enacted, adopted or</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any federal, state or foreign governmental or regulatory authority that would, as of the Closing Date 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7" w:name="page38"/>
    <w:bookmarkEnd w:id="37"/>
    <w:p>
      <w:pPr>
        <w:ind w:right="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Closing Date, as the case may be, prevent the issuance and sale of the Shares; and no injunction or order of any federal, state or foreign court shall have been issued that would, as of the Closing Date or the Additional Closing Date, as the case may be, prevent the issuance and sale of the Shares.</w:t>
      </w:r>
    </w:p>
    <w:p>
      <w:pPr>
        <w:spacing w:after="0" w:line="124" w:lineRule="exact"/>
        <w:rPr>
          <w:sz w:val="20"/>
          <w:szCs w:val="20"/>
          <w:color w:val="auto"/>
        </w:rPr>
      </w:pPr>
    </w:p>
    <w:p>
      <w:pPr>
        <w:ind w:right="420" w:firstLine="464"/>
        <w:spacing w:after="0" w:line="259" w:lineRule="auto"/>
        <w:tabs>
          <w:tab w:leader="none" w:pos="67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Good Standing</w:t>
      </w:r>
      <w:r>
        <w:rPr>
          <w:rFonts w:ascii="Arial" w:cs="Arial" w:eastAsia="Arial" w:hAnsi="Arial"/>
          <w:sz w:val="18"/>
          <w:szCs w:val="18"/>
          <w:color w:val="auto"/>
        </w:rPr>
        <w:t>. The Representatives shall have received on and as of the Closing Date or the Additional Closing Date, as the case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186" w:lineRule="exact"/>
        <w:rPr>
          <w:rFonts w:ascii="Arial" w:cs="Arial" w:eastAsia="Arial" w:hAnsi="Arial"/>
          <w:sz w:val="18"/>
          <w:szCs w:val="18"/>
          <w:color w:val="auto"/>
        </w:rPr>
      </w:pPr>
    </w:p>
    <w:p>
      <w:pPr>
        <w:ind w:right="460" w:firstLine="464"/>
        <w:spacing w:after="0" w:line="27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Additional Closing Date, as the case may be, shall have been duly listed,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official notice of issuance, on the New York Stock Exchange.</w:t>
      </w:r>
    </w:p>
    <w:p>
      <w:pPr>
        <w:spacing w:after="0" w:line="170" w:lineRule="exact"/>
        <w:rPr>
          <w:rFonts w:ascii="Arial" w:cs="Arial" w:eastAsia="Arial" w:hAnsi="Arial"/>
          <w:sz w:val="18"/>
          <w:szCs w:val="18"/>
          <w:color w:val="auto"/>
        </w:rPr>
      </w:pPr>
    </w:p>
    <w:p>
      <w:pPr>
        <w:ind w:right="380" w:firstLine="464"/>
        <w:spacing w:after="0" w:line="312" w:lineRule="auto"/>
        <w:tabs>
          <w:tab w:leader="none" w:pos="671"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 Exhibit A hereto, from all the officers and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listed in Schedule 3 and from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146" w:lineRule="exact"/>
        <w:rPr>
          <w:rFonts w:ascii="Arial" w:cs="Arial" w:eastAsia="Arial" w:hAnsi="Arial"/>
          <w:sz w:val="16"/>
          <w:szCs w:val="16"/>
          <w:color w:val="auto"/>
        </w:rPr>
      </w:pPr>
    </w:p>
    <w:p>
      <w:pPr>
        <w:ind w:right="180" w:firstLine="464"/>
        <w:spacing w:after="0" w:line="297" w:lineRule="auto"/>
        <w:tabs>
          <w:tab w:leader="none" w:pos="761"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No Downgrade</w:t>
      </w:r>
      <w:r>
        <w:rPr>
          <w:rFonts w:ascii="Arial" w:cs="Arial" w:eastAsia="Arial" w:hAnsi="Arial"/>
          <w:sz w:val="16"/>
          <w:szCs w:val="16"/>
          <w:color w:val="auto"/>
        </w:rPr>
        <w:t>. Subsequent to the earlier of (A) the Applicable Time and (B) the execution and delivery of this Agreement, if there are any debt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158" w:lineRule="exact"/>
        <w:rPr>
          <w:rFonts w:ascii="Arial" w:cs="Arial" w:eastAsia="Arial" w:hAnsi="Arial"/>
          <w:sz w:val="16"/>
          <w:szCs w:val="16"/>
          <w:color w:val="auto"/>
        </w:rPr>
      </w:pPr>
    </w:p>
    <w:p>
      <w:pPr>
        <w:ind w:right="40" w:firstLine="464"/>
        <w:spacing w:after="0" w:line="277"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such further certificates and documents as the Representatives may reasonably request.</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9" w:lineRule="auto"/>
        <w:tabs>
          <w:tab w:leader="none" w:pos="701"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of the Underwriters. </w:t>
      </w:r>
      <w:r>
        <w:rPr>
          <w:rFonts w:ascii="Arial" w:cs="Arial" w:eastAsia="Arial" w:hAnsi="Arial"/>
          <w:sz w:val="18"/>
          <w:szCs w:val="18"/>
          <w:color w:val="auto"/>
        </w:rPr>
        <w:t>The Company agrees to indemnify and hold harmless each Underwriter, its affiliates, directors and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8" w:name="page39"/>
    <w:bookmarkEnd w:id="3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69" w:lineRule="exact"/>
        <w:rPr>
          <w:sz w:val="20"/>
          <w:szCs w:val="20"/>
          <w:color w:val="auto"/>
        </w:rPr>
      </w:pPr>
    </w:p>
    <w:p>
      <w:pPr>
        <w:ind w:right="100" w:firstLine="464"/>
        <w:spacing w:after="0" w:line="269" w:lineRule="auto"/>
        <w:tabs>
          <w:tab w:leader="none" w:pos="711"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Company. </w:t>
      </w:r>
      <w:r>
        <w:rPr>
          <w:rFonts w:ascii="Arial" w:cs="Arial" w:eastAsia="Arial" w:hAnsi="Arial"/>
          <w:sz w:val="17"/>
          <w:szCs w:val="17"/>
          <w:color w:val="auto"/>
        </w:rPr>
        <w:t>Each Underwriter agrees, severally and not jointly, to indemnify and hold harmless the Company, its directors, its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amount appearing in the fifth paragraph, the statements regarding electronic distribution in the sixteenth paragraph, the information regarding stabilizing transactions contained in the twelfth, thirteenth and fourteenth paragraphs.</w:t>
      </w:r>
    </w:p>
    <w:p>
      <w:pPr>
        <w:spacing w:after="0" w:line="182" w:lineRule="exact"/>
        <w:rPr>
          <w:rFonts w:ascii="Arial" w:cs="Arial" w:eastAsia="Arial" w:hAnsi="Arial"/>
          <w:sz w:val="17"/>
          <w:szCs w:val="17"/>
          <w:color w:val="auto"/>
        </w:rPr>
      </w:pPr>
    </w:p>
    <w:p>
      <w:pPr>
        <w:ind w:right="20" w:firstLine="464"/>
        <w:spacing w:after="0" w:line="271" w:lineRule="auto"/>
        <w:tabs>
          <w:tab w:leader="none" w:pos="701"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 brought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9" w:name="page40"/>
    <w:bookmarkEnd w:id="3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w:t>
      </w:r>
    </w:p>
    <w:p>
      <w:pPr>
        <w:spacing w:after="0" w:line="5" w:lineRule="exact"/>
        <w:rPr>
          <w:sz w:val="20"/>
          <w:szCs w:val="20"/>
          <w:color w:val="auto"/>
        </w:rPr>
      </w:pPr>
    </w:p>
    <w:p>
      <w:pPr>
        <w:ind w:firstLine="8"/>
        <w:spacing w:after="0" w:line="284" w:lineRule="auto"/>
        <w:tabs>
          <w:tab w:leader="none" w:pos="3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Merrill Lynch, Pierce, Fenner &amp; Smith Incorporated,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2" w:lineRule="exact"/>
        <w:rPr>
          <w:rFonts w:ascii="Arial" w:cs="Arial" w:eastAsia="Arial" w:hAnsi="Arial"/>
          <w:sz w:val="16"/>
          <w:szCs w:val="16"/>
          <w:color w:val="auto"/>
        </w:rPr>
      </w:pPr>
    </w:p>
    <w:p>
      <w:pPr>
        <w:ind w:right="140" w:firstLine="464"/>
        <w:spacing w:after="0" w:line="279" w:lineRule="auto"/>
        <w:tabs>
          <w:tab w:leader="none" w:pos="711" w:val="left"/>
        </w:tabs>
        <w:numPr>
          <w:ilvl w:val="1"/>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40" w:name="page41"/>
    <w:bookmarkEnd w:id="4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73" w:lineRule="exact"/>
        <w:rPr>
          <w:sz w:val="20"/>
          <w:szCs w:val="20"/>
          <w:color w:val="auto"/>
        </w:rPr>
      </w:pPr>
    </w:p>
    <w:p>
      <w:pPr>
        <w:ind w:left="700" w:hanging="236"/>
        <w:spacing w:after="0"/>
        <w:tabs>
          <w:tab w:leader="none" w:pos="700"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220" w:firstLine="464"/>
        <w:spacing w:after="0" w:line="277" w:lineRule="auto"/>
        <w:tabs>
          <w:tab w:leader="none" w:pos="681"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140" w:firstLine="464"/>
        <w:spacing w:after="0" w:line="277" w:lineRule="auto"/>
        <w:tabs>
          <w:tab w:leader="none" w:pos="72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41" w:name="page42"/>
    <w:bookmarkEnd w:id="4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prior to the Closing Date or, in the case of the Option Shares,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67" w:lineRule="exact"/>
        <w:rPr>
          <w:sz w:val="20"/>
          <w:szCs w:val="20"/>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7" w:lineRule="auto"/>
        <w:tabs>
          <w:tab w:leader="none" w:pos="7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Shares that a defaulting Underwriter agreed but failed to purchase.</w:t>
      </w:r>
    </w:p>
    <w:p>
      <w:pPr>
        <w:spacing w:after="0" w:line="172" w:lineRule="exact"/>
        <w:rPr>
          <w:rFonts w:ascii="Arial" w:cs="Arial" w:eastAsia="Arial" w:hAnsi="Arial"/>
          <w:sz w:val="16"/>
          <w:szCs w:val="16"/>
          <w:color w:val="auto"/>
        </w:rPr>
      </w:pPr>
    </w:p>
    <w:p>
      <w:pPr>
        <w:ind w:right="100" w:firstLine="464"/>
        <w:spacing w:after="0" w:line="273"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78" w:lineRule="exact"/>
        <w:rPr>
          <w:rFonts w:ascii="Arial" w:cs="Arial" w:eastAsia="Arial" w:hAnsi="Arial"/>
          <w:sz w:val="17"/>
          <w:szCs w:val="17"/>
          <w:color w:val="auto"/>
        </w:rPr>
      </w:pPr>
    </w:p>
    <w:p>
      <w:pPr>
        <w:ind w:right="660" w:firstLine="464"/>
        <w:spacing w:after="0" w:line="277"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the non-defaulting Underwriters and the Company as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42" w:name="page43"/>
    <w:bookmarkEnd w:id="42"/>
    <w:p>
      <w:pPr>
        <w:ind w:right="3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65" w:lineRule="exact"/>
        <w:rPr>
          <w:sz w:val="20"/>
          <w:szCs w:val="20"/>
          <w:color w:val="auto"/>
        </w:rPr>
      </w:pPr>
    </w:p>
    <w:p>
      <w:pPr>
        <w:ind w:right="160" w:firstLine="464"/>
        <w:spacing w:after="0" w:line="277"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40" w:hanging="276"/>
        <w:spacing w:after="0"/>
        <w:tabs>
          <w:tab w:leader="none" w:pos="7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firstLine="464"/>
        <w:spacing w:after="0" w:line="285" w:lineRule="auto"/>
        <w:tabs>
          <w:tab w:leader="none" w:pos="701"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Shares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 (vii) all filing fees and the reasonable fees and expenses incurred in connection with any filing with, and clearance of the offering by, FINRA (such fees and expenses pursuant to this clause (vii) and clause (iv), in the aggregate, shall not exceed $15,000); (viii) all expenses incurred by the Company in connection with any “road show” presentation to potential investors,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Underwriters shall be responsible for 50% of the third-party costs of any chartered private aircraft incurred in connection with such road show; and (ix) all expenses and application fees related to the listing of the Shares on the New York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3" w:name="page44"/>
    <w:bookmarkEnd w:id="43"/>
    <w:p>
      <w:pPr>
        <w:ind w:left="712" w:hanging="256"/>
        <w:spacing w:after="0"/>
        <w:tabs>
          <w:tab w:leader="none" w:pos="712" w:val="left"/>
        </w:tabs>
        <w:numPr>
          <w:ilvl w:val="1"/>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left="-8" w:firstLine="8"/>
        <w:spacing w:after="0" w:line="253" w:lineRule="auto"/>
        <w:tabs>
          <w:tab w:leader="none" w:pos="2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for any reason fails to tender the Shares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91" w:lineRule="exact"/>
        <w:rPr>
          <w:sz w:val="20"/>
          <w:szCs w:val="20"/>
          <w:color w:val="auto"/>
        </w:rPr>
      </w:pPr>
    </w:p>
    <w:p>
      <w:pPr>
        <w:ind w:left="-8" w:right="120" w:firstLine="464"/>
        <w:spacing w:after="0" w:line="279" w:lineRule="auto"/>
        <w:tabs>
          <w:tab w:leader="none" w:pos="71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71" w:lineRule="exact"/>
        <w:rPr>
          <w:rFonts w:ascii="Arial" w:cs="Arial" w:eastAsia="Arial" w:hAnsi="Arial"/>
          <w:sz w:val="17"/>
          <w:szCs w:val="17"/>
          <w:color w:val="auto"/>
        </w:rPr>
      </w:pPr>
    </w:p>
    <w:p>
      <w:pPr>
        <w:jc w:val="both"/>
        <w:ind w:left="-8" w:right="500" w:firstLine="464"/>
        <w:spacing w:after="0" w:line="302" w:lineRule="auto"/>
        <w:tabs>
          <w:tab w:leader="none" w:pos="71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Adviser or the Underwriters.</w:t>
      </w:r>
    </w:p>
    <w:p>
      <w:pPr>
        <w:spacing w:after="0" w:line="154" w:lineRule="exact"/>
        <w:rPr>
          <w:rFonts w:ascii="Arial" w:cs="Arial" w:eastAsia="Arial" w:hAnsi="Arial"/>
          <w:sz w:val="16"/>
          <w:szCs w:val="16"/>
          <w:color w:val="auto"/>
        </w:rPr>
      </w:pPr>
    </w:p>
    <w:p>
      <w:pPr>
        <w:ind w:left="-8" w:right="60" w:firstLine="464"/>
        <w:spacing w:after="0" w:line="286" w:lineRule="auto"/>
        <w:tabs>
          <w:tab w:leader="none" w:pos="718"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32" w:hanging="276"/>
        <w:spacing w:after="0"/>
        <w:tabs>
          <w:tab w:leader="none" w:pos="7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8" w:right="20" w:firstLine="464"/>
        <w:spacing w:after="0" w:line="293" w:lineRule="auto"/>
        <w:tabs>
          <w:tab w:leader="none" w:pos="693"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deemed to have been duly given if mailed or transmitted</w:t>
      </w:r>
      <w:r>
        <w:rPr>
          <w:rFonts w:ascii="Arial" w:cs="Arial" w:eastAsia="Arial" w:hAnsi="Arial"/>
          <w:sz w:val="16"/>
          <w:szCs w:val="16"/>
          <w:i w:val="1"/>
          <w:iCs w:val="1"/>
          <w:color w:val="auto"/>
        </w:rPr>
        <w:t xml:space="preserve"> </w:t>
      </w:r>
      <w:r>
        <w:rPr>
          <w:rFonts w:ascii="Arial" w:cs="Arial" w:eastAsia="Arial" w:hAnsi="Arial"/>
          <w:sz w:val="16"/>
          <w:szCs w:val="16"/>
          <w:color w:val="auto"/>
        </w:rPr>
        <w:t>and confirmed by any standard form of telecommunication. Notices to the Underwriters shall be given to the Representatives c/o Merrill Lynch, Pierce, Fenner &amp; Smith Incorporated, One Bryant Park, New York, New York 10036, attention of Syndicate Department, with a copy to ECM Legal; Wells Fargo Securities, LLC, 375 Park Avenue, New York, New York 10152, Attention: Equity Syndicate Department (fax no: (212) 214-5918); Goldman, Sachs &amp; Co., 200 West Street, New York, New York 10282-2198, Attention: Registration Department. Notices to the Company or the Adviser shall be given to either of them at TPG Specialty Lending, Inc., 345 California Street, Suite 3300, San Francisco, California 94104 (fax: (917) 463-0175), Attention: David Stiepleman.</w:t>
      </w:r>
    </w:p>
    <w:p>
      <w:pPr>
        <w:spacing w:after="0" w:line="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72"/>
          </w:cols>
          <w:pgMar w:left="248" w:top="274" w:right="279" w:bottom="1440" w:gutter="0" w:footer="0" w:header="0"/>
        </w:sectPr>
      </w:pPr>
    </w:p>
    <w:bookmarkStart w:id="44" w:name="page45"/>
    <w:bookmarkEnd w:id="44"/>
    <w:p>
      <w:pPr>
        <w:ind w:firstLine="464"/>
        <w:spacing w:after="0" w:line="264"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right="700" w:firstLine="464"/>
        <w:spacing w:after="0" w:line="308" w:lineRule="auto"/>
        <w:tabs>
          <w:tab w:leader="none" w:pos="701"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right="1380" w:firstLine="464"/>
        <w:spacing w:after="0" w:line="308" w:lineRule="auto"/>
        <w:tabs>
          <w:tab w:leader="none" w:pos="711"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360" w:firstLine="464"/>
        <w:spacing w:after="0" w:line="277"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660" w:firstLine="464"/>
        <w:spacing w:after="0" w:line="277" w:lineRule="auto"/>
        <w:tabs>
          <w:tab w:leader="none" w:pos="68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5" w:name="page46"/>
    <w:bookmarkEnd w:id="4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6"/>
          <w:szCs w:val="16"/>
          <w:color w:val="auto"/>
        </w:rPr>
        <w:t>Title:</w:t>
        <w:tab/>
        <w:t>Co-Chief Executive Officer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274" w:right="1440"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MERRILL LYNCH, PIERCE, FENNER &amp; SMITH</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INCORPORATED</w:t>
      </w:r>
    </w:p>
    <w:p>
      <w:pPr>
        <w:spacing w:after="0" w:line="2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8"/>
          <w:szCs w:val="18"/>
          <w:color w:val="auto"/>
        </w:rPr>
        <w:t>Name:</w:t>
        <w:tab/>
        <w:t>Scott Robertson</w:t>
      </w:r>
    </w:p>
    <w:p>
      <w:pPr>
        <w:spacing w:after="0" w:line="23"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8"/>
          <w:szCs w:val="18"/>
          <w:color w:val="auto"/>
        </w:rPr>
        <w:t>Name:</w:t>
        <w:tab/>
        <w:t>David Herman</w:t>
      </w:r>
    </w:p>
    <w:p>
      <w:pPr>
        <w:spacing w:after="0" w:line="23" w:lineRule="exact"/>
        <w:rPr>
          <w:sz w:val="20"/>
          <w:szCs w:val="20"/>
          <w:color w:val="auto"/>
        </w:rPr>
      </w:pPr>
    </w:p>
    <w:p>
      <w:pPr>
        <w:jc w:val="center"/>
        <w:ind w:right="7659"/>
        <w:spacing w:after="0"/>
        <w:tabs>
          <w:tab w:leader="none" w:pos="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Adam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8"/>
          <w:szCs w:val="18"/>
          <w:color w:val="auto"/>
        </w:rPr>
        <w:t>Name:</w:t>
        <w:tab/>
        <w:t>Adam Greene</w:t>
      </w:r>
    </w:p>
    <w:p>
      <w:pPr>
        <w:spacing w:after="0" w:line="23" w:lineRule="exact"/>
        <w:rPr>
          <w:sz w:val="20"/>
          <w:szCs w:val="20"/>
          <w:color w:val="auto"/>
        </w:rPr>
      </w:pPr>
    </w:p>
    <w:p>
      <w:pPr>
        <w:ind w:left="42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274"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w w:val="86"/>
              </w:rPr>
              <w:t>Schedule 1</w:t>
            </w:r>
          </w:p>
        </w:tc>
        <w:tc>
          <w:tcPr>
            <w:tcW w:w="0" w:type="dxa"/>
            <w:vAlign w:val="bottom"/>
          </w:tcPr>
          <w:p>
            <w:pPr>
              <w:spacing w:after="0"/>
              <w:rPr>
                <w:sz w:val="1"/>
                <w:szCs w:val="1"/>
                <w:color w:val="auto"/>
              </w:rPr>
            </w:pPr>
          </w:p>
        </w:tc>
      </w:tr>
      <w:tr>
        <w:trPr>
          <w:trHeight w:val="399"/>
        </w:trPr>
        <w:tc>
          <w:tcPr>
            <w:tcW w:w="4160" w:type="dxa"/>
            <w:vAlign w:val="bottom"/>
            <w:gridSpan w:val="3"/>
          </w:tcPr>
          <w:p>
            <w:pPr>
              <w:spacing w:after="0"/>
              <w:rPr>
                <w:sz w:val="20"/>
                <w:szCs w:val="20"/>
                <w:color w:val="auto"/>
              </w:rPr>
            </w:pPr>
            <w:r>
              <w:rPr>
                <w:rFonts w:ascii="Arial" w:cs="Arial" w:eastAsia="Arial" w:hAnsi="Arial"/>
                <w:sz w:val="14"/>
                <w:szCs w:val="14"/>
                <w:color w:val="auto"/>
              </w:rPr>
              <w:t>Underwriter</w:t>
            </w:r>
          </w:p>
        </w:tc>
        <w:tc>
          <w:tcPr>
            <w:tcW w:w="61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w w:val="98"/>
              </w:rPr>
              <w:t>Number of Shares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6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Incorporated</w:t>
            </w:r>
          </w:p>
        </w:tc>
        <w:tc>
          <w:tcPr>
            <w:tcW w:w="7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1,175,000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7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7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TPG Capital BD, LLC</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7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Houlihan Lokey Capital, Inc.</w:t>
            </w:r>
          </w:p>
        </w:tc>
        <w:tc>
          <w:tcPr>
            <w:tcW w:w="7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71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60" w:type="dxa"/>
            <w:vAlign w:val="bottom"/>
            <w:gridSpan w:val="3"/>
          </w:tcPr>
          <w:p>
            <w:pPr>
              <w:ind w:left="1360"/>
              <w:spacing w:after="0"/>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8" w:name="page49"/>
    <w:bookmarkEnd w:id="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52" w:lineRule="exact"/>
        <w:rPr>
          <w:sz w:val="20"/>
          <w:szCs w:val="20"/>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TC Lending, LLC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TPG SL SPV, LLC</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TSL MR, LLC</w:t>
      </w:r>
    </w:p>
    <w:p>
      <w:pPr>
        <w:spacing w:after="0" w:line="15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0966"/>
          </w:cols>
          <w:pgMar w:left="694" w:top="2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Directors and Officers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Higginbotham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Tanemura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Pluss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27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 Provided Orally by Underwriters</w:t>
      </w:r>
    </w:p>
    <w:p>
      <w:pPr>
        <w:spacing w:after="0" w:line="135"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Underwritten Shares: 5,000,000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Public Offering Price Per Share: $16.42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420"/>
          </w:cols>
          <w:pgMar w:left="240" w:top="27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LOCK-UP AGREEMENT</w:t>
      </w:r>
    </w:p>
    <w:p>
      <w:pPr>
        <w:spacing w:after="0" w:line="225"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2016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undersigned understands that you, as Representatives of the several Underwriters, propose to enter into an Underwriting Agreement (the “Underwriting Agreement”) with TPG Specialty Lending, Inc., a Delaware corporation (the “Company”) and TSL Advisers, LLC, providing for the public offering (the “Public Offering”) by the several Underwriters named in Schedule 1 to the Underwriting Agreement (the “Underwriters”), of common stock, par value $0.01, of the Company (the “Shares”). Capitalized terms used herein and not otherwise defined shall have the meanings set forth in the Underwriting Agreement.</w:t>
      </w:r>
    </w:p>
    <w:p>
      <w:pPr>
        <w:spacing w:after="0" w:line="18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consideration of the Underwriters’ agreement to purchase and make the Public Offering of the Shares, and for other good and valuable consideration receipt of which is hereby acknowledged, the undersigned hereby agrees that, without the prior written consent of Merrill Lynch, Pierce, Fenner &amp; Smith Incorporated, on behalf of the Underwriters, the undersigned will not, during the “Lock-Up Period,” which term shall mean the period ending 45 days after the date of the prospectus relating to the Public Offering (the “Prospectus”) for all of the undersigned’s shares of common stock, $0.01 per share par value, of the Company (the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 including any Common Stock or other securities which may be issued upon exercise of a stock option or warrant), or publicly disclose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420"/>
          </w:cols>
          <w:pgMar w:left="240" w:top="274" w:right="239" w:bottom="1440" w:gutter="0" w:footer="0" w:header="0"/>
        </w:sectPr>
      </w:pPr>
    </w:p>
    <w:bookmarkStart w:id="52" w:name="page53"/>
    <w:bookmarkEnd w:id="5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 disclosure to be made in connection therewith until after the expiration of the Lock-Up Period referred to above), in each case other than:</w:t>
      </w:r>
    </w:p>
    <w:p>
      <w:pPr>
        <w:spacing w:after="0" w:line="85" w:lineRule="exact"/>
        <w:rPr>
          <w:sz w:val="20"/>
          <w:szCs w:val="20"/>
          <w:color w:val="auto"/>
        </w:rPr>
      </w:pPr>
    </w:p>
    <w:p>
      <w:pPr>
        <w:ind w:left="460" w:right="4300"/>
        <w:spacing w:after="0" w:line="422" w:lineRule="auto"/>
        <w:rPr>
          <w:sz w:val="20"/>
          <w:szCs w:val="20"/>
          <w:color w:val="auto"/>
        </w:rPr>
      </w:pPr>
      <w:r>
        <w:rPr>
          <w:rFonts w:ascii="Arial" w:cs="Arial" w:eastAsia="Arial" w:hAnsi="Arial"/>
          <w:sz w:val="16"/>
          <w:szCs w:val="16"/>
          <w:color w:val="auto"/>
        </w:rPr>
        <w:t>transfers of shares of Common Stock or such other securities as a bona fide gift or gifts; transfers of Common Stock or such other securities as donations to charitable organizations;</w:t>
      </w:r>
    </w:p>
    <w:p>
      <w:pPr>
        <w:spacing w:after="0" w:line="1"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transfers of shares of Common Stock or such other securities as a result of the operation of law, such as estate, other testamentary document or intestate succession;</w:t>
      </w:r>
    </w:p>
    <w:p>
      <w:pPr>
        <w:spacing w:after="0" w:line="62"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undersigned is a corporation, partnership or other business entity, transfers or distributions of shares of Common Stock or such other securities to</w:t>
      </w:r>
    </w:p>
    <w:p>
      <w:pPr>
        <w:spacing w:after="0" w:line="46" w:lineRule="exact"/>
        <w:rPr>
          <w:sz w:val="20"/>
          <w:szCs w:val="20"/>
          <w:color w:val="auto"/>
        </w:rPr>
      </w:pPr>
    </w:p>
    <w:p>
      <w:pPr>
        <w:ind w:left="460" w:right="120" w:firstLine="4"/>
        <w:spacing w:after="0" w:line="261" w:lineRule="auto"/>
        <w:tabs>
          <w:tab w:leader="none" w:pos="7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its limited or general partners, members or stockholders or (2) its direct or indirect affiliates or other entities or funds controlled or managed by the undersigned or its affiliates; or</w:t>
      </w:r>
    </w:p>
    <w:p>
      <w:pPr>
        <w:spacing w:after="0" w:line="76"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transactions relating to shares of Common Stock or such other securities acquired in open market transactions or acquired from the Company under its dividend reinvestment plan after the completion of the Public Offering;</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transfer or distribution pursuant to clauses (i) through (v), each donee, transferee or distributee shall execute and deliver to the Representatives a lock-up letter in the form of this paragraph; and provided, further, that in the case of any transfer or distribution pursuant to clauses</w:t>
      </w:r>
    </w:p>
    <w:p>
      <w:pPr>
        <w:jc w:val="both"/>
        <w:ind w:right="160" w:firstLine="8"/>
        <w:spacing w:after="0" w:line="255" w:lineRule="auto"/>
        <w:tabs>
          <w:tab w:leader="none" w:pos="2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through (v), no filing by any party (donor, donee, transferor or transferee) under the Securities Exchange Act of 1934, as amended (the “Exchange Act”), or other public announcement shall be required or shall be made voluntarily in connection with such transfer or distribution (other than a filing on a Form 5 made after the expiration of the Lock-Up Period referred to above).</w:t>
      </w:r>
    </w:p>
    <w:p>
      <w:pPr>
        <w:spacing w:after="0" w:line="19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Furthermore, the undersigned may, if permitted by the Company, establish a written trading plan meeting the requirements of Rule 10b5-1 under the Exchange Act;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establishment of such plan does not give rise to any filing or public announcement and that no sales or other transfers occur under such plan during the Lock-Up Period referred to above.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1400"/>
          </w:cols>
          <w:pgMar w:left="240" w:top="274" w:right="259" w:bottom="1440" w:gutter="0" w:footer="0" w:header="0"/>
        </w:sectPr>
      </w:pPr>
    </w:p>
    <w:bookmarkStart w:id="53" w:name="page54"/>
    <w:bookmarkEnd w:id="53"/>
    <w:p>
      <w:pPr>
        <w:ind w:right="220" w:firstLine="456"/>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2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understands that, if (i) prior to entering into the Underwriting Agreement, the Company notifies the Representatives in writing that the Company does not intend to proceed with the Public Offering of Shares; (ii) the Underwriting Agreement has not been executed by all parties by March 11, 2016; or (iii)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1380"/>
          </w:cols>
          <w:pgMar w:left="240" w:top="274" w:right="279" w:bottom="1440" w:gutter="0" w:footer="0" w:header="0"/>
        </w:sectPr>
      </w:pPr>
    </w:p>
    <w:bookmarkStart w:id="54" w:name="page55"/>
    <w:bookmarkEnd w:id="5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 A-4</w:t>
      </w:r>
    </w:p>
    <w:p>
      <w:pPr>
        <w:sectPr>
          <w:pgSz w:w="11900" w:h="16838" w:orient="portrait"/>
          <w:cols w:equalWidth="0" w:num="1">
            <w:col w:w="9019"/>
          </w:cols>
          <w:pgMar w:left="1440" w:top="274" w:right="1440" w:bottom="1440" w:gutter="0" w:footer="0" w:header="0"/>
        </w:sectPr>
      </w:pPr>
    </w:p>
    <w:bookmarkStart w:id="55" w:name="page56"/>
    <w:bookmarkEnd w:id="55"/>
    <w:p>
      <w:pPr>
        <w:ind w:left="10420"/>
        <w:spacing w:after="0"/>
        <w:rPr>
          <w:sz w:val="20"/>
          <w:szCs w:val="20"/>
          <w:color w:val="auto"/>
        </w:rPr>
      </w:pPr>
      <w:r>
        <w:rPr>
          <w:rFonts w:ascii="Arial" w:cs="Arial" w:eastAsia="Arial" w:hAnsi="Arial"/>
          <w:sz w:val="17"/>
          <w:szCs w:val="17"/>
          <w:b w:val="1"/>
          <w:bCs w:val="1"/>
          <w:color w:val="auto"/>
        </w:rPr>
        <w:t>Exhibit (l)(2)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179070</wp:posOffset>
            </wp:positionV>
            <wp:extent cx="6089015" cy="2075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8901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March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acted as counsel to TPG Specialty Lending,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Company’s offering pursuant to a registration statement on Form N-2 (No. 333-203450), as amended as of March 2, 2016 for purposes of Rule 430C(a)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(as so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the prospectus, dated July 9, 2015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as supplemented by the prospectus supplement thereto, dated March 3, 2016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and, together with the Base Prospectus, the “</w:t>
      </w:r>
      <w:r>
        <w:rPr>
          <w:rFonts w:ascii="Arial" w:cs="Arial" w:eastAsia="Arial" w:hAnsi="Arial"/>
          <w:sz w:val="17"/>
          <w:szCs w:val="17"/>
          <w:u w:val="single" w:color="auto"/>
          <w:color w:val="auto"/>
        </w:rPr>
        <w:t>Prospectus</w:t>
      </w:r>
      <w:r>
        <w:rPr>
          <w:rFonts w:ascii="Arial" w:cs="Arial" w:eastAsia="Arial" w:hAnsi="Arial"/>
          <w:sz w:val="17"/>
          <w:szCs w:val="17"/>
          <w:color w:val="auto"/>
        </w:rPr>
        <w:t>”), of 5,000,000 shares of the Company’s common stock, par value $0.01 per share (the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March 3, 2016, among the Company, TSL Advisers, LLC and the several underwriters named in Schedule 1 thereto;</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certificate of State Street Bank and Trust Company, as registrar and transfer agent for the Securities, certifying due issuance and registration of the Securities; and</w:t>
      </w:r>
    </w:p>
    <w:p>
      <w:pPr>
        <w:spacing w:after="0" w:line="75" w:lineRule="exact"/>
        <w:rPr>
          <w:rFonts w:ascii="Arial" w:cs="Arial" w:eastAsia="Arial" w:hAnsi="Arial"/>
          <w:sz w:val="18"/>
          <w:szCs w:val="18"/>
          <w:color w:val="auto"/>
        </w:rPr>
      </w:pPr>
    </w:p>
    <w:p>
      <w:pPr>
        <w:jc w:val="both"/>
        <w:ind w:left="900" w:right="60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Bylaws, certified by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141605</wp:posOffset>
            </wp:positionV>
            <wp:extent cx="6089015"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9015" cy="685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15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 is limited to the General Corporation Law of the State of Delaware.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use of our name in the Prospectus under the headings “Legal Matters” as counsel for the Company that has passed on the validity of the Securities, and to the use of this opinion as a part (Exhibit (l)(2)) of the Registration Statement. In giving this consent, we do not thereby admit that we are within the category of persons whose consent is required under Section 7 of the Securities Act or the rules and regulations of the Securities and Exchange Commission thereunder.</w:t>
      </w:r>
    </w:p>
    <w:p>
      <w:pPr>
        <w:spacing w:after="0" w:line="18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Adam E. Fleisher, a Partner</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lowerLetter"/>
      <w:start w:val="2"/>
    </w:lvl>
  </w:abstractNum>
  <w:abstractNum w:abstractNumId="1">
    <w:nsid w:val="3804823E"/>
    <w:multiLevelType w:val="hybridMultilevel"/>
    <w:lvl w:ilvl="0">
      <w:lvlJc w:val="left"/>
      <w:lvlText w:val="(%1)"/>
      <w:numFmt w:val="lowerLetter"/>
      <w:start w:val="5"/>
    </w:lvl>
  </w:abstractNum>
  <w:abstractNum w:abstractNumId="2">
    <w:nsid w:val="77465F01"/>
    <w:multiLevelType w:val="hybridMultilevel"/>
    <w:lvl w:ilvl="0">
      <w:lvlJc w:val="left"/>
      <w:lvlText w:val="(%1)"/>
      <w:numFmt w:val="lowerLetter"/>
      <w:start w:val="9"/>
    </w:lvl>
  </w:abstractNum>
  <w:abstractNum w:abstractNumId="3">
    <w:nsid w:val="7724C67E"/>
    <w:multiLevelType w:val="hybridMultilevel"/>
    <w:lvl w:ilvl="0">
      <w:lvlJc w:val="left"/>
      <w:lvlText w:val="(%1)"/>
      <w:numFmt w:val="lowerLetter"/>
      <w:start w:val="13"/>
    </w:lvl>
  </w:abstractNum>
  <w:abstractNum w:abstractNumId="4">
    <w:nsid w:val="5C482A97"/>
    <w:multiLevelType w:val="hybridMultilevel"/>
    <w:lvl w:ilvl="0">
      <w:lvlJc w:val="left"/>
      <w:lvlText w:val="(%1)"/>
      <w:numFmt w:val="lowerLetter"/>
      <w:start w:val="15"/>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2D51779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580BD78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
    <w:nsid w:val="153EA438"/>
    <w:multiLevelType w:val="hybridMultilevel"/>
    <w:lvl w:ilvl="0">
      <w:lvlJc w:val="left"/>
      <w:lvlText w:val="(%1)"/>
      <w:numFmt w:val="decimal"/>
      <w:start w:val="6"/>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2"/>
    </w:lvl>
  </w:abstractNum>
  <w:abstractNum w:abstractNumId="13">
    <w:nsid w:val="6A2342EC"/>
    <w:multiLevelType w:val="hybridMultilevel"/>
    <w:lvl w:ilvl="0">
      <w:lvlJc w:val="left"/>
      <w:lvlText w:val="(%1)"/>
      <w:numFmt w:val="lowerLetter"/>
      <w:start w:val="1"/>
    </w:lvl>
  </w:abstractNum>
  <w:abstractNum w:abstractNumId="14">
    <w:nsid w:val="2A487CB0"/>
    <w:multiLevelType w:val="hybridMultilevel"/>
    <w:lvl w:ilvl="0">
      <w:lvlJc w:val="left"/>
      <w:lvlText w:val="(%1)"/>
      <w:numFmt w:val="lowerLetter"/>
      <w:start w:val="2"/>
    </w:lvl>
  </w:abstractNum>
  <w:abstractNum w:abstractNumId="15">
    <w:nsid w:val="1D4ED43B"/>
    <w:multiLevelType w:val="hybridMultilevel"/>
    <w:lvl w:ilvl="0">
      <w:lvlJc w:val="left"/>
      <w:lvlText w:val="(%1)"/>
      <w:numFmt w:val="lowerLetter"/>
      <w:start w:val="3"/>
    </w:lvl>
  </w:abstractNum>
  <w:abstractNum w:abstractNumId="16">
    <w:nsid w:val="725A06FB"/>
    <w:multiLevelType w:val="hybridMultilevel"/>
    <w:lvl w:ilvl="0">
      <w:lvlJc w:val="left"/>
      <w:lvlText w:val="(%1)"/>
      <w:numFmt w:val="lowerLetter"/>
      <w:start w:val="4"/>
    </w:lvl>
  </w:abstractNum>
  <w:abstractNum w:abstractNumId="17">
    <w:nsid w:val="2CD89A32"/>
    <w:multiLevelType w:val="hybridMultilevel"/>
    <w:lvl w:ilvl="0">
      <w:lvlJc w:val="left"/>
      <w:lvlText w:val="(%1)"/>
      <w:numFmt w:val="lowerLetter"/>
      <w:start w:val="1"/>
    </w:lvl>
  </w:abstractNum>
  <w:abstractNum w:abstractNumId="18">
    <w:nsid w:val="57E4CCAF"/>
    <w:multiLevelType w:val="hybridMultilevel"/>
    <w:lvl w:ilvl="0">
      <w:lvlJc w:val="left"/>
      <w:lvlText w:val="(%1)"/>
      <w:numFmt w:val="lowerLetter"/>
      <w:start w:val="2"/>
    </w:lvl>
  </w:abstractNum>
  <w:abstractNum w:abstractNumId="19">
    <w:nsid w:val="7A6D8D3C"/>
    <w:multiLevelType w:val="hybridMultilevel"/>
    <w:lvl w:ilvl="0">
      <w:lvlJc w:val="left"/>
      <w:lvlText w:val="(%1)"/>
      <w:numFmt w:val="lowerLetter"/>
      <w:start w:val="5"/>
    </w:lvl>
  </w:abstractNum>
  <w:abstractNum w:abstractNumId="20">
    <w:nsid w:val="4B588F54"/>
    <w:multiLevelType w:val="hybridMultilevel"/>
    <w:lvl w:ilvl="0">
      <w:lvlJc w:val="left"/>
      <w:lvlText w:val="(%1)"/>
      <w:numFmt w:val="lowerLetter"/>
      <w:start w:val="8"/>
    </w:lvl>
  </w:abstractNum>
  <w:abstractNum w:abstractNumId="21">
    <w:nsid w:val="542289EC"/>
    <w:multiLevelType w:val="hybridMultilevel"/>
    <w:lvl w:ilvl="0">
      <w:lvlJc w:val="left"/>
      <w:lvlText w:val="(%1)"/>
      <w:numFmt w:val="lowerLetter"/>
      <w:start w:val="13"/>
    </w:lvl>
  </w:abstractNum>
  <w:abstractNum w:abstractNumId="22">
    <w:nsid w:val="6DE91B18"/>
    <w:multiLevelType w:val="hybridMultilevel"/>
    <w:lvl w:ilvl="0">
      <w:lvlJc w:val="left"/>
      <w:lvlText w:val="(%1)"/>
      <w:numFmt w:val="lowerLetter"/>
      <w:start w:val="17"/>
    </w:lvl>
  </w:abstractNum>
  <w:abstractNum w:abstractNumId="23">
    <w:nsid w:val="38437FDB"/>
    <w:multiLevelType w:val="hybridMultilevel"/>
    <w:lvl w:ilvl="0">
      <w:lvlJc w:val="left"/>
      <w:lvlText w:val="%1"/>
      <w:numFmt w:val="lowerLetter"/>
      <w:start w:val="1"/>
    </w:lvl>
    <w:lvl w:ilvl="1">
      <w:lvlJc w:val="left"/>
      <w:lvlText w:val="(%2)"/>
      <w:numFmt w:val="lowerLetter"/>
      <w:start w:val="21"/>
    </w:lvl>
  </w:abstractNum>
  <w:abstractNum w:abstractNumId="24">
    <w:nsid w:val="7644A45C"/>
    <w:multiLevelType w:val="hybridMultilevel"/>
    <w:lvl w:ilvl="0">
      <w:lvlJc w:val="left"/>
      <w:lvlText w:val="(%1)"/>
      <w:numFmt w:val="lowerLetter"/>
      <w:start w:val="9"/>
    </w:lvl>
    <w:lvl w:ilvl="1">
      <w:lvlJc w:val="left"/>
      <w:lvlText w:val="(%2)"/>
      <w:numFmt w:val="lowerLetter"/>
      <w:start w:val="22"/>
    </w:lvl>
  </w:abstractNum>
  <w:abstractNum w:abstractNumId="25">
    <w:nsid w:val="32FFF902"/>
    <w:multiLevelType w:val="hybridMultilevel"/>
    <w:lvl w:ilvl="0">
      <w:lvlJc w:val="left"/>
      <w:lvlText w:val="(%1)"/>
      <w:numFmt w:val="lowerLetter"/>
      <w:start w:val="9"/>
    </w:lvl>
    <w:lvl w:ilvl="1">
      <w:lvlJc w:val="left"/>
      <w:lvlText w:val="(%2)"/>
      <w:numFmt w:val="lowerLetter"/>
      <w:start w:val="23"/>
    </w:lvl>
  </w:abstractNum>
  <w:abstractNum w:abstractNumId="26">
    <w:nsid w:val="684A481A"/>
    <w:multiLevelType w:val="hybridMultilevel"/>
    <w:lvl w:ilvl="0">
      <w:lvlJc w:val="left"/>
      <w:lvlText w:val="(%1)"/>
      <w:numFmt w:val="lowerLetter"/>
      <w:start w:val="26"/>
    </w:lvl>
  </w:abstractNum>
  <w:abstractNum w:abstractNumId="27">
    <w:nsid w:val="579478FE"/>
    <w:multiLevelType w:val="hybridMultilevel"/>
    <w:lvl w:ilvl="0">
      <w:lvlJc w:val="left"/>
      <w:lvlText w:val="(%1)"/>
      <w:numFmt w:val="lowerLetter"/>
      <w:start w:val="27"/>
    </w:lvl>
  </w:abstractNum>
  <w:abstractNum w:abstractNumId="28">
    <w:nsid w:val="749ABB43"/>
    <w:multiLevelType w:val="hybridMultilevel"/>
    <w:lvl w:ilvl="0">
      <w:lvlJc w:val="left"/>
      <w:lvlText w:val="%1"/>
      <w:numFmt w:val="lowerLetter"/>
      <w:start w:val="1"/>
    </w:lvl>
    <w:lvl w:ilvl="1">
      <w:lvlJc w:val="left"/>
      <w:lvlText w:val="(%2)"/>
      <w:numFmt w:val="lowerLetter"/>
      <w:start w:val="29"/>
    </w:lvl>
  </w:abstractNum>
  <w:abstractNum w:abstractNumId="29">
    <w:nsid w:val="3DC240FB"/>
    <w:multiLevelType w:val="hybridMultilevel"/>
    <w:lvl w:ilvl="0">
      <w:lvlJc w:val="left"/>
      <w:lvlText w:val="(%1)"/>
      <w:numFmt w:val="lowerLetter"/>
      <w:start w:val="35"/>
    </w:lvl>
    <w:lvl w:ilvl="1">
      <w:lvlJc w:val="left"/>
      <w:lvlText w:val="(%2)"/>
      <w:numFmt w:val="lowerLetter"/>
      <w:start w:val="30"/>
    </w:lvl>
  </w:abstractNum>
  <w:abstractNum w:abstractNumId="30">
    <w:nsid w:val="1BA026FA"/>
    <w:multiLevelType w:val="hybridMultilevel"/>
    <w:lvl w:ilvl="0">
      <w:lvlJc w:val="left"/>
      <w:lvlText w:val="(%1)"/>
      <w:numFmt w:val="lowerLetter"/>
      <w:start w:val="32"/>
    </w:lvl>
  </w:abstractNum>
  <w:abstractNum w:abstractNumId="31">
    <w:nsid w:val="79A1DEAA"/>
    <w:multiLevelType w:val="hybridMultilevel"/>
    <w:lvl w:ilvl="0">
      <w:lvlJc w:val="left"/>
      <w:lvlText w:val="(%1)"/>
      <w:numFmt w:val="lowerLetter"/>
      <w:start w:val="35"/>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Letter"/>
      <w:start w:val="2"/>
    </w:lvl>
  </w:abstractNum>
  <w:abstractNum w:abstractNumId="34">
    <w:nsid w:val="70C6A529"/>
    <w:multiLevelType w:val="hybridMultilevel"/>
    <w:lvl w:ilvl="0">
      <w:lvlJc w:val="left"/>
      <w:lvlText w:val="%1"/>
      <w:numFmt w:val="lowerLetter"/>
      <w:start w:val="1"/>
    </w:lvl>
    <w:lvl w:ilvl="1">
      <w:lvlJc w:val="left"/>
      <w:lvlText w:val="(%2)"/>
      <w:numFmt w:val="lowerLetter"/>
      <w:start w:val="7"/>
    </w:lvl>
  </w:abstractNum>
  <w:abstractNum w:abstractNumId="35">
    <w:nsid w:val="520EEDD1"/>
    <w:multiLevelType w:val="hybridMultilevel"/>
    <w:lvl w:ilvl="0">
      <w:lvlJc w:val="left"/>
      <w:lvlText w:val="(%1)"/>
      <w:numFmt w:val="lowerLetter"/>
      <w:start w:val="9"/>
    </w:lvl>
    <w:lvl w:ilvl="1">
      <w:lvlJc w:val="left"/>
      <w:lvlText w:val="(%2)"/>
      <w:numFmt w:val="lowerLetter"/>
      <w:start w:val="8"/>
    </w:lvl>
  </w:abstractNum>
  <w:abstractNum w:abstractNumId="36">
    <w:nsid w:val="374A3FE6"/>
    <w:multiLevelType w:val="hybridMultilevel"/>
    <w:lvl w:ilvl="0">
      <w:lvlJc w:val="left"/>
      <w:lvlText w:val="(%1)"/>
      <w:numFmt w:val="lowerLetter"/>
      <w:start w:val="10"/>
    </w:lvl>
  </w:abstractNum>
  <w:abstractNum w:abstractNumId="37">
    <w:nsid w:val="4F4EF005"/>
    <w:multiLevelType w:val="hybridMultilevel"/>
    <w:lvl w:ilvl="0">
      <w:lvlJc w:val="left"/>
      <w:lvlText w:val="(%1)"/>
      <w:numFmt w:val="lowerLetter"/>
      <w:start w:val="61"/>
    </w:lvl>
    <w:lvl w:ilvl="1">
      <w:lvlJc w:val="left"/>
      <w:lvlText w:val="(%2)"/>
      <w:numFmt w:val="lowerLetter"/>
      <w:start w:val="15"/>
    </w:lvl>
  </w:abstractNum>
  <w:abstractNum w:abstractNumId="38">
    <w:nsid w:val="23F9C13C"/>
    <w:multiLevelType w:val="hybridMultilevel"/>
    <w:lvl w:ilvl="0">
      <w:lvlJc w:val="left"/>
      <w:lvlText w:val="(%1)"/>
      <w:numFmt w:val="lowerLetter"/>
      <w:start w:val="1"/>
    </w:lvl>
  </w:abstractNum>
  <w:abstractNum w:abstractNumId="39">
    <w:nsid w:val="649BB77C"/>
    <w:multiLevelType w:val="hybridMultilevel"/>
    <w:lvl w:ilvl="0">
      <w:lvlJc w:val="left"/>
      <w:lvlText w:val="(%1)"/>
      <w:numFmt w:val="lowerLetter"/>
      <w:start w:val="5"/>
    </w:lvl>
  </w:abstractNum>
  <w:abstractNum w:abstractNumId="40">
    <w:nsid w:val="275AC794"/>
    <w:multiLevelType w:val="hybridMultilevel"/>
    <w:lvl w:ilvl="0">
      <w:lvlJc w:val="left"/>
      <w:lvlText w:val="%1"/>
      <w:numFmt w:val="upperLetter"/>
      <w:start w:val="1"/>
    </w:lvl>
    <w:lvl w:ilvl="1">
      <w:lvlJc w:val="left"/>
      <w:lvlText w:val="(%2)"/>
      <w:numFmt w:val="lowerLetter"/>
      <w:start w:val="7"/>
    </w:lvl>
  </w:abstractNum>
  <w:abstractNum w:abstractNumId="41">
    <w:nsid w:val="39386575"/>
    <w:multiLevelType w:val="hybridMultilevel"/>
    <w:lvl w:ilvl="0">
      <w:lvlJc w:val="left"/>
      <w:lvlText w:val="(%1)"/>
      <w:numFmt w:val="upperLetter"/>
      <w:start w:val="2"/>
    </w:lvl>
    <w:lvl w:ilvl="1">
      <w:lvlJc w:val="left"/>
      <w:lvlText w:val="(%2)"/>
      <w:numFmt w:val="lowerLetter"/>
      <w:start w:val="9"/>
    </w:lvl>
  </w:abstractNum>
  <w:abstractNum w:abstractNumId="42">
    <w:nsid w:val="1CF10FD8"/>
    <w:multiLevelType w:val="hybridMultilevel"/>
    <w:lvl w:ilvl="0">
      <w:lvlJc w:val="left"/>
      <w:lvlText w:val="(%1)"/>
      <w:numFmt w:val="lowerLetter"/>
      <w:start w:val="13"/>
    </w:lvl>
  </w:abstractNum>
  <w:abstractNum w:abstractNumId="43">
    <w:nsid w:val="180115BE"/>
    <w:multiLevelType w:val="hybridMultilevel"/>
    <w:lvl w:ilvl="0">
      <w:lvlJc w:val="left"/>
      <w:lvlText w:val="(%1)"/>
      <w:numFmt w:val="lowerLetter"/>
      <w:start w:val="1"/>
    </w:lvl>
  </w:abstractNum>
  <w:abstractNum w:abstractNumId="44">
    <w:nsid w:val="235BA861"/>
    <w:multiLevelType w:val="hybridMultilevel"/>
    <w:lvl w:ilvl="0">
      <w:lvlJc w:val="left"/>
      <w:lvlText w:val="%1."/>
      <w:numFmt w:val="decimal"/>
      <w:start w:val="7"/>
    </w:lvl>
  </w:abstractNum>
  <w:abstractNum w:abstractNumId="45">
    <w:nsid w:val="47398C89"/>
    <w:multiLevelType w:val="hybridMultilevel"/>
    <w:lvl w:ilvl="0">
      <w:lvlJc w:val="left"/>
      <w:lvlText w:val="%1"/>
      <w:numFmt w:val="lowerLetter"/>
      <w:start w:val="1"/>
    </w:lvl>
    <w:lvl w:ilvl="1">
      <w:lvlJc w:val="left"/>
      <w:lvlText w:val="(%2)"/>
      <w:numFmt w:val="lowerLetter"/>
      <w:start w:val="1"/>
    </w:lvl>
  </w:abstractNum>
  <w:abstractNum w:abstractNumId="46">
    <w:nsid w:val="354FE9F9"/>
    <w:multiLevelType w:val="hybridMultilevel"/>
    <w:lvl w:ilvl="0">
      <w:lvlJc w:val="left"/>
      <w:lvlText w:val="(%1)"/>
      <w:numFmt w:val="lowerLetter"/>
      <w:start w:val="9"/>
    </w:lvl>
    <w:lvl w:ilvl="1">
      <w:lvlJc w:val="left"/>
      <w:lvlText w:val="(%2)"/>
      <w:numFmt w:val="lowerLetter"/>
      <w:start w:val="5"/>
    </w:lvl>
  </w:abstractNum>
  <w:abstractNum w:abstractNumId="47">
    <w:nsid w:val="15B5AF5C"/>
    <w:multiLevelType w:val="hybridMultilevel"/>
    <w:lvl w:ilvl="0">
      <w:lvlJc w:val="left"/>
      <w:lvlText w:val="(%1)"/>
      <w:numFmt w:val="lowerLetter"/>
      <w:start w:val="6"/>
    </w:lvl>
  </w:abstractNum>
  <w:abstractNum w:abstractNumId="48">
    <w:nsid w:val="741226BB"/>
    <w:multiLevelType w:val="hybridMultilevel"/>
    <w:lvl w:ilvl="0">
      <w:lvlJc w:val="left"/>
      <w:lvlText w:val="(%1)"/>
      <w:numFmt w:val="lowerLetter"/>
      <w:start w:val="10"/>
    </w:lvl>
  </w:abstractNum>
  <w:abstractNum w:abstractNumId="49">
    <w:nsid w:val="D34B6A8"/>
    <w:multiLevelType w:val="hybridMultilevel"/>
    <w:lvl w:ilvl="0">
      <w:lvlJc w:val="left"/>
      <w:lvlText w:val="%1."/>
      <w:numFmt w:val="decimal"/>
      <w:start w:val="8"/>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lowerLetter"/>
      <w:start w:val="2"/>
    </w:lvl>
  </w:abstractNum>
  <w:abstractNum w:abstractNumId="52">
    <w:nsid w:val="61574095"/>
    <w:multiLevelType w:val="hybridMultilevel"/>
    <w:lvl w:ilvl="0">
      <w:lvlJc w:val="left"/>
      <w:lvlText w:val="(%1)"/>
      <w:numFmt w:val="lowerRoman"/>
      <w:start w:val="4"/>
    </w:lvl>
    <w:lvl w:ilvl="1">
      <w:lvlJc w:val="left"/>
      <w:lvlText w:val="(%2)"/>
      <w:numFmt w:val="lowerLetter"/>
      <w:start w:val="4"/>
    </w:lvl>
  </w:abstractNum>
  <w:abstractNum w:abstractNumId="53">
    <w:nsid w:val="7E0C57B1"/>
    <w:multiLevelType w:val="hybridMultilevel"/>
    <w:lvl w:ilvl="0">
      <w:lvlJc w:val="left"/>
      <w:lvlText w:val="%1"/>
      <w:numFmt w:val="lowerLetter"/>
      <w:start w:val="1"/>
    </w:lvl>
    <w:lvl w:ilvl="1">
      <w:lvlJc w:val="left"/>
      <w:lvlText w:val="(%2)"/>
      <w:numFmt w:val="lowerLetter"/>
      <w:start w:val="5"/>
    </w:lvl>
  </w:abstractNum>
  <w:abstractNum w:abstractNumId="54">
    <w:nsid w:val="77AE35EB"/>
    <w:multiLevelType w:val="hybridMultilevel"/>
    <w:lvl w:ilvl="0">
      <w:lvlJc w:val="left"/>
      <w:lvlText w:val="(%1)"/>
      <w:numFmt w:val="lowerLetter"/>
      <w:start w:val="4"/>
    </w:lvl>
    <w:lvl w:ilvl="1">
      <w:lvlJc w:val="left"/>
      <w:lvlText w:val="(%2)"/>
      <w:numFmt w:val="lowerLetter"/>
      <w:start w:val="6"/>
    </w:lvl>
  </w:abstractNum>
  <w:abstractNum w:abstractNumId="55">
    <w:nsid w:val="579BE4F1"/>
    <w:multiLevelType w:val="hybridMultilevel"/>
    <w:lvl w:ilvl="0">
      <w:lvlJc w:val="left"/>
      <w:lvlText w:val="%1."/>
      <w:numFmt w:val="decimal"/>
      <w:start w:val="9"/>
    </w:lvl>
  </w:abstractNum>
  <w:abstractNum w:abstractNumId="56">
    <w:nsid w:val="310C50B3"/>
    <w:multiLevelType w:val="hybridMultilevel"/>
    <w:lvl w:ilvl="0">
      <w:lvlJc w:val="left"/>
      <w:lvlText w:val="%1."/>
      <w:numFmt w:val="decimal"/>
      <w:start w:val="11"/>
    </w:lvl>
  </w:abstractNum>
  <w:abstractNum w:abstractNumId="57">
    <w:nsid w:val="5FF87E05"/>
    <w:multiLevelType w:val="hybridMultilevel"/>
    <w:lvl w:ilvl="0">
      <w:lvlJc w:val="left"/>
      <w:lvlText w:val="(%1)"/>
      <w:numFmt w:val="lowerLetter"/>
      <w:start w:val="1"/>
    </w:lvl>
  </w:abstractNum>
  <w:abstractNum w:abstractNumId="58">
    <w:nsid w:val="2F305DEF"/>
    <w:multiLevelType w:val="hybridMultilevel"/>
    <w:lvl w:ilvl="0">
      <w:lvlJc w:val="left"/>
      <w:lvlText w:val="(%1)"/>
      <w:numFmt w:val="lowerLetter"/>
      <w:start w:val="4"/>
    </w:lvl>
  </w:abstractNum>
  <w:abstractNum w:abstractNumId="59">
    <w:nsid w:val="25A70BF7"/>
    <w:multiLevelType w:val="hybridMultilevel"/>
    <w:lvl w:ilvl="0">
      <w:lvlJc w:val="left"/>
      <w:lvlText w:val="%1."/>
      <w:numFmt w:val="decimal"/>
      <w:start w:val="12"/>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lowerLetter"/>
      <w:start w:val="1"/>
    </w:lvl>
    <w:lvl w:ilvl="1">
      <w:lvlJc w:val="left"/>
      <w:lvlText w:val="(%2)"/>
      <w:numFmt w:val="lowerLetter"/>
      <w:start w:val="2"/>
    </w:lvl>
  </w:abstractNum>
  <w:abstractNum w:abstractNumId="62">
    <w:nsid w:val="1F48EAA1"/>
    <w:multiLevelType w:val="hybridMultilevel"/>
    <w:lvl w:ilvl="0">
      <w:lvlJc w:val="left"/>
      <w:lvlText w:val="(%1)"/>
      <w:numFmt w:val="lowerLetter"/>
      <w:start w:val="35"/>
    </w:lvl>
    <w:lvl w:ilvl="1">
      <w:lvlJc w:val="left"/>
      <w:lvlText w:val="%2"/>
      <w:numFmt w:val="lowerLetter"/>
      <w:start w:val="1"/>
    </w:lvl>
  </w:abstractNum>
  <w:abstractNum w:abstractNumId="63">
    <w:nsid w:val="1381823A"/>
    <w:multiLevelType w:val="hybridMultilevel"/>
    <w:lvl w:ilvl="0">
      <w:lvlJc w:val="left"/>
      <w:lvlText w:val="%1."/>
      <w:numFmt w:val="decimal"/>
      <w:start w:val="13"/>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lowerLetter"/>
      <w:start w:val="2"/>
    </w:lvl>
  </w:abstractNum>
  <w:abstractNum w:abstractNumId="66">
    <w:nsid w:val="6590700B"/>
    <w:multiLevelType w:val="hybridMultilevel"/>
    <w:lvl w:ilvl="0">
      <w:lvlJc w:val="left"/>
      <w:lvlText w:val="%1."/>
      <w:numFmt w:val="decimal"/>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decimal"/>
      <w:start w:val="1"/>
    </w:lvl>
  </w:abstractNum>
  <w:abstractNum w:abstractNumId="69">
    <w:nsid w:val="98A3148"/>
    <w:multiLevelType w:val="hybridMultilevel"/>
    <w:lvl w:ilvl="0">
      <w:lvlJc w:val="left"/>
      <w:lvlText w:val="(%1)"/>
      <w:numFmt w:val="lowerRoman"/>
      <w:start w:val="1"/>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2019-12-08T20:37:14Z</dcterms:created>
  <dcterms:modified xsi:type="dcterms:W3CDTF">2019-12-08T20:37:14Z</dcterms:modified>
</cp:coreProperties>
</file>